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3C38" w:rsidRPr="007A27A5" w:rsidRDefault="00433C38" w:rsidP="008825B6">
      <w:pPr>
        <w:pStyle w:val="Sinespaciado"/>
        <w:ind w:left="2836"/>
        <w:rPr>
          <w:color w:val="000000" w:themeColor="text1"/>
        </w:rPr>
      </w:pPr>
      <w:r w:rsidRPr="007A27A5">
        <w:rPr>
          <w:color w:val="000000" w:themeColor="text1"/>
        </w:rPr>
        <w:t>SESIÓN DELIBERANTE DE LA H. “LXII” LEGISLATURA DEL ESTADO DE MÉXICO.</w:t>
      </w:r>
    </w:p>
    <w:p w:rsidR="00433C38" w:rsidRPr="007A27A5" w:rsidRDefault="00433C38" w:rsidP="008825B6">
      <w:pPr>
        <w:pStyle w:val="Sinespaciado"/>
        <w:ind w:left="2836"/>
        <w:rPr>
          <w:color w:val="000000" w:themeColor="text1"/>
        </w:rPr>
      </w:pPr>
    </w:p>
    <w:p w:rsidR="00433C38" w:rsidRPr="007A27A5" w:rsidRDefault="00433C38" w:rsidP="008825B6">
      <w:pPr>
        <w:pStyle w:val="Sinespaciado"/>
        <w:ind w:left="2836"/>
        <w:rPr>
          <w:color w:val="000000" w:themeColor="text1"/>
        </w:rPr>
      </w:pPr>
      <w:r w:rsidRPr="007A27A5">
        <w:rPr>
          <w:color w:val="000000" w:themeColor="text1"/>
        </w:rPr>
        <w:t>Celebrada el día 19 de noviembre de 2025</w:t>
      </w:r>
    </w:p>
    <w:p w:rsidR="00433C38" w:rsidRPr="007A27A5" w:rsidRDefault="00433C38" w:rsidP="008825B6">
      <w:pPr>
        <w:pStyle w:val="Sinespaciado"/>
        <w:ind w:left="2836"/>
        <w:rPr>
          <w:color w:val="000000" w:themeColor="text1"/>
        </w:rPr>
      </w:pPr>
    </w:p>
    <w:p w:rsidR="00433C38" w:rsidRPr="007A27A5" w:rsidRDefault="00433C38" w:rsidP="00B54AF5">
      <w:pPr>
        <w:spacing w:after="0" w:line="240" w:lineRule="auto"/>
        <w:jc w:val="center"/>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Presidencia de la Dip. Martha Azucena Camacho Reynoso.</w:t>
      </w:r>
    </w:p>
    <w:p w:rsidR="00433C38" w:rsidRPr="007A27A5" w:rsidRDefault="00433C38" w:rsidP="00B54AF5">
      <w:pPr>
        <w:spacing w:after="0" w:line="240" w:lineRule="auto"/>
        <w:jc w:val="both"/>
        <w:rPr>
          <w:rFonts w:ascii="Times New Roman" w:hAnsi="Times New Roman" w:cs="Times New Roman"/>
          <w:color w:val="000000" w:themeColor="text1"/>
          <w:sz w:val="24"/>
          <w:szCs w:val="24"/>
        </w:rPr>
      </w:pPr>
    </w:p>
    <w:p w:rsidR="00433C38" w:rsidRPr="007A27A5" w:rsidRDefault="00433C38"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PRESIDENTA DIP. MARTHA AZUCENA CAMACHO REYNOSO. Damos la bienvenida las diputadas y los diputados de la “LXII” Legislatura y valoro su compromiso con el oportuno cumplimiento de las tareas de este Órgano Colegiado.</w:t>
      </w:r>
    </w:p>
    <w:p w:rsidR="00433C38" w:rsidRPr="007A27A5" w:rsidRDefault="00433C38"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 xml:space="preserve">Agradezco la presencia de los representantes de los medios de comunicación y de quienes se encuentran en el Recinto y en las redes sociales, </w:t>
      </w:r>
      <w:r w:rsidR="00EE72A2" w:rsidRPr="007A27A5">
        <w:rPr>
          <w:rFonts w:ascii="Times New Roman" w:hAnsi="Times New Roman" w:cs="Times New Roman"/>
          <w:color w:val="000000" w:themeColor="text1"/>
          <w:sz w:val="24"/>
          <w:szCs w:val="24"/>
        </w:rPr>
        <w:t>“L</w:t>
      </w:r>
      <w:r w:rsidRPr="007A27A5">
        <w:rPr>
          <w:rFonts w:ascii="Times New Roman" w:hAnsi="Times New Roman" w:cs="Times New Roman"/>
          <w:color w:val="000000" w:themeColor="text1"/>
          <w:sz w:val="24"/>
          <w:szCs w:val="24"/>
        </w:rPr>
        <w:t>a Casa del Pueblo” es su casa.</w:t>
      </w:r>
    </w:p>
    <w:p w:rsidR="00433C38" w:rsidRPr="007A27A5" w:rsidRDefault="00433C38" w:rsidP="00B54AF5">
      <w:pPr>
        <w:pStyle w:val="Sinespaciado"/>
        <w:rPr>
          <w:color w:val="000000" w:themeColor="text1"/>
        </w:rPr>
      </w:pPr>
      <w:r w:rsidRPr="007A27A5">
        <w:rPr>
          <w:color w:val="000000" w:themeColor="text1"/>
        </w:rPr>
        <w:tab/>
        <w:t>Para la validez de los trabajos, pido a la Secretaría, proceda a verificar el quórum, abriendo el sistema electrónico de asistencia, hasta por 5 minutos, al constituirse el quórum, será abierta la sesión.</w:t>
      </w:r>
    </w:p>
    <w:p w:rsidR="00433C38" w:rsidRPr="007A27A5" w:rsidRDefault="00433C38" w:rsidP="00B54AF5">
      <w:pPr>
        <w:pStyle w:val="Sinespaciado"/>
        <w:rPr>
          <w:color w:val="000000" w:themeColor="text1"/>
        </w:rPr>
      </w:pPr>
      <w:r w:rsidRPr="007A27A5">
        <w:rPr>
          <w:color w:val="000000" w:themeColor="text1"/>
        </w:rPr>
        <w:t>SECRETARIA DIP. BRENDA COLETTE MIRANDA VARGAS. Ábrase el Sistema electrónico de asistencia hasta por 5 minutos.</w:t>
      </w:r>
    </w:p>
    <w:p w:rsidR="0082326D" w:rsidRPr="007A27A5" w:rsidRDefault="0082326D" w:rsidP="00B54AF5">
      <w:pPr>
        <w:pStyle w:val="Sinespaciado"/>
        <w:jc w:val="center"/>
        <w:rPr>
          <w:i/>
          <w:color w:val="000000" w:themeColor="text1"/>
        </w:rPr>
      </w:pPr>
      <w:r w:rsidRPr="007A27A5">
        <w:rPr>
          <w:i/>
          <w:color w:val="000000" w:themeColor="text1"/>
        </w:rPr>
        <w:t>(Registro de asistencia)</w:t>
      </w:r>
    </w:p>
    <w:p w:rsidR="0082326D" w:rsidRPr="007A27A5" w:rsidRDefault="0082326D" w:rsidP="00B54AF5">
      <w:pPr>
        <w:pStyle w:val="Sinespaciado"/>
        <w:rPr>
          <w:color w:val="000000" w:themeColor="text1"/>
        </w:rPr>
      </w:pPr>
      <w:r w:rsidRPr="007A27A5">
        <w:rPr>
          <w:color w:val="000000" w:themeColor="text1"/>
        </w:rPr>
        <w:t>SECRETARIA DIP. BRENDA COLETTE MIRANDA VARGAS. Pregunto si alguien más falta de registrar su asistencia.</w:t>
      </w:r>
    </w:p>
    <w:p w:rsidR="0082326D" w:rsidRPr="007A27A5" w:rsidRDefault="0082326D" w:rsidP="00B54AF5">
      <w:pPr>
        <w:pStyle w:val="Sinespaciado"/>
        <w:rPr>
          <w:color w:val="000000" w:themeColor="text1"/>
        </w:rPr>
      </w:pPr>
      <w:r w:rsidRPr="007A27A5">
        <w:rPr>
          <w:color w:val="000000" w:themeColor="text1"/>
        </w:rPr>
        <w:tab/>
        <w:t>Por favor registrar la asistencia de la diputada Consuelo</w:t>
      </w:r>
      <w:r w:rsidR="00472640" w:rsidRPr="007A27A5">
        <w:rPr>
          <w:color w:val="000000" w:themeColor="text1"/>
        </w:rPr>
        <w:t>.</w:t>
      </w:r>
    </w:p>
    <w:p w:rsidR="0082326D" w:rsidRPr="007A27A5" w:rsidRDefault="0082326D" w:rsidP="00B54AF5">
      <w:pPr>
        <w:pStyle w:val="Sinespaciado"/>
        <w:rPr>
          <w:color w:val="000000" w:themeColor="text1"/>
        </w:rPr>
      </w:pPr>
      <w:r w:rsidRPr="007A27A5">
        <w:rPr>
          <w:color w:val="000000" w:themeColor="text1"/>
        </w:rPr>
        <w:tab/>
        <w:t>Presidenta le informo que existe quórum, se procede a abrir la reunión.</w:t>
      </w:r>
    </w:p>
    <w:p w:rsidR="00C72DF4" w:rsidRPr="007A27A5" w:rsidRDefault="0082326D" w:rsidP="00B54AF5">
      <w:pPr>
        <w:pStyle w:val="Sinespaciado"/>
        <w:rPr>
          <w:color w:val="000000" w:themeColor="text1"/>
        </w:rPr>
      </w:pPr>
      <w:r w:rsidRPr="007A27A5">
        <w:rPr>
          <w:color w:val="000000" w:themeColor="text1"/>
        </w:rPr>
        <w:t xml:space="preserve">PRESIDENTA DIP. MARTHA AZUCENA CAMACHO REYNOSO. Gracias. </w:t>
      </w:r>
    </w:p>
    <w:p w:rsidR="0082326D" w:rsidRPr="007A27A5" w:rsidRDefault="0082326D" w:rsidP="00BD17F2">
      <w:pPr>
        <w:pStyle w:val="Sinespaciado"/>
        <w:ind w:firstLine="709"/>
        <w:rPr>
          <w:color w:val="000000" w:themeColor="text1"/>
        </w:rPr>
      </w:pPr>
      <w:r w:rsidRPr="007A27A5">
        <w:rPr>
          <w:color w:val="000000" w:themeColor="text1"/>
        </w:rPr>
        <w:t>Se declara la existencia del quórum y se abre la sesión, siendo las catorce horas con seis minutos del día miércoles diecinueve de noviembre del año dos mil veinticinco.</w:t>
      </w:r>
    </w:p>
    <w:p w:rsidR="0082326D" w:rsidRPr="007A27A5" w:rsidRDefault="0082326D" w:rsidP="00BD17F2">
      <w:pPr>
        <w:pStyle w:val="Sinespaciado"/>
        <w:ind w:firstLine="709"/>
        <w:rPr>
          <w:color w:val="000000" w:themeColor="text1"/>
        </w:rPr>
      </w:pPr>
      <w:r w:rsidRPr="007A27A5">
        <w:rPr>
          <w:color w:val="000000" w:themeColor="text1"/>
        </w:rPr>
        <w:t xml:space="preserve">Comunique la Secretaría la propuesta del orden del día. </w:t>
      </w:r>
    </w:p>
    <w:p w:rsidR="0082326D" w:rsidRPr="007A27A5" w:rsidRDefault="0082326D" w:rsidP="00B54AF5">
      <w:pPr>
        <w:pStyle w:val="Sinespaciado"/>
        <w:rPr>
          <w:color w:val="000000" w:themeColor="text1"/>
        </w:rPr>
      </w:pPr>
      <w:r w:rsidRPr="007A27A5">
        <w:rPr>
          <w:color w:val="000000" w:themeColor="text1"/>
        </w:rPr>
        <w:t>SECRETARIA DIP. BRENDA COLETTE MIRANDA VARGAS. La propuesta de orden del día es la siguiente.</w:t>
      </w:r>
    </w:p>
    <w:p w:rsidR="0082326D" w:rsidRPr="007A27A5" w:rsidRDefault="0082326D" w:rsidP="00C72DF4">
      <w:pPr>
        <w:pStyle w:val="Sinespaciado"/>
        <w:rPr>
          <w:color w:val="000000" w:themeColor="text1"/>
        </w:rPr>
      </w:pPr>
      <w:r w:rsidRPr="007A27A5">
        <w:rPr>
          <w:color w:val="000000" w:themeColor="text1"/>
        </w:rPr>
        <w:t>1.- Acta de la Sesión Anterior.</w:t>
      </w:r>
    </w:p>
    <w:p w:rsidR="0082326D" w:rsidRPr="007A27A5" w:rsidRDefault="0082326D" w:rsidP="00C72DF4">
      <w:pPr>
        <w:pStyle w:val="Sinespaciado"/>
        <w:rPr>
          <w:color w:val="000000" w:themeColor="text1"/>
        </w:rPr>
      </w:pPr>
      <w:r w:rsidRPr="007A27A5">
        <w:rPr>
          <w:color w:val="000000" w:themeColor="text1"/>
        </w:rPr>
        <w:t>2.- Lectura y, en su caso, discusión y resolución del Dictamen formulado con motivo de la Cuenta Pública del Gobierno, Organismos Auxiliares y Autónomos del Estado de México del Ejercicio Fiscal 2024, que presenta la Comisión de Vigilancia del Órgano Superior de Fiscalización.</w:t>
      </w:r>
    </w:p>
    <w:p w:rsidR="0082326D" w:rsidRPr="007A27A5" w:rsidRDefault="0082326D" w:rsidP="00C72DF4">
      <w:pPr>
        <w:pStyle w:val="Sinespaciado"/>
        <w:rPr>
          <w:color w:val="000000" w:themeColor="text1"/>
        </w:rPr>
      </w:pPr>
      <w:r w:rsidRPr="007A27A5">
        <w:rPr>
          <w:color w:val="000000" w:themeColor="text1"/>
        </w:rPr>
        <w:t>3.- Lectura y, en su caso, discusión y resolución del Dictamen formulado con motivo de las Cuentas Públicas de los Municipios del Estado de México del Ejercicio Fiscal 2024, que presenta la Comisión de Vigilancia del Órgano Superior de Fiscalización.</w:t>
      </w:r>
    </w:p>
    <w:p w:rsidR="0082326D" w:rsidRPr="007A27A5" w:rsidRDefault="0082326D" w:rsidP="00C72DF4">
      <w:pPr>
        <w:pStyle w:val="Sinespaciado"/>
        <w:rPr>
          <w:color w:val="000000" w:themeColor="text1"/>
        </w:rPr>
      </w:pPr>
      <w:r w:rsidRPr="007A27A5">
        <w:rPr>
          <w:color w:val="000000" w:themeColor="text1"/>
        </w:rPr>
        <w:t>4.- Discusión y resolución del Dictamen de la Iniciativa con Proyecto de Decreto por el que se reforman y adicionan diversas disposiciones de la Ley de Seguridad del Estado de México y de la Ley Orgánica Municipal del Estado de México, para establecer criterios y estándares uniformes sobre la imagen institucional de las corporaciones policiales, presentada por la Diputada Nelly Brígida Rivera Sánchez, en nombre del Grupo Parlamentario del Partido morena, formulado por las Comisiones Unidas de Seguridad Pública y Tránsito, y Legislación y Administración Municipal.</w:t>
      </w:r>
    </w:p>
    <w:p w:rsidR="0082326D" w:rsidRPr="007A27A5" w:rsidRDefault="0082326D" w:rsidP="00C72DF4">
      <w:pPr>
        <w:pStyle w:val="Sinespaciado"/>
        <w:rPr>
          <w:color w:val="000000" w:themeColor="text1"/>
        </w:rPr>
      </w:pPr>
      <w:r w:rsidRPr="007A27A5">
        <w:rPr>
          <w:color w:val="000000" w:themeColor="text1"/>
        </w:rPr>
        <w:t>5.- Lectura y acuerdo conducente de las Iniciativas que integran el Paquete Fiscal para el Ejercicio 2026, remitidas por la persona Titular del Ejecutivo Estatal.</w:t>
      </w:r>
    </w:p>
    <w:p w:rsidR="0082326D" w:rsidRPr="007A27A5" w:rsidRDefault="0082326D" w:rsidP="00360D80">
      <w:pPr>
        <w:pStyle w:val="Sinespaciado"/>
        <w:rPr>
          <w:color w:val="000000" w:themeColor="text1"/>
        </w:rPr>
      </w:pPr>
      <w:r w:rsidRPr="007A27A5">
        <w:rPr>
          <w:color w:val="000000" w:themeColor="text1"/>
        </w:rPr>
        <w:t>5.1.- Iniciativa de Ley de Ingresos del Estado de México para el Ejercicio Fiscal 2026.</w:t>
      </w:r>
    </w:p>
    <w:p w:rsidR="0082326D" w:rsidRPr="007A27A5" w:rsidRDefault="0082326D" w:rsidP="00360D80">
      <w:pPr>
        <w:pStyle w:val="Sinespaciado"/>
        <w:rPr>
          <w:color w:val="000000" w:themeColor="text1"/>
        </w:rPr>
      </w:pPr>
      <w:r w:rsidRPr="007A27A5">
        <w:rPr>
          <w:color w:val="000000" w:themeColor="text1"/>
        </w:rPr>
        <w:t>5.2.- Iniciativa de Ley de Ingresos de los Municipios del Estado de México para el Ejercicio Fiscal 2026.</w:t>
      </w:r>
    </w:p>
    <w:p w:rsidR="0082326D" w:rsidRPr="007A27A5" w:rsidRDefault="0082326D" w:rsidP="00360D80">
      <w:pPr>
        <w:pStyle w:val="Sinespaciado"/>
        <w:rPr>
          <w:color w:val="000000" w:themeColor="text1"/>
        </w:rPr>
      </w:pPr>
      <w:r w:rsidRPr="007A27A5">
        <w:rPr>
          <w:color w:val="000000" w:themeColor="text1"/>
        </w:rPr>
        <w:t>5.3.- Presupuesto de Egresos del Gobierno del Estado de México para el Ejercicio Fiscal 2026.</w:t>
      </w:r>
    </w:p>
    <w:p w:rsidR="0082326D" w:rsidRPr="007A27A5" w:rsidRDefault="0082326D" w:rsidP="005850B3">
      <w:pPr>
        <w:pStyle w:val="Sinespaciado"/>
        <w:rPr>
          <w:color w:val="000000" w:themeColor="text1"/>
        </w:rPr>
      </w:pPr>
      <w:r w:rsidRPr="007A27A5">
        <w:rPr>
          <w:color w:val="000000" w:themeColor="text1"/>
        </w:rPr>
        <w:lastRenderedPageBreak/>
        <w:t>5.4.- Iniciativa de Decreto por el que se reforman, adicionan y derogan diversas disposiciones del Código Financiero del Estado de México y Municipios y otros ordenamientos.</w:t>
      </w:r>
    </w:p>
    <w:p w:rsidR="0082326D" w:rsidRPr="007A27A5" w:rsidRDefault="0082326D" w:rsidP="005850B3">
      <w:pPr>
        <w:pStyle w:val="Sinespaciado"/>
        <w:rPr>
          <w:color w:val="000000" w:themeColor="text1"/>
        </w:rPr>
      </w:pPr>
      <w:r w:rsidRPr="007A27A5">
        <w:rPr>
          <w:color w:val="000000" w:themeColor="text1"/>
        </w:rPr>
        <w:t>5.5.- Iniciativa de Decreto de Autorización del Programa de Financiamiento FAIS Municipal.</w:t>
      </w:r>
    </w:p>
    <w:p w:rsidR="0082326D" w:rsidRPr="007A27A5" w:rsidRDefault="0082326D" w:rsidP="00AC7CCD">
      <w:pPr>
        <w:pStyle w:val="Sinespaciado"/>
        <w:rPr>
          <w:color w:val="000000" w:themeColor="text1"/>
        </w:rPr>
      </w:pPr>
      <w:r w:rsidRPr="007A27A5">
        <w:rPr>
          <w:color w:val="000000" w:themeColor="text1"/>
        </w:rPr>
        <w:t>6.- Lectura y acuerdo conducente de las Iniciativas de Tarifas de Agua diferentes a las del Código Financiero del Estado de México y Municipios, formulada por diversos Ayuntamientos del Estado de México.</w:t>
      </w:r>
    </w:p>
    <w:p w:rsidR="0082326D" w:rsidRPr="007A27A5" w:rsidRDefault="0082326D" w:rsidP="00AC7CCD">
      <w:pPr>
        <w:pStyle w:val="Sinespaciado"/>
        <w:rPr>
          <w:color w:val="000000" w:themeColor="text1"/>
        </w:rPr>
      </w:pPr>
      <w:r w:rsidRPr="007A27A5">
        <w:rPr>
          <w:color w:val="000000" w:themeColor="text1"/>
        </w:rPr>
        <w:t>7.- Lectura y acuerdo conducente de la Iniciativa de Decreto por el que se declara Patrimonio Cultural Inmaterial del Estado de México a la elaboración artesanal de la piñata en el Municipio de Acolman, Estado de México, incluyendo los saberes, conocimientos, técnicas, prácticas y tradiciones comunitarias relacionadas con su creación, transmisión y uso festivo, y se declara el 16 de diciembre de cada año como “Día de la Piñata Acolmense”, presentado por el Diputado Osvaldo Cortés Contreras, en nombre del Grupo Parlamentario del Partido morena. (De urgente y obvia resolución).</w:t>
      </w:r>
    </w:p>
    <w:p w:rsidR="002039E8" w:rsidRPr="007A27A5" w:rsidRDefault="0082326D" w:rsidP="009F5975">
      <w:pPr>
        <w:pStyle w:val="Sinespaciado"/>
        <w:rPr>
          <w:color w:val="000000" w:themeColor="text1"/>
        </w:rPr>
      </w:pPr>
      <w:r w:rsidRPr="007A27A5">
        <w:rPr>
          <w:color w:val="000000" w:themeColor="text1"/>
        </w:rPr>
        <w:t>8.- Lectura y acuerdo conducente de la Iniciativa con Proyecto de Decreto por la que se reforma el párrafo primero del artículo 32; se adicionan una fracción al artículo 87 y los artículos 96 Septdecies</w:t>
      </w:r>
      <w:r w:rsidR="002039E8" w:rsidRPr="007A27A5">
        <w:rPr>
          <w:color w:val="000000" w:themeColor="text1"/>
        </w:rPr>
        <w:t xml:space="preserve"> y 96 </w:t>
      </w:r>
      <w:proofErr w:type="spellStart"/>
      <w:r w:rsidR="002039E8" w:rsidRPr="007A27A5">
        <w:rPr>
          <w:color w:val="000000" w:themeColor="text1"/>
        </w:rPr>
        <w:t>Octodecies</w:t>
      </w:r>
      <w:proofErr w:type="spellEnd"/>
      <w:r w:rsidR="002039E8" w:rsidRPr="007A27A5">
        <w:rPr>
          <w:color w:val="000000" w:themeColor="text1"/>
        </w:rPr>
        <w:t xml:space="preserve">, todos de la Ley Orgánica Municipal del Estado de México, en materia de creación de las oficialías mayores en los municipios, presentada por el Diputado Edgar Samuel Ríos Moreno, en nombre del Grupo Parlamentario del Partido morena. </w:t>
      </w:r>
    </w:p>
    <w:p w:rsidR="002039E8" w:rsidRPr="007A27A5" w:rsidRDefault="002039E8" w:rsidP="000C5C27">
      <w:pPr>
        <w:pStyle w:val="Sinespaciado"/>
        <w:rPr>
          <w:color w:val="000000" w:themeColor="text1"/>
        </w:rPr>
      </w:pPr>
      <w:r w:rsidRPr="007A27A5">
        <w:rPr>
          <w:color w:val="000000" w:themeColor="text1"/>
        </w:rPr>
        <w:t xml:space="preserve">9.- Lectura y acuerdo conducente de la Iniciativa con Proyecto de Decreto por el que se reforma el artículo 4 de la Ley de Vivienda Del Estado De México; para garantizar el derecho a la vivienda sin distinción por orientación sexual, identidad o expresión de género, ni por la forma de convivencia o composición familiar, presentada por le Diputade Luisa Esmeralda Navarro Hernández, en nombre del Grupo Parlamentario del Partido morena. </w:t>
      </w:r>
    </w:p>
    <w:p w:rsidR="002039E8" w:rsidRPr="007A27A5" w:rsidRDefault="002039E8" w:rsidP="0026016A">
      <w:pPr>
        <w:pStyle w:val="Sinespaciado"/>
        <w:rPr>
          <w:color w:val="000000" w:themeColor="text1"/>
        </w:rPr>
      </w:pPr>
      <w:r w:rsidRPr="007A27A5">
        <w:rPr>
          <w:color w:val="000000" w:themeColor="text1"/>
        </w:rPr>
        <w:t>10.- Lectura y acuerdo conducente de la Iniciativa con proyecto de Decreto por el que se reforma el párrafo primero de la fracción II y su inciso m) del artículo 26 de la Ley de la Juventud del Estado de México, en materia de la integración del Consejo Estatal de la Juventud, presentada por la Diputada Itzel Daniela Ballesteros Lule, en nombre del Grupo Parlamentario del Partido morena.</w:t>
      </w:r>
    </w:p>
    <w:p w:rsidR="002039E8" w:rsidRPr="007A27A5" w:rsidRDefault="002039E8" w:rsidP="0026016A">
      <w:pPr>
        <w:pStyle w:val="Sinespaciado"/>
        <w:rPr>
          <w:color w:val="000000" w:themeColor="text1"/>
        </w:rPr>
      </w:pPr>
      <w:r w:rsidRPr="007A27A5">
        <w:rPr>
          <w:color w:val="000000" w:themeColor="text1"/>
        </w:rPr>
        <w:t xml:space="preserve">11.- Lectura y acuerdo conducente de la Iniciativa con proyecto de Decreto por el que se reforman y adicionan diversas disposiciones al Código Civil del Estado de México y al Código Penal del Estado de México, con la finalidad de reconocer y protege la identidad digital, así como la tipificación del delito de suplantación de la identidad digital de las personas en el ejercicio de sus derechos, presentada por la Diputada Brenda Colette Miranda Vargas, en nombre del Grupo Parlamentario del Partido morena.  </w:t>
      </w:r>
    </w:p>
    <w:p w:rsidR="002039E8" w:rsidRPr="007A27A5" w:rsidRDefault="002039E8" w:rsidP="0026016A">
      <w:pPr>
        <w:pStyle w:val="Sinespaciado"/>
        <w:rPr>
          <w:color w:val="000000" w:themeColor="text1"/>
        </w:rPr>
      </w:pPr>
      <w:r w:rsidRPr="007A27A5">
        <w:rPr>
          <w:color w:val="000000" w:themeColor="text1"/>
        </w:rPr>
        <w:t>12.- Lectura y acuerdo conducente de la Iniciativa con Proyecto de Decreto por la que se reforma el artículo 53 y 53 Bis de la Ley del Agua para el Estado de México y Municipios, en materia de sustentabilidad hídrica, presentada por el Diputado Isaías Peláez Soria, en nombre del Grupo Parlamentario del Partido Verde Ecologista de México.</w:t>
      </w:r>
    </w:p>
    <w:p w:rsidR="002039E8" w:rsidRPr="007A27A5" w:rsidRDefault="002039E8" w:rsidP="0026016A">
      <w:pPr>
        <w:pStyle w:val="Sinespaciado"/>
        <w:rPr>
          <w:color w:val="000000" w:themeColor="text1"/>
        </w:rPr>
      </w:pPr>
      <w:r w:rsidRPr="007A27A5">
        <w:rPr>
          <w:color w:val="000000" w:themeColor="text1"/>
        </w:rPr>
        <w:t>13.- Lectura y acuerdo conducente de la Iniciativa con Proyecto de Decreto por la que se declara el 20 de noviembre de cada año el día del floricultor mexiquense, presentada por el Diputado Héctor Raúl García González, en nombre del Grupo Parlamentario del Partido Verde Ecologista de México.</w:t>
      </w:r>
    </w:p>
    <w:p w:rsidR="002039E8" w:rsidRPr="007A27A5" w:rsidRDefault="002039E8" w:rsidP="0026016A">
      <w:pPr>
        <w:pStyle w:val="Sinespaciado"/>
        <w:rPr>
          <w:color w:val="000000" w:themeColor="text1"/>
        </w:rPr>
      </w:pPr>
      <w:r w:rsidRPr="007A27A5">
        <w:rPr>
          <w:color w:val="000000" w:themeColor="text1"/>
        </w:rPr>
        <w:t xml:space="preserve">14.- Lectura y acuerdo conducente de la Iniciativa de reforma a los artículos 28, 73, fracción XVII y 115 de la Constitución Política de los Estados Unidos Mexicanos, sobre el cobro de impuestos al posteado, cableado y ductos subterráneos de telecomunicaciones y de las adecuaciones a la Ley Federal de Telecomunicaciones y la Ley de Coordinación Fiscal, para que los Estados y municipios puedan establecer contribuciones así como la reforma y adición a diversas disposiciones del Código Financiero del Estado de México y Municipios de la Ley Orgánica Municipal del Estado de México y de la Ley de Ingresos del Estado de México y Municipios, sobre el derecho por uso de bienes del dominio público para infraestructura de telecomunicaciones y radio difusión e integrarlo al Código </w:t>
      </w:r>
      <w:r w:rsidRPr="007A27A5">
        <w:rPr>
          <w:color w:val="000000" w:themeColor="text1"/>
        </w:rPr>
        <w:lastRenderedPageBreak/>
        <w:t>Financiero del Estado de México y Municipios, presentada por el Diputado Óscar González Yáñez en nombre del Grupo Parlamentario del Partido del Trabajo.</w:t>
      </w:r>
    </w:p>
    <w:p w:rsidR="002039E8" w:rsidRPr="007A27A5" w:rsidRDefault="002039E8" w:rsidP="0026016A">
      <w:pPr>
        <w:pStyle w:val="Sinespaciado"/>
        <w:rPr>
          <w:color w:val="000000" w:themeColor="text1"/>
        </w:rPr>
      </w:pPr>
      <w:r w:rsidRPr="007A27A5">
        <w:rPr>
          <w:color w:val="000000" w:themeColor="text1"/>
        </w:rPr>
        <w:t xml:space="preserve">15.- Lectura y acuerdo conducente de la Iniciativa con Proyecto de Decreto por el que se crea el Instituto Mexiquense de Servicios Periciales, para garantizar el principio de igualdad entre las partes y elevar la calidad de la justicia, a través de peritajes gratuitos e independientes, presentada por la Diputada Mercedes Colín Guadarrama y el Diputado Elías Rescala Jiménez, en nombre del Grupo Parlamentario del Partido Revolucionario Institucional. </w:t>
      </w:r>
    </w:p>
    <w:p w:rsidR="007D3965" w:rsidRPr="007A27A5" w:rsidRDefault="007D3965" w:rsidP="0026016A">
      <w:pPr>
        <w:pStyle w:val="Sinespaciado"/>
        <w:rPr>
          <w:color w:val="000000" w:themeColor="text1"/>
        </w:rPr>
      </w:pPr>
      <w:r w:rsidRPr="007A27A5">
        <w:rPr>
          <w:color w:val="000000" w:themeColor="text1"/>
        </w:rPr>
        <w:t>16.- Lectura y acuerdo conducente de la Iniciativa con Proyecto de Decreto por el que se adicionan y reforman diversas disposiciones de la Ley de Víctimas, de la Ley de los Derechos de Niñas, Niños y Adolescentes, y de la Ley Orgánica Municipal, todas del Estado de México, para ampliar y fortalecer la atención a víctimas del delito, con especial énfasis en niñas, niños y adolescentes, presentada por el Diputado Alejandr</w:t>
      </w:r>
      <w:r w:rsidR="00A423C9" w:rsidRPr="007A27A5">
        <w:rPr>
          <w:color w:val="000000" w:themeColor="text1"/>
        </w:rPr>
        <w:t>o</w:t>
      </w:r>
      <w:r w:rsidRPr="007A27A5">
        <w:rPr>
          <w:color w:val="000000" w:themeColor="text1"/>
        </w:rPr>
        <w:t xml:space="preserve"> Castro Hernández y el Diputado Elías Rescala Jiménez, en nombre del Grupo Parlamentario del Partido Revolucionario Institucional. </w:t>
      </w:r>
    </w:p>
    <w:p w:rsidR="007D3965" w:rsidRPr="007A27A5" w:rsidRDefault="007D3965" w:rsidP="003C1FA9">
      <w:pPr>
        <w:pStyle w:val="Sinespaciado"/>
        <w:rPr>
          <w:color w:val="000000" w:themeColor="text1"/>
        </w:rPr>
      </w:pPr>
      <w:r w:rsidRPr="007A27A5">
        <w:rPr>
          <w:color w:val="000000" w:themeColor="text1"/>
        </w:rPr>
        <w:t>17.- Lectura y acuerdo conducente de la Iniciativa con Proyecto de Decreto por el que se reforman el Código Financiero del Estado de México y Municipios, y el Código Administrativo del Estado de México, para ampliar la vigencia de las licencias de conducir de las y los taxistas mexiquenses y apoyar su economía, presentada por el Diputado Eduardo Zarzosa Sánchez, en nombre del Grupo Parlamentario del Partido Revolucionario Institucional.</w:t>
      </w:r>
    </w:p>
    <w:p w:rsidR="007D3965" w:rsidRPr="007A27A5" w:rsidRDefault="007D3965" w:rsidP="003C1FA9">
      <w:pPr>
        <w:pStyle w:val="Sinespaciado"/>
        <w:rPr>
          <w:color w:val="000000" w:themeColor="text1"/>
        </w:rPr>
      </w:pPr>
      <w:r w:rsidRPr="007A27A5">
        <w:rPr>
          <w:color w:val="000000" w:themeColor="text1"/>
        </w:rPr>
        <w:t>18.-</w:t>
      </w:r>
      <w:r w:rsidRPr="007A27A5">
        <w:rPr>
          <w:rFonts w:eastAsia="Arial"/>
          <w:color w:val="000000" w:themeColor="text1"/>
        </w:rPr>
        <w:t xml:space="preserve"> Lectura y acuerdo conducente de la iniciativa con proyecto de decreto por el que se reforman y adicionan diversas Las disposiciones de la Ley de Protección de Datos Personales en Posesión de Sujetos Obligados en el Estado de México y Municipios y de la Ley de Transparencia y Acceso a la Información Pública del Estado de México y Municipios en materia de Gobierno, Gobierno Digital, Inteligencia Artificial y Datos Abiertos, presentada por el diputado Anuar Roberto Azar Figueroa y el diputado Pablo Fernández de Cevallos González, en nombre del Grupo Parlamentario del Partido Acción Nacional. </w:t>
      </w:r>
      <w:r w:rsidRPr="007A27A5">
        <w:rPr>
          <w:color w:val="000000" w:themeColor="text1"/>
        </w:rPr>
        <w:t xml:space="preserve"> </w:t>
      </w:r>
    </w:p>
    <w:p w:rsidR="007D3965" w:rsidRPr="007A27A5" w:rsidRDefault="007D3965" w:rsidP="003C1FA9">
      <w:pPr>
        <w:pStyle w:val="Sinespaciado"/>
        <w:rPr>
          <w:color w:val="ED7D31" w:themeColor="accent2"/>
        </w:rPr>
      </w:pPr>
      <w:r w:rsidRPr="007A27A5">
        <w:rPr>
          <w:color w:val="000000" w:themeColor="text1"/>
        </w:rPr>
        <w:t xml:space="preserve">19.- Lectura y acuerdo conducente de la Iniciativa de reforma con adición a los artículos 242 fracción VI, 269 párrafo I, 269 Bis párrafo I, 270 </w:t>
      </w:r>
      <w:r w:rsidR="004F0FFC" w:rsidRPr="007A27A5">
        <w:rPr>
          <w:color w:val="000000" w:themeColor="text1"/>
        </w:rPr>
        <w:t xml:space="preserve">Bis </w:t>
      </w:r>
      <w:r w:rsidRPr="007A27A5">
        <w:rPr>
          <w:color w:val="000000" w:themeColor="text1"/>
        </w:rPr>
        <w:t xml:space="preserve">fracción V, 274 fracción IX del Código Penal del Estado de México, con el objetivo de incluir la conducta del acecho como circunstancia agravante, presentada por la Diputada Emma Laura Álvarez Villavicencio y el Diputado Pablo Fernández de Cevallos González, en nombre del Grupo Parlamentario del Partido Acción Nacional. </w:t>
      </w:r>
    </w:p>
    <w:p w:rsidR="007D3965" w:rsidRPr="007A27A5" w:rsidRDefault="007D3965" w:rsidP="003C1FA9">
      <w:pPr>
        <w:pStyle w:val="Sinespaciado"/>
        <w:rPr>
          <w:color w:val="000000" w:themeColor="text1"/>
        </w:rPr>
      </w:pPr>
      <w:r w:rsidRPr="007A27A5">
        <w:rPr>
          <w:color w:val="000000" w:themeColor="text1"/>
        </w:rPr>
        <w:t>20.- Lectura y acuerdo conducente de la Iniciativa al Congreso de la Unión por el que se reforma la Ley Reglamentaria del artículo 5 Constitucional Relativo al Ejercicio de las Profesiones en la Ciudad de México, en materia de equivalencia del servicio profesional como experiencia laboral, presentada por las y los integrantes del Grupo Parlamentario del Partido Movimiento Ciudadano.</w:t>
      </w:r>
    </w:p>
    <w:p w:rsidR="007D3965" w:rsidRPr="007A27A5" w:rsidRDefault="007D3965" w:rsidP="00600341">
      <w:pPr>
        <w:pStyle w:val="Sinespaciado"/>
        <w:rPr>
          <w:color w:val="000000" w:themeColor="text1"/>
        </w:rPr>
      </w:pPr>
      <w:r w:rsidRPr="007A27A5">
        <w:rPr>
          <w:color w:val="000000" w:themeColor="text1"/>
        </w:rPr>
        <w:t xml:space="preserve">21.- Lectura y acuerdo conducente de la Iniciativa con Proyecto de Decreto que Reforma la Ley de la Juventud del Estado de México, en materia de garantizar el 5% de la Plantilla Laboral para Jóvenes, presentada por las y los integrantes del Grupo Parlamentario del Partido Movimiento Ciudadano. </w:t>
      </w:r>
    </w:p>
    <w:p w:rsidR="007D3965" w:rsidRPr="007A27A5" w:rsidRDefault="007D3965" w:rsidP="00600341">
      <w:pPr>
        <w:pStyle w:val="Sinespaciado"/>
        <w:rPr>
          <w:color w:val="000000" w:themeColor="text1"/>
        </w:rPr>
      </w:pPr>
      <w:r w:rsidRPr="007A27A5">
        <w:rPr>
          <w:color w:val="000000" w:themeColor="text1"/>
        </w:rPr>
        <w:t xml:space="preserve">22.- Lectura y acuerdo conducente de la Punto de Acuerdo de urgente y obvia resolución, por el que se exhorta respetuosamente a la Secretaría de Educación, Ciencia, Tecnología e Innovación del Estado de México, a informar sobre el estado actual del Auditorio Metropolitano de Tecámac, a la Secretaría de Cultura y Turismo, así como a la Secretaria de Finanzas a considerar su donación y designación de recursos para un fin educativo, presentado por el Diputado Samuel Hernández Cruz, en nombre del Grupo Parlamentario del Partido morena. </w:t>
      </w:r>
    </w:p>
    <w:p w:rsidR="007D3965" w:rsidRPr="007A27A5" w:rsidRDefault="007D3965" w:rsidP="00E23C9A">
      <w:pPr>
        <w:pStyle w:val="Sinespaciado"/>
        <w:rPr>
          <w:color w:val="000000" w:themeColor="text1"/>
        </w:rPr>
      </w:pPr>
      <w:r w:rsidRPr="007A27A5">
        <w:rPr>
          <w:color w:val="000000" w:themeColor="text1"/>
        </w:rPr>
        <w:t xml:space="preserve">23.- Lectura y acuerdo conducente de la Punto de Acuerdo de urgente y obvia resolución, para exhortar respetuosamente a los 125 Municipios del Estado de México, a implementar y fortalecer las políticas públicas y acciones afirmativas para el control de la fauna canina y felina en beneficio de la salud pública, la seguridad y el bienestar ciudadano, presentado por el Diputado Omar Ortega </w:t>
      </w:r>
      <w:r w:rsidRPr="007A27A5">
        <w:rPr>
          <w:color w:val="000000" w:themeColor="text1"/>
        </w:rPr>
        <w:lastRenderedPageBreak/>
        <w:t xml:space="preserve">Álvarez y la Diputada Araceli Casasola Salazar, en nombre del Grupo Parlamentario del Partido de la Revolución Democrática. </w:t>
      </w:r>
    </w:p>
    <w:p w:rsidR="007D3965" w:rsidRPr="007A27A5" w:rsidRDefault="007D3965" w:rsidP="00E23C9A">
      <w:pPr>
        <w:pStyle w:val="Sinespaciado"/>
        <w:rPr>
          <w:color w:val="000000" w:themeColor="text1"/>
        </w:rPr>
      </w:pPr>
      <w:r w:rsidRPr="007A27A5">
        <w:rPr>
          <w:color w:val="000000" w:themeColor="text1"/>
        </w:rPr>
        <w:t xml:space="preserve">24.- Pronunciamiento en el marco del “41 Aniversario Luctuoso de la explosión en un complejo de PEMEX en San Juan Ixhuatepec, municipio de Tlalnepantla de Baz, México”, presentado por la Diputada Graciela Argueta Bello, en nombre del Grupo Parlamentario del Partido morena. </w:t>
      </w:r>
    </w:p>
    <w:p w:rsidR="007D3965" w:rsidRPr="007A27A5" w:rsidRDefault="007D3965" w:rsidP="00E23C9A">
      <w:pPr>
        <w:pStyle w:val="Sinespaciado"/>
        <w:rPr>
          <w:color w:val="000000" w:themeColor="text1"/>
        </w:rPr>
      </w:pPr>
      <w:r w:rsidRPr="007A27A5">
        <w:rPr>
          <w:color w:val="000000" w:themeColor="text1"/>
        </w:rPr>
        <w:t>25.- Clausura de la sesión.</w:t>
      </w:r>
    </w:p>
    <w:p w:rsidR="005F1546" w:rsidRPr="007A27A5" w:rsidRDefault="007D3965" w:rsidP="00B54AF5">
      <w:pPr>
        <w:spacing w:after="0" w:line="240" w:lineRule="auto"/>
        <w:jc w:val="both"/>
        <w:rPr>
          <w:rFonts w:ascii="Times New Roman" w:eastAsia="Arial" w:hAnsi="Times New Roman" w:cs="Times New Roman"/>
          <w:color w:val="000000" w:themeColor="text1"/>
          <w:sz w:val="24"/>
          <w:szCs w:val="24"/>
        </w:rPr>
      </w:pPr>
      <w:r w:rsidRPr="007A27A5">
        <w:rPr>
          <w:rFonts w:ascii="Times New Roman" w:eastAsia="Arial" w:hAnsi="Times New Roman" w:cs="Times New Roman"/>
          <w:color w:val="000000" w:themeColor="text1"/>
          <w:sz w:val="24"/>
          <w:szCs w:val="24"/>
        </w:rPr>
        <w:t>PRESIDENTA DIP. MARTHA AZUCENA CAMACHO REYNOSO. Pido a quienes estén a favor de la propuesta que ha comunicado la Secretaría y que sea aprobado como orden del día</w:t>
      </w:r>
      <w:r w:rsidR="007D5BCB" w:rsidRPr="007A27A5">
        <w:rPr>
          <w:rFonts w:ascii="Times New Roman" w:eastAsia="Arial" w:hAnsi="Times New Roman" w:cs="Times New Roman"/>
          <w:color w:val="000000" w:themeColor="text1"/>
          <w:sz w:val="24"/>
          <w:szCs w:val="24"/>
        </w:rPr>
        <w:t>, s</w:t>
      </w:r>
      <w:r w:rsidRPr="007A27A5">
        <w:rPr>
          <w:rFonts w:ascii="Times New Roman" w:eastAsia="Arial" w:hAnsi="Times New Roman" w:cs="Times New Roman"/>
          <w:color w:val="000000" w:themeColor="text1"/>
          <w:sz w:val="24"/>
          <w:szCs w:val="24"/>
        </w:rPr>
        <w:t xml:space="preserve">e </w:t>
      </w:r>
      <w:r w:rsidR="007D5BCB" w:rsidRPr="007A27A5">
        <w:rPr>
          <w:rFonts w:ascii="Times New Roman" w:eastAsia="Arial" w:hAnsi="Times New Roman" w:cs="Times New Roman"/>
          <w:color w:val="000000" w:themeColor="text1"/>
          <w:sz w:val="24"/>
          <w:szCs w:val="24"/>
        </w:rPr>
        <w:t>sirvan</w:t>
      </w:r>
      <w:r w:rsidRPr="007A27A5">
        <w:rPr>
          <w:rFonts w:ascii="Times New Roman" w:eastAsia="Arial" w:hAnsi="Times New Roman" w:cs="Times New Roman"/>
          <w:color w:val="000000" w:themeColor="text1"/>
          <w:sz w:val="24"/>
          <w:szCs w:val="24"/>
        </w:rPr>
        <w:t xml:space="preserve"> levantar la man</w:t>
      </w:r>
      <w:r w:rsidR="00E16FAA" w:rsidRPr="007A27A5">
        <w:rPr>
          <w:rFonts w:ascii="Times New Roman" w:eastAsia="Arial" w:hAnsi="Times New Roman" w:cs="Times New Roman"/>
          <w:color w:val="000000" w:themeColor="text1"/>
          <w:sz w:val="24"/>
          <w:szCs w:val="24"/>
        </w:rPr>
        <w:t xml:space="preserve">o </w:t>
      </w:r>
      <w:r w:rsidR="005F1546" w:rsidRPr="007A27A5">
        <w:rPr>
          <w:rFonts w:ascii="Times New Roman" w:hAnsi="Times New Roman" w:cs="Times New Roman"/>
          <w:color w:val="000000" w:themeColor="text1"/>
          <w:sz w:val="24"/>
          <w:szCs w:val="24"/>
        </w:rPr>
        <w:t>¿En contra? ¿En abstención?</w:t>
      </w:r>
    </w:p>
    <w:p w:rsidR="005F1546" w:rsidRPr="007A27A5" w:rsidRDefault="005F1546" w:rsidP="00B54AF5">
      <w:pPr>
        <w:pStyle w:val="Sinespaciado"/>
        <w:rPr>
          <w:color w:val="000000" w:themeColor="text1"/>
        </w:rPr>
      </w:pPr>
      <w:r w:rsidRPr="007A27A5">
        <w:rPr>
          <w:color w:val="000000" w:themeColor="text1"/>
        </w:rPr>
        <w:t>SECRETARIA DIP. BRENDA COLETTE MIRANDA VARGAS. La propuesta de orden del día ha sido aprobada por unanimidad de votos.</w:t>
      </w:r>
    </w:p>
    <w:p w:rsidR="00A34E49" w:rsidRPr="008015C0" w:rsidRDefault="005F1546" w:rsidP="00B54AF5">
      <w:pPr>
        <w:pStyle w:val="Sinespaciado"/>
        <w:rPr>
          <w:color w:val="000000" w:themeColor="text1"/>
        </w:rPr>
      </w:pPr>
      <w:r w:rsidRPr="008015C0">
        <w:rPr>
          <w:color w:val="000000" w:themeColor="text1"/>
        </w:rPr>
        <w:t xml:space="preserve">PRESIDENTA DIP. MARTHA AZUCENA CAMACHO REYNOSO. Gracias. </w:t>
      </w:r>
    </w:p>
    <w:p w:rsidR="005F1546" w:rsidRPr="008015C0" w:rsidRDefault="005F1546" w:rsidP="00A34E49">
      <w:pPr>
        <w:pStyle w:val="Sinespaciado"/>
        <w:ind w:firstLine="709"/>
        <w:rPr>
          <w:color w:val="000000" w:themeColor="text1"/>
        </w:rPr>
      </w:pPr>
      <w:r w:rsidRPr="008015C0">
        <w:rPr>
          <w:color w:val="000000" w:themeColor="text1"/>
        </w:rPr>
        <w:t>En cuanto al punto 1, informo que esta Legislatura que el acta de la sesión anterior fue publicada en la Gaceta Parlamentaria.</w:t>
      </w:r>
    </w:p>
    <w:p w:rsidR="005F1546" w:rsidRPr="00A34E49" w:rsidRDefault="005F1546" w:rsidP="00A34E49">
      <w:pPr>
        <w:pStyle w:val="Sinespaciado"/>
        <w:ind w:firstLine="709"/>
        <w:rPr>
          <w:color w:val="000000" w:themeColor="text1"/>
        </w:rPr>
      </w:pPr>
      <w:r w:rsidRPr="00A34E49">
        <w:rPr>
          <w:color w:val="000000" w:themeColor="text1"/>
        </w:rPr>
        <w:t>Por lo tanto, les consulto si existen observaciones o comentarios, y pido a la Secretaría que en su caso los atienda al término de la sesión.</w:t>
      </w:r>
    </w:p>
    <w:p w:rsidR="003D54B1" w:rsidRPr="00A34E49" w:rsidRDefault="003D54B1" w:rsidP="008A0ED6">
      <w:pPr>
        <w:pStyle w:val="Sinespaciado"/>
      </w:pPr>
    </w:p>
    <w:p w:rsidR="003D54B1" w:rsidRPr="00A34E49" w:rsidRDefault="003D54B1" w:rsidP="008A0ED6">
      <w:pPr>
        <w:spacing w:after="0" w:line="240" w:lineRule="auto"/>
        <w:jc w:val="center"/>
        <w:rPr>
          <w:rFonts w:ascii="Times New Roman" w:hAnsi="Times New Roman" w:cs="Times New Roman"/>
          <w:i/>
          <w:sz w:val="24"/>
          <w:szCs w:val="24"/>
        </w:rPr>
      </w:pPr>
      <w:r w:rsidRPr="00A34E49">
        <w:rPr>
          <w:rFonts w:ascii="Times New Roman" w:hAnsi="Times New Roman" w:cs="Times New Roman"/>
          <w:i/>
          <w:sz w:val="24"/>
          <w:szCs w:val="24"/>
        </w:rPr>
        <w:t>(Se inserta documento)</w:t>
      </w:r>
    </w:p>
    <w:p w:rsidR="003D54B1" w:rsidRPr="00A34E49" w:rsidRDefault="003D54B1" w:rsidP="008A0ED6">
      <w:pPr>
        <w:spacing w:after="0" w:line="240" w:lineRule="auto"/>
        <w:jc w:val="center"/>
        <w:rPr>
          <w:rFonts w:ascii="Times New Roman" w:hAnsi="Times New Roman" w:cs="Times New Roman"/>
          <w:sz w:val="24"/>
          <w:szCs w:val="24"/>
        </w:rPr>
      </w:pPr>
    </w:p>
    <w:p w:rsidR="00F5516C" w:rsidRPr="00F5516C" w:rsidRDefault="00F5516C" w:rsidP="00F5516C">
      <w:pPr>
        <w:suppressAutoHyphens/>
        <w:autoSpaceDN w:val="0"/>
        <w:spacing w:after="0" w:line="240" w:lineRule="auto"/>
        <w:jc w:val="both"/>
        <w:rPr>
          <w:rFonts w:ascii="Times New Roman" w:eastAsia="Times New Roman" w:hAnsi="Times New Roman" w:cs="Times New Roman"/>
          <w:b/>
          <w:sz w:val="24"/>
          <w:szCs w:val="24"/>
          <w:lang w:eastAsia="es-MX"/>
        </w:rPr>
      </w:pPr>
      <w:r w:rsidRPr="00A34E49">
        <w:rPr>
          <w:rFonts w:ascii="Times New Roman" w:eastAsia="Calibri" w:hAnsi="Times New Roman" w:cs="Times New Roman"/>
          <w:b/>
          <w:sz w:val="24"/>
          <w:szCs w:val="24"/>
          <w:lang w:eastAsia="es-MX"/>
        </w:rPr>
        <w:t>ACTA DE LA SESIÓN DELIBERANTE DE LA “LXII” LEGISLATURA DEL  ESTADO DE MÉXICO, CELEBRADA EL DÍA DOCE DE NOVIEMBRE DE DOS MIL VEINTICINCO.</w:t>
      </w:r>
    </w:p>
    <w:p w:rsidR="00F5516C" w:rsidRPr="00F5516C" w:rsidRDefault="00F5516C" w:rsidP="00F5516C">
      <w:pPr>
        <w:suppressAutoHyphens/>
        <w:autoSpaceDN w:val="0"/>
        <w:spacing w:after="0" w:line="240" w:lineRule="auto"/>
        <w:jc w:val="center"/>
        <w:rPr>
          <w:rFonts w:ascii="Times New Roman" w:eastAsia="Times New Roman" w:hAnsi="Times New Roman" w:cs="Times New Roman"/>
          <w:sz w:val="24"/>
          <w:szCs w:val="24"/>
          <w:lang w:eastAsia="es-MX"/>
        </w:rPr>
      </w:pPr>
      <w:r w:rsidRPr="00A34E49">
        <w:rPr>
          <w:rFonts w:ascii="Times New Roman" w:eastAsia="Calibri" w:hAnsi="Times New Roman" w:cs="Times New Roman"/>
          <w:sz w:val="24"/>
          <w:szCs w:val="24"/>
          <w:lang w:eastAsia="es-MX"/>
        </w:rPr>
        <w:t> </w:t>
      </w:r>
    </w:p>
    <w:p w:rsidR="00F5516C" w:rsidRPr="00F5516C" w:rsidRDefault="00F5516C" w:rsidP="00F5516C">
      <w:pPr>
        <w:suppressAutoHyphens/>
        <w:autoSpaceDN w:val="0"/>
        <w:spacing w:after="0" w:line="240" w:lineRule="auto"/>
        <w:jc w:val="center"/>
        <w:rPr>
          <w:rFonts w:ascii="Times New Roman" w:eastAsia="Times New Roman" w:hAnsi="Times New Roman" w:cs="Times New Roman"/>
          <w:b/>
          <w:sz w:val="24"/>
          <w:szCs w:val="24"/>
          <w:lang w:eastAsia="es-MX"/>
        </w:rPr>
      </w:pPr>
      <w:r w:rsidRPr="00A34E49">
        <w:rPr>
          <w:rFonts w:ascii="Times New Roman" w:eastAsia="Calibri" w:hAnsi="Times New Roman" w:cs="Times New Roman"/>
          <w:b/>
          <w:sz w:val="24"/>
          <w:szCs w:val="24"/>
          <w:lang w:eastAsia="es-MX"/>
        </w:rPr>
        <w:t>Presidenta Diputada Martha Azucena Camacho Reynoso.</w:t>
      </w:r>
    </w:p>
    <w:p w:rsidR="00F5516C" w:rsidRPr="00F5516C" w:rsidRDefault="00F5516C" w:rsidP="00F5516C">
      <w:pPr>
        <w:suppressAutoHyphens/>
        <w:autoSpaceDN w:val="0"/>
        <w:spacing w:after="0" w:line="240" w:lineRule="auto"/>
        <w:jc w:val="both"/>
        <w:rPr>
          <w:rFonts w:ascii="Times New Roman" w:eastAsia="Times New Roman" w:hAnsi="Times New Roman" w:cs="Times New Roman"/>
          <w:sz w:val="24"/>
          <w:szCs w:val="24"/>
          <w:lang w:eastAsia="es-MX"/>
        </w:rPr>
      </w:pPr>
    </w:p>
    <w:p w:rsidR="00F5516C" w:rsidRPr="00A34E49" w:rsidRDefault="00F5516C" w:rsidP="00F5516C">
      <w:pPr>
        <w:suppressAutoHyphens/>
        <w:autoSpaceDN w:val="0"/>
        <w:spacing w:after="0" w:line="240" w:lineRule="auto"/>
        <w:jc w:val="both"/>
        <w:rPr>
          <w:rFonts w:ascii="Times New Roman" w:eastAsia="Calibri" w:hAnsi="Times New Roman" w:cs="Times New Roman"/>
          <w:sz w:val="24"/>
          <w:szCs w:val="24"/>
          <w:lang w:eastAsia="es-MX"/>
        </w:rPr>
      </w:pPr>
      <w:r w:rsidRPr="00A34E49">
        <w:rPr>
          <w:rFonts w:ascii="Times New Roman" w:eastAsia="Calibri" w:hAnsi="Times New Roman" w:cs="Times New Roman"/>
          <w:sz w:val="24"/>
          <w:szCs w:val="24"/>
          <w:lang w:eastAsia="es-MX"/>
        </w:rPr>
        <w:t>En el Salón de Sesiones del H. Poder Legislativo, en la ciudad de Toluca de Lerdo, capital del Estado de México, la Presidencia abre la Sesión siendo las doce horas con cincuenta y dos minutos del día doce de noviembre de dos mil veinticinco, una vez que la Secretaría verificó la existencia del quórum, mediante el sistema electrónico.  </w:t>
      </w:r>
    </w:p>
    <w:p w:rsidR="00F5516C" w:rsidRPr="00F5516C" w:rsidRDefault="00F5516C" w:rsidP="00F5516C">
      <w:pPr>
        <w:suppressAutoHyphens/>
        <w:autoSpaceDN w:val="0"/>
        <w:spacing w:after="0" w:line="240" w:lineRule="auto"/>
        <w:jc w:val="both"/>
        <w:rPr>
          <w:rFonts w:ascii="Times New Roman" w:eastAsia="Times New Roman" w:hAnsi="Times New Roman" w:cs="Times New Roman"/>
          <w:sz w:val="24"/>
          <w:szCs w:val="24"/>
          <w:lang w:eastAsia="es-MX"/>
        </w:rPr>
      </w:pPr>
    </w:p>
    <w:p w:rsidR="00F5516C" w:rsidRPr="00A34E49" w:rsidRDefault="00F5516C" w:rsidP="00F5516C">
      <w:pPr>
        <w:suppressAutoHyphens/>
        <w:autoSpaceDN w:val="0"/>
        <w:spacing w:after="0" w:line="240" w:lineRule="auto"/>
        <w:jc w:val="both"/>
        <w:rPr>
          <w:rFonts w:ascii="Times New Roman" w:eastAsia="Calibri" w:hAnsi="Times New Roman" w:cs="Times New Roman"/>
          <w:sz w:val="24"/>
          <w:szCs w:val="24"/>
          <w:lang w:eastAsia="es-MX"/>
        </w:rPr>
      </w:pPr>
      <w:r w:rsidRPr="00A34E49">
        <w:rPr>
          <w:rFonts w:ascii="Times New Roman" w:eastAsia="Calibri" w:hAnsi="Times New Roman" w:cs="Times New Roman"/>
          <w:sz w:val="24"/>
          <w:szCs w:val="24"/>
          <w:lang w:eastAsia="es-MX"/>
        </w:rPr>
        <w:t>La Secretaría, por instrucciones de la Presidencia, da lectura a la propuesta de Orden del Día. La propuesta del Orden del Día es aprobada por unanimidad de votos y se desarrolla conforme al tenor siguiente:</w:t>
      </w:r>
    </w:p>
    <w:p w:rsidR="00F5516C" w:rsidRPr="00A34E49" w:rsidRDefault="00F5516C" w:rsidP="00F5516C">
      <w:pPr>
        <w:suppressAutoHyphens/>
        <w:autoSpaceDN w:val="0"/>
        <w:spacing w:after="0" w:line="240" w:lineRule="auto"/>
        <w:jc w:val="both"/>
        <w:rPr>
          <w:rFonts w:ascii="Times New Roman" w:eastAsia="Calibri" w:hAnsi="Times New Roman" w:cs="Times New Roman"/>
          <w:sz w:val="24"/>
          <w:szCs w:val="24"/>
          <w:lang w:eastAsia="es-MX"/>
        </w:rPr>
      </w:pPr>
    </w:p>
    <w:p w:rsidR="00F5516C" w:rsidRPr="00A34E49" w:rsidRDefault="00F5516C" w:rsidP="00F5516C">
      <w:pPr>
        <w:suppressAutoHyphens/>
        <w:autoSpaceDN w:val="0"/>
        <w:spacing w:after="0" w:line="240" w:lineRule="auto"/>
        <w:jc w:val="both"/>
        <w:rPr>
          <w:rFonts w:ascii="Times New Roman" w:eastAsia="Calibri" w:hAnsi="Times New Roman" w:cs="Times New Roman"/>
          <w:sz w:val="24"/>
          <w:szCs w:val="24"/>
          <w:lang w:eastAsia="es-MX"/>
        </w:rPr>
      </w:pPr>
      <w:r w:rsidRPr="00A34E49">
        <w:rPr>
          <w:rFonts w:ascii="Times New Roman" w:eastAsia="Calibri" w:hAnsi="Times New Roman" w:cs="Times New Roman"/>
          <w:sz w:val="24"/>
          <w:szCs w:val="24"/>
          <w:lang w:eastAsia="es-MX"/>
        </w:rPr>
        <w:t>Para hechos hacen uso de la palabra el diputado Israel Espíndola López, la diputada Gloria Vanessa Linares Zetina, el diputado Héctor Raúl García González, la diputada Leticia Mejía García y el diputado Ernesto Santillán Ramírez.</w:t>
      </w:r>
    </w:p>
    <w:p w:rsidR="00F5516C" w:rsidRPr="00A34E49" w:rsidRDefault="00F5516C" w:rsidP="00F5516C">
      <w:pPr>
        <w:suppressAutoHyphens/>
        <w:autoSpaceDN w:val="0"/>
        <w:spacing w:after="0" w:line="240" w:lineRule="auto"/>
        <w:jc w:val="both"/>
        <w:rPr>
          <w:rFonts w:ascii="Times New Roman" w:eastAsia="Calibri" w:hAnsi="Times New Roman" w:cs="Times New Roman"/>
          <w:sz w:val="24"/>
          <w:szCs w:val="24"/>
          <w:lang w:eastAsia="es-MX"/>
        </w:rPr>
      </w:pPr>
    </w:p>
    <w:p w:rsidR="00F5516C" w:rsidRPr="00A34E49" w:rsidRDefault="00F5516C" w:rsidP="00F5516C">
      <w:pPr>
        <w:suppressAutoHyphens/>
        <w:autoSpaceDN w:val="0"/>
        <w:spacing w:after="0" w:line="240" w:lineRule="auto"/>
        <w:jc w:val="both"/>
        <w:rPr>
          <w:rFonts w:ascii="Times New Roman" w:eastAsia="Calibri" w:hAnsi="Times New Roman" w:cs="Times New Roman"/>
          <w:sz w:val="24"/>
          <w:szCs w:val="24"/>
          <w:lang w:eastAsia="es-MX"/>
        </w:rPr>
      </w:pPr>
      <w:r w:rsidRPr="00A34E49">
        <w:rPr>
          <w:rFonts w:ascii="Times New Roman" w:eastAsia="Calibri" w:hAnsi="Times New Roman" w:cs="Times New Roman"/>
          <w:sz w:val="24"/>
          <w:szCs w:val="24"/>
          <w:lang w:eastAsia="es-MX"/>
        </w:rPr>
        <w:t xml:space="preserve">1.- La Presidencia informa que el Acta de la Sesión Anterior, ha sido publicada en la Gaceta Parlamentaria, por lo que pregunta si existen observaciones o comentarios de la misma. El Acta es aprobada por unanimidad de votos. </w:t>
      </w:r>
    </w:p>
    <w:p w:rsidR="00F5516C" w:rsidRPr="00F5516C" w:rsidRDefault="00F5516C" w:rsidP="00F5516C">
      <w:pPr>
        <w:suppressAutoHyphens/>
        <w:autoSpaceDN w:val="0"/>
        <w:spacing w:after="0" w:line="240" w:lineRule="auto"/>
        <w:jc w:val="both"/>
        <w:rPr>
          <w:rFonts w:ascii="Times New Roman" w:eastAsia="Times New Roman" w:hAnsi="Times New Roman" w:cs="Times New Roman"/>
          <w:sz w:val="24"/>
          <w:szCs w:val="24"/>
          <w:lang w:eastAsia="es-MX"/>
        </w:rPr>
      </w:pPr>
    </w:p>
    <w:p w:rsidR="00F5516C" w:rsidRPr="00F5516C" w:rsidRDefault="00F5516C" w:rsidP="00F5516C">
      <w:pPr>
        <w:suppressAutoHyphens/>
        <w:autoSpaceDN w:val="0"/>
        <w:spacing w:after="0" w:line="240" w:lineRule="auto"/>
        <w:jc w:val="both"/>
        <w:rPr>
          <w:rFonts w:ascii="Times New Roman" w:eastAsia="Times New Roman" w:hAnsi="Times New Roman" w:cs="Times New Roman"/>
          <w:sz w:val="24"/>
          <w:szCs w:val="24"/>
          <w:lang w:eastAsia="es-MX"/>
        </w:rPr>
      </w:pPr>
      <w:r w:rsidRPr="00F5516C">
        <w:rPr>
          <w:rFonts w:ascii="Times New Roman" w:eastAsia="Times New Roman" w:hAnsi="Times New Roman" w:cs="Times New Roman"/>
          <w:sz w:val="24"/>
          <w:szCs w:val="24"/>
          <w:lang w:eastAsia="es-MX"/>
        </w:rPr>
        <w:t>Para hechos hacen uso de la palabra los diputados Octavio Martínez Vargas y Ernesto Santillán Ramírez.</w:t>
      </w:r>
    </w:p>
    <w:p w:rsidR="00F5516C" w:rsidRPr="00F5516C" w:rsidRDefault="00F5516C" w:rsidP="00F5516C">
      <w:pPr>
        <w:suppressAutoHyphens/>
        <w:autoSpaceDN w:val="0"/>
        <w:spacing w:after="0" w:line="240" w:lineRule="auto"/>
        <w:jc w:val="both"/>
        <w:rPr>
          <w:rFonts w:ascii="Times New Roman" w:eastAsia="Times New Roman" w:hAnsi="Times New Roman" w:cs="Times New Roman"/>
          <w:sz w:val="24"/>
          <w:szCs w:val="24"/>
          <w:lang w:eastAsia="es-MX"/>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2.- La diputada Angélica Pérez Cerón hace uso de la palabra, para dar lectura al Dictamen de la Iniciativa de Decreto por el que se autoriza al H. Ayuntamiento de Texcoco, Estado de México a desincorporar del patrimonio del municipio un inmueble, para que sea donado a título gratuito, a favor del Gobierno Federal con destino a la Secretaría de Educación Pública, para la construcción </w:t>
      </w:r>
      <w:r w:rsidRPr="00F5516C">
        <w:rPr>
          <w:rFonts w:ascii="Times New Roman" w:hAnsi="Times New Roman" w:cs="Times New Roman"/>
          <w:sz w:val="24"/>
          <w:szCs w:val="24"/>
        </w:rPr>
        <w:lastRenderedPageBreak/>
        <w:t xml:space="preserve">de un plantel de educación de nivel media superior, presentada por la Titular del Ejecutivo Estatal, formulado por la Comisión Legislativa de Patrimonio Estatal y Municipal.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eastAsia="Times New Roman" w:hAnsi="Times New Roman" w:cs="Times New Roman"/>
          <w:sz w:val="24"/>
          <w:szCs w:val="24"/>
          <w:lang w:eastAsia="es-MX"/>
        </w:rPr>
        <w:t>Sin que motive debate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hablar sobre el Dictamen, hace uso de la palabra la diputada María José Pérez Domínguez.</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3.- El diputado Osvaldo Cortés Contreras hace uso de la palabra, para dar lectura al Dictamen de las Tablas de Valores Unitarios de Suelo y Construcciones para el Ejercicio Fiscal 2026, presentadas por los Ayuntamientos, formulado por las Comisiones Unidas de Planeación y Gasto Público, de Finanzas Públicas y de Legislación y Administración Municipal.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eastAsia="Times New Roman" w:hAnsi="Times New Roman" w:cs="Times New Roman"/>
          <w:sz w:val="24"/>
          <w:szCs w:val="24"/>
          <w:lang w:eastAsia="es-MX"/>
        </w:rPr>
        <w:t>Sin que motive debate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4.- Le diputade Luisa Esmeralda Navarro Hernández hace uso de la palabra, para dar lectura al Dictamen de la Iniciativa con Proyecto de Decreto que se reforma el Capítulo V del Subtitulo Quinto del Título Tercero y se adiciona el artículo 281 Bis del Código Penal del Estado de México, para tipificar el delito de transfeminicidio, presentada por le propie diputade, en nombre del Grupo Parlamentario del Partido morena, formulado por la Comisión Legislativa de Procuración y Administración de Justicia.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Para hablar sobre el dictamen en lo general, hacen uso de la palabra le diputade Luisa Esmeralda Navarro Hernández, la diputada Emma Laura Alvarez Villavicencio, en contra; el diputado Edgar Samuel Ríos Moreno, a favor; el diputado Anuar Roberto Azar Figueroa, en contra; el diputado Octavio Martínez Vargas, a favor; la </w:t>
      </w:r>
      <w:r w:rsidRPr="00F5516C">
        <w:rPr>
          <w:rFonts w:ascii="Times New Roman" w:eastAsia="Times New Roman" w:hAnsi="Times New Roman" w:cs="Times New Roman"/>
          <w:sz w:val="24"/>
          <w:szCs w:val="24"/>
          <w:lang w:eastAsia="es-MX"/>
        </w:rPr>
        <w:t xml:space="preserve">diputada Krishna Karina Romero Velázquez, en contra; el diputado Román Francisco Cortés Lugo, a favor; </w:t>
      </w:r>
      <w:r w:rsidRPr="00F5516C">
        <w:rPr>
          <w:rFonts w:ascii="Times New Roman" w:hAnsi="Times New Roman" w:cs="Times New Roman"/>
          <w:sz w:val="24"/>
          <w:szCs w:val="24"/>
        </w:rPr>
        <w:t>la diputada Rocío Alexia Dávila Sánchez, en contra; Paola Jiménez Hernández, a favor; y la diputada Zaira Cedillo Silva, a favor.</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hechos, hacen uso de la palabra el diputado Anuar Roberto Azar Figueroa y las diputadas Yareli Anai Esparza Acevedo, Selina Trujillo Arizmendi e Itzel Daniela Ballesteros Lule.</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eastAsia="Times New Roman" w:hAnsi="Times New Roman" w:cs="Times New Roman"/>
          <w:sz w:val="24"/>
          <w:szCs w:val="24"/>
          <w:lang w:eastAsia="es-MX"/>
        </w:rPr>
        <w:t xml:space="preserve">Suficientemente discutido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w:t>
      </w:r>
      <w:r w:rsidRPr="00F5516C">
        <w:rPr>
          <w:rFonts w:ascii="Times New Roman" w:eastAsia="Times New Roman" w:hAnsi="Times New Roman" w:cs="Times New Roman"/>
          <w:sz w:val="24"/>
          <w:szCs w:val="24"/>
          <w:lang w:eastAsia="es-MX"/>
        </w:rPr>
        <w:lastRenderedPageBreak/>
        <w:t>manifestarlo de viva voz al registrar su voto. El Dictamen y el Proyecto de Decreto es aprobados en lo general por mayoría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5.- La diputada María del Carmen de la Rosa Mendoza hace uso de la palabra, para dar lectura al Dictamen de la Iniciativa con Proyecto de Decreto por el que se adiciona la fracción XIII al artículo 2 y la fracción X recorriéndose las subsecuentes al artículo 122 de la Ley de Cultura Física y Deporte del Estado de México, para fomentar en el deporte y la recreación la cultura de paz, la legalidad y la no violencia, presentada por la propia diputada, en nombre del Grupo Parlamentario del Partido morena, formulado por la Comisión Legislativa de la Juventud y el Deporte.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eastAsia="Times New Roman" w:hAnsi="Times New Roman" w:cs="Times New Roman"/>
          <w:sz w:val="24"/>
          <w:szCs w:val="24"/>
          <w:lang w:eastAsia="es-MX"/>
        </w:rPr>
        <w:t>Sin que motive debate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hechos, hacen uso de la palabra las diputadas Emma Laura Alvarez Villavicencio y Jennifer Nathalie González López.</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6.- El diputado Anuar Roberto Azar Figueroa hace uso de la palabra, para dar lectura al Dictamen de la Iniciativa con Proyecto de Decreto por el que se reforma el primer párrafo y su fracción V del artículo 204 del Código Penal del Estado de México, en materia de fortalecer el tipo penal en contra de matrimonio infantil, presentada por el propio diputado y el diputado Pablo Fernández de Cevallos González, en nombre del Grupo Parlamentario del Partido Acción Nacional, formulado por la Comisión Legislativa de Procuración y Administración de Justicia.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r w:rsidRPr="00F5516C">
        <w:rPr>
          <w:rFonts w:ascii="Times New Roman" w:eastAsia="Times New Roman" w:hAnsi="Times New Roman" w:cs="Times New Roman"/>
          <w:sz w:val="24"/>
          <w:szCs w:val="24"/>
          <w:lang w:eastAsia="es-MX"/>
        </w:rPr>
        <w:t>Sin que motive debate el Dictamen y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7.- La diputada Leticia Mejía García hace uso de la palabra, para dar lectura al Dictamen de la Iniciativa al Congreso de la Unión por el que se reforman diversas disposiciones de la Ley General de Desarrollo Forestal Sustentable, en materia de inspección, vigilancia y combate a la tala ilegal, presentada por la propia diputada, en nombre del Grupo Parlamentario del Partido Revolucionario Institucional, formulado por las Comisiones Unidas de Gobernación y Puntos Constitucionales, y de Desarrollo Agropecuario y Forestal.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hablar sobre el dictamen, hace uso de la palabra la diputada María José Pérez Domínguez.</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r w:rsidRPr="00F5516C">
        <w:rPr>
          <w:rFonts w:ascii="Times New Roman" w:eastAsia="Times New Roman" w:hAnsi="Times New Roman" w:cs="Times New Roman"/>
          <w:sz w:val="24"/>
          <w:szCs w:val="24"/>
          <w:lang w:eastAsia="es-MX"/>
        </w:rPr>
        <w:lastRenderedPageBreak/>
        <w:t>Sin que motive debate el Dictamen y Proyecto de Iniciativa, la Presidencia señala que, para emitir la resolución de la Legislatura, se realice la votación nominal, mediante el sistema electrónico en un solo momento y solicita a la Secretaría, abrir el mismo hasta por 2 minutos, destacando que, si algún integrante de la Legislatura desea separar algún artículo para su discusión particular, se sirva manifestarlo de viva voz al registrar su voto. El Dictamen y el Proyecto de Iniciativa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w:t>
      </w: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8.- La Vicepresidencia, por instrucciones de la Presidencia, da lectura a la Iniciativa de Decreto por el que se abroga el Decreto número 402, publicado en el Periódico Oficial “Gaceta del Gobierno”, el 5 de enero de 2012, por el que se crea el Organismo Público Descentralizado Municipal para la prestación de los Servicios de Agua Potable, Drenaje y Tratamiento de Aguas Residuales del Municipio de Texcoco, Estado de México, presentada por la Titular del Ejecutivo Estatal. (De urgente y obvia resolución). Solicita la dispensa del trámite de dictamen.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hechos, hace uso de la palabra la diputada María José Pérez Domínguez.</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Es aprobada la dispensa del trámite de dictamen, por unanimidad de votos. </w:t>
      </w: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r w:rsidRPr="00F5516C">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9.- La Vicepresidencia, por instrucciones de la Presidencia, da lectura a la Iniciativa de Decreto por el que se autoriza al H. Ayuntamiento de Nezahualcóyotl, Estado de México, a desincorporar del patrimonio del municipio un inmueble, para que sea donado a título gratuito, a favor del Instituto Mexicano del Seguro Social para realizar las acciones necesarias destinadas a la construcción de un Centro de Educación y Cuidado Infantil (CECI), presentada por la Titular del Ejecutivo Estatal. (De urgente y obvia resolución). Solicita la dispensa del trámite de dictamen.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hechos, hace uso de la palabra la diputada María del Carmen de la Rosa Mendoza.</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Es aprobada la dispensa del trámite de dictamen, por unanimidad de votos. </w:t>
      </w: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r w:rsidRPr="00F5516C">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lastRenderedPageBreak/>
        <w:t xml:space="preserve">10.- La Vicepresidencia, por instrucciones de la Presidencia, da lectura a la Iniciativa de Decreto por el que se reforman los párrafos primero y cuarto, y se adicionan los párrafos sexto, noveno y décimo al artículo 269 Bis del Código Penal del Estado de México, en materia de acoso sexual, presentada por la Titular del Ejecutivo Estatal. (De urgente y obvia resolución). Solicita la dispensa del trámite de dictamen.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hechos, hacen uso de la palabra las diputadas Paola Jiménez Hernández y Zaira Cedillo silva.</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Es aprobada la dispensa del trámite de dictamen, por unanimidad de votos. </w:t>
      </w: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r w:rsidRPr="00F5516C">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11.- El </w:t>
      </w:r>
      <w:r w:rsidRPr="00F5516C">
        <w:rPr>
          <w:rFonts w:ascii="Times New Roman" w:eastAsia="Times New Roman" w:hAnsi="Times New Roman" w:cs="Times New Roman"/>
          <w:sz w:val="24"/>
          <w:szCs w:val="24"/>
          <w:lang w:eastAsia="es-MX"/>
        </w:rPr>
        <w:t>diputado Javier Cruz Jaramillo hace uso de la palabra, para dar le</w:t>
      </w:r>
      <w:r w:rsidRPr="00F5516C">
        <w:rPr>
          <w:rFonts w:ascii="Times New Roman" w:hAnsi="Times New Roman" w:cs="Times New Roman"/>
          <w:sz w:val="24"/>
          <w:szCs w:val="24"/>
        </w:rPr>
        <w:t xml:space="preserve">ctura a la Iniciativa con Proyecto de Decreto, por el que se reforman los artículos 32, 87 y 115 y se adiciona el artículo 96 Septdecies en la Ley Orgánica Municipal del Estado de México, para integrar a la Unidad de Información, Planeación, Programación y Evaluación (UIPPE) en el cuerpo normativo, presentada por el propio diputado, en nombre del Grupo Parlamentario de morena.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 Comisión Legislativa de Legislación y Administración Municipal,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12.- El diputado Octavio Martínez Vargas hace uso de la palabra, para dar lectura a la Iniciativa con Proyecto de Decreto por el que se reforman los artículos 42 y 131; y se deroga el artículo 132 de la Constitución Política del Estado Libre y Soberano de México, con la finalidad de eliminar el fuero de servidores públicos, presentada por el propio diputado, en nombre del Grupo Parlamentario del Partido morena.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las Comisiones Legislativas de Gobernación y Puntos Constitucionales y de Procuración y Administración de Justicia,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13.- La diputada Paola Jiménez Hernández hace uso de la palabra, para dar lectura a la Iniciativa con Proyecto de Decreto por el que se adiciona el artículo 61 Bis a la Ley de Educación del Estado de México, para establecer la regulación del uso de celulares y otros dispositivos móviles en las instituciones educativas de nivel básica (preescolar, primaria y secundaria), presentada por la propia diputada, en nombre del Grupo Parlamentario del Partido morena.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 Comisión Legislativa de Educación, Cultura, Ciencia, Tecnología e Innovación,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14.- La diputada Sandra Patricia Santos Rodríguez hace uso de la palabra, para dar lectura a la Iniciativa con Proyecto de Decreto por el que se reforman y adicionan diversas disposiciones de la </w:t>
      </w:r>
      <w:r w:rsidRPr="00F5516C">
        <w:rPr>
          <w:rFonts w:ascii="Times New Roman" w:hAnsi="Times New Roman" w:cs="Times New Roman"/>
          <w:sz w:val="24"/>
          <w:szCs w:val="24"/>
        </w:rPr>
        <w:lastRenderedPageBreak/>
        <w:t>Ley Orgánica Municipal del Estado de México, en materia del derecho a los cuidados, presentada por la propia diputada, en nombre del Grupo Parlamentario del Partido morena.</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las Comisiones Legislativas de Legislación y Administración Municipal y de Derechos Humanos,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15.- La diputada Zaira Cedillo Silva hace uso de la palabra, para dar lectura a la Iniciativa con Proyecto de Decreto que reforman y adicionan diversas disposiciones legales de la Ley de Acceso de las Mujeres a una Vida Libre de Violencia del Estado de México y del Código Penal de Estado de México, en materia de Cohabitación Forzada, presentada por la propia diputada, en nombre del Grupo Parlamentario del Partido morena.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las Comisiones Legislativas de Procuración y Administración de Justicia y Para la Igualdad de Género,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16.- La diputada Martha Azucena Camacho Reynoso hace uso de la palabra, para dar lectura a la Iniciativa con Proyecto de Decreto por el que se reforma el tercer párrafo del artículo 5o. de la Constitución Política del Estado Libre y Soberano de México, en materia de humanismo mexicano, presentada por la propia diputada, en nombre del Grupo Parlamentario del Partido morena.</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La Presidencia la remite a la Comisión Legislativa de Gobernación y Puntos Constitucionales, para su estudio y dictamen.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17.- La diputada Miriam Silva Mata hace uso de la palabra, para dar lectura a la Iniciativa con Proyecto de Decreto por la que se reforma el Código para la Biodiversidad del Estado de México, asimismo, se reforma la Ley de Eventos Públicos del Estado de México, en materia de espectáculos taurinos sin violencia, presentada por el diputado José Alberto Couttolenc Buentello, en nombre del Grupo Parlamentario del Partido Verde Ecologista de México.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La Presidencia la remite a la Comisión Legislativa de Protección Ambiental y Cambio Climático para su estudio dictamen.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18.- La diputada Gloria Vanessa Linares Zetina hace uso de la palabra, para dar lectura a la Iniciativa con Proyecto de Decreto por la que se expide la Ley de Sanidad, Inocuidad y Calidad Agroalimentaria del Estado de México, y se reforman los artículos 9.1, 9.4 y 9.18 del Código Administrativo del Estado de México, en materia de sanidad animal, vegetal, forestal, así como, la inocuidad y calidad agroalimentaria, presentada por la propia diputada, en nombre del Grupo Parlamentario del Partido Verde Ecologista de México.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la Comisión Legislativa de Desarrollo Agropecuario y Forestal,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19.- La diputada Itzel Guadalupe Pérez Correa hace uso de la palabra, para dar lectura a la Iniciativa con Proyecto de Decreto por la que se adiciona el Capítulo Cuarto denominado “Ecocidio” al Subtítulo Séptimo del Código Penal del Estado de México, en materia de ecocidio, presentada por la propia diputada, en nombre del Grupo Parlamentario del Partido Verde Ecologista de México.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las comisiones legislativas de Protección Ambiental y Cambio Climático y de Procuración y Administración de Justicia,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hechos, hace uso de la palabra el diputado Octavio Martínez Vargas quien solicita un minuto de silencio por el fallecimiento de Jesús Gabriel Solís Santiago y Uziel Arturo Zaragoza, líderes del Municipio de Ecatepec de Morelos.</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Se guarda un minuto de silencio.</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20.- El diputado Israel Espíndola López y la diputada Sara Alicia Ramírez de la O, hacen uso de la palabra para dar lectura a la Iniciativa por la que se expide la Ley para la Visibilización, Atención, Protección e Inclusión de las Personas con la Condición del Trastorno del Espectro Autista y otras Condiciones de la Neurodivergencia en el Estado de México, presentada por la propia diputada, en nombre del Grupo Parlamentario del Partido del Trabajo.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 Comisión Legislativa de Salud, Asistencia y Bienestar Social, para su estudio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solicitar adherirse a la Iniciativa hacen uso de la palabra la diputada Selina Trujillo Arizmendi, le diputade Luisa Esmeralda Navarro Hernández y el diputado Israel Espíndola López. La diputada presentante acepta las adhesiones.</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21.- La diputada Ana Yurixi Leyva Piñón hace uso de la palabra, para dar lectura a la Iniciativa con Proyecto de Decreto por la que se reforman la fracción III del artículo 16 de la Ley de Justicia Cívica del Estado de México, presentada por la propia diputada, en nombre del Grupo Parlamentario del Partido del Trabajo.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 Comisión Legislativa de Procuración y Administración de Justicia,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22.- La diputada Lilia Urbina Salazar hace uso de la palabra, para dar lectura a la Iniciativa con Proyecto de Decreto por el que se reforma la Constitución Política del Estado Libre y Soberano de México, para asegurar que el presupuesto de la Fiscalía General de Justicia, sea irreductible y progresivo, presentada por la propia diputada y el diputado Elías Rescala Jiménez, en nombre del Grupo Parlamentario del Partido Revolucionario Institucional.</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r w:rsidRPr="00F5516C">
        <w:rPr>
          <w:rFonts w:ascii="Times New Roman" w:hAnsi="Times New Roman" w:cs="Times New Roman"/>
          <w:sz w:val="24"/>
          <w:szCs w:val="24"/>
        </w:rPr>
        <w:t xml:space="preserve">La Presidencia la </w:t>
      </w:r>
      <w:r w:rsidRPr="00F5516C">
        <w:rPr>
          <w:rFonts w:ascii="Times New Roman" w:eastAsia="Times New Roman" w:hAnsi="Times New Roman" w:cs="Times New Roman"/>
          <w:sz w:val="24"/>
          <w:szCs w:val="24"/>
          <w:lang w:eastAsia="es-MX"/>
        </w:rPr>
        <w:t>remite a las Comisiones Legislativas de Gobernación y Puntos Constitucionales, de Planeación y Gasto Público y de Finanzas Públicas,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23.- El diputado Mariano Camacho San Martín hace uso de la palabra, para dar lectura a la Iniciativa con Proyecto de Decreto por el que se reforman y adicionan el Código Penal, la Ley Orgánica de la Fiscalía General de Justicia, la Ley Orgánica de la Administración Pública, la Ley de Seguridad y la Ley Orgánica Municipal, todos del Estado de México, para combatir, con un enfoque prioritario y diferenciado, el “cobro de piso”, presentada por el propio diputado y el diputado Elías Rescala Jiménez, en nombre del Grupo Parlamentario del Partido Revolucionario Institucional.</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las Comisiones Legislativas de Gobernación y Puntos Constitucionales, de Procuración y Administración de Justicia y de Seguridad Pública y Tránsito,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lastRenderedPageBreak/>
        <w:t>24.- La diputada Joanna Alejandra Felipe Torres hace uso de la palabra, para dar lectura a la Iniciativa con proyecto de Decreto por el que se adiciona un artículo 112 Bis al Código Financiero del Estado de México y Municipios y un artículo 6.26 Bis al Código Administrativo del Estado de México, a fin de crear un seguro colectivo de daños comprendido en el pago del Impuesto Predial, con el objeto de proteger el patrimonio de las personas contribuyentes frente a fenómenos perturbadores de origen natural, presentada por la propia diputada y el diputado Pablo Fernández de Cevallos González, en nombre del Grupo Parlamentario del Partido Acción Nacional.</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La Presidencia la remite a las Comisiones Legislativas de Planeación y Gasto Público y de Finanzas Públicas, para su estudio y dictamen.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25.- La diputada Rocío Alexia Dávila Sánchez hace uso de la palabra, para dar lectura a la Iniciativa con Proyecto de Decreto por el que se adicionan y reforman disposiciones a la Ley de Educación del Estado de México y a la Ley de Fomento a la Lectura y el Libro del Estado de México, para ampliar el acceso a la educación y la cultura mediante ludotecas, bibliotecas digitales y un sistema estatal de digitalización y protección de obras, presentada por la propia diputada y el diputado Pablo Fernández de Cevallos González, en nombre del Grupo Parlamentario del Partido Acción Nacional.</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se remite a la Comisión Legislativa de Educación, Cultura, Ciencia, Tecnología e Innovación,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26.- La diputada Ruth Salinas Reyes hace uso de la palabra, para dar lectura a la Iniciativa con Proyecto de Decreto que reforma diversas disposiciones de la Ley del Agua para el Estado de México y Municipios y del Código Financiero del Estado de México y Municipios, en materia de Compensación por la Falta de Suministro de Agua cuando no exista responsabilidad del usuario, presentada por las y los integrantes del Grupo Parlamentario del Partido Movimiento Ciudadano.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las Comisiones Legislativas de Recursos Hidráulicos, de Planeación y Gasto Público y de Finanzas Públicas,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27.- La diputada Maricela Beltrán Sánchez hace uso de la palabra, para dar lectura a la Iniciativa con Proyecto de Decreto que adiciona un segundo párrafo al artículo 114 de la Ley Orgánica Municipal del Estado de México, por el cual se simplifica el acceso al plan municipal de desarrollo, presentada por las y los integrantes del Grupo Parlamentario del Partido Movimiento Ciudadano.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la remite a la Comisión Legislativa de Legislación y Administración Municipal,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28.- A petición de los proponentes, se omite la lectura de la Iniciativa con Proyecto de Decreto por el que se reforma el artículo 273 BIS del Código Penal del Estado de México, en materia de Stealthing, presentada por el Diputado Omar Ortega Álvarez y la Diputada Araceli Casasola Salazar, en nombre del Grupo Parlamentario del Partido de la Revolución Democrática.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La Presidencia la </w:t>
      </w:r>
      <w:r w:rsidRPr="00F5516C">
        <w:rPr>
          <w:rFonts w:ascii="Times New Roman" w:eastAsia="Times New Roman" w:hAnsi="Times New Roman" w:cs="Times New Roman"/>
          <w:sz w:val="24"/>
          <w:szCs w:val="24"/>
          <w:lang w:eastAsia="es-MX"/>
        </w:rPr>
        <w:t>remite a la Comisión Legislativa de Procuración y Administración de Justicia,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29.- El diputado Edmundo Luis Valdeña Bastida hace uso de la palabra, para dar lectura al Punto de Acuerdo de urgente y obvia resolución por el que se exhortan a los Presidentes Municipales de </w:t>
      </w:r>
      <w:r w:rsidRPr="00F5516C">
        <w:rPr>
          <w:rFonts w:ascii="Times New Roman" w:hAnsi="Times New Roman" w:cs="Times New Roman"/>
          <w:sz w:val="24"/>
          <w:szCs w:val="24"/>
        </w:rPr>
        <w:lastRenderedPageBreak/>
        <w:t xml:space="preserve">Almoloya del Rio, Chapa de Mota, Cocotitlán, Morelos, Ocoyoacac, Tepetlaoxtoc, Villa de Allende y Zacazonapan, a fin de que se garantice el cumplimiento de la Ley del Sistema Anticorrupción del Estado de México y Municipios, presentado por el propio diputado y por el diputado Gerardo Pliego Santana, en nombre del Grupo Parlamentario del Partido morena. Solicita la dispensa del trámite de dictamen.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Es aprobada la dispensa del trámite de dictamen, por unanimidad de votos. </w:t>
      </w: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eastAsia="Times New Roman" w:hAnsi="Times New Roman" w:cs="Times New Roman"/>
          <w:sz w:val="24"/>
          <w:szCs w:val="24"/>
          <w:lang w:eastAsia="es-MX"/>
        </w:rPr>
        <w:t>Sin que motive debate el Punto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30.- El diputado Ernesto Santillán Ramírez hace uso de la palabra, para dar lectura al Punto de Acuerdo por el que se exhorta al H. Ayuntamiento de Ecatepec de Morelos a cumplir y operar plenamente el reconocimiento de Santa María Tulpetlac, como localidad indígena, garantizando sus derechos colectivos, territoriales, culturales y comunitarios, conforme a la declaratoria publicada en la Gaceta de Gobierno de fecha 29 de mayo de 2024, presentado por el propio diputado, en nombre del Grupo Parlamentario del Partido del Trabajo.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La Presidencia lo remite a la Comisión Legislativa de Asuntos Indígenas, para su estudio y dictamen.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Para hablar sobre el Punto de Acuerdo hacen uso de la palabra el diputado Octavio Martínez Vargas, la diputada Zaira Cedillo Silva y el diputado Edmundo Luis Valdeña Bastida.</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31.- La diputada Leticia Mejía García hace uso de la palabra, para dar lectura al Punto de acuerdo por el que se exhorta a la Secretaría de Movilidad del Gobierno del Estado de México para que, en coordinación con las autoridades federales competentes y la concesionaria IDEAL, refuerce la vigilancia y el cumplimiento de la normatividad aplicable a los cruces de vialidades con vías férreas, así como a los criterios de seguridad vial en la autopista Atlacomulco-Toluca y las casetas de cobro, presentada por la propia diputada, en nombre del Grupo Parlamentario del Partido Revolucionario Institucional. Solicita la dispensa del trámite de dictamen.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Es aprobada la dispensa del trámite de dictamen, por unanimidad de votos. </w:t>
      </w: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p>
    <w:p w:rsidR="00F5516C" w:rsidRPr="00F5516C" w:rsidRDefault="00F5516C" w:rsidP="00F5516C">
      <w:pPr>
        <w:spacing w:after="0" w:line="240" w:lineRule="auto"/>
        <w:jc w:val="both"/>
        <w:rPr>
          <w:rFonts w:ascii="Times New Roman" w:eastAsia="Times New Roman" w:hAnsi="Times New Roman" w:cs="Times New Roman"/>
          <w:sz w:val="24"/>
          <w:szCs w:val="24"/>
          <w:lang w:eastAsia="es-MX"/>
        </w:rPr>
      </w:pPr>
      <w:r w:rsidRPr="00F5516C">
        <w:rPr>
          <w:rFonts w:ascii="Times New Roman" w:eastAsia="Times New Roman" w:hAnsi="Times New Roman" w:cs="Times New Roman"/>
          <w:sz w:val="24"/>
          <w:szCs w:val="24"/>
          <w:lang w:eastAsia="es-MX"/>
        </w:rPr>
        <w:t xml:space="preserve">Sin que motive debate el Punto de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Punto de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lastRenderedPageBreak/>
        <w:t xml:space="preserve">La Presidencia informa que el día jueves 13 de noviembre del año en curso se presentará ante la Comisión Legislativa de Vigilancia del Órgano Superior de Fiscalización los informes de la Cuenta Pública del Órgano de Gobierno, Organismos Auxiliares y Órganos Autónomos del Estado de México, correspondientes al Ejercicio 2024 y de las Cuentas Públicas Municipales para el citado Ejercicio 2024. En consecuencia, se encomienda la Comisión Legislativa de Vigilancia del Órgano Superior de Fiscalización, que, una vez recibidas las cuentas públicas, se proceda a desarrollar sus trabajos y en su oportunidad presente a esta Asamblea los dictámenes correspondientes.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La Secretaría, por instrucciones de la Presidencia, da lectura a los comunicados siguientes: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Reunión de la Comisión Especial para el Rescate de la Cuenca del Río Lerma, jueves 13 de noviembre, 10:00 horas, Avenida Río Lerma Cerrillo Vista Hermosa, modalidad mixta, reunión. Reunión de trabajo.</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Reunión de la Comisión de Vigilancia del Órgano Superior de Fiscalización, jueves 13 de noviembre, 12:00 horas, Salón Benito Juárez, modalidad mixta, reunión de trabajo.</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Iniciativa con Proyecto de Decreto que reforma la Ley Orgánica Municipal del Estado de México, Comisiones Legislativas de Legislación y Administración Municipal y de Desarrollo Agropecuario y Forestal, reunión de trabajo.</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Iniciativa con Proyecto de Decreto por el que se reforma el artículo 6 y 30 de la Ley de Igualdad de Trato y Oportunidades entre Mujeres y Hombres del Estado de México y 33 de la Ley Orgánica de la Administración Pública del Estado de México; martes 18 de noviembre, 10:00 horas, Salón Narciso Bassols, modalidad mixta, Comisiones Legislativas de Gobernación y Puntos Constitucionales y Para la Igualdad de Género, reunión de trabajo.</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Iniciativa con Proyecto de Decreto por el que se reforman las fracciones XVI, XXX, XXXI, del artículo 3, inciso e) y se adiciona el inciso f) de la fracción IV e inciso a) de la fracción 5 del artículo 31 de la Ley de Juventud del Estado de México; se reforma a la fracción XXVII y adiciona la fracción XXVIII del artículo 33 de la Ley Orgánica de Administración Pública del Estado de México, martes 18 de noviembre, 11:00 horas, Salón Narciso Bassols, modalidad mixta, Comisiones Legislativas de Gobernación y Puntos Constitucionales y de la Juventud y el Deporte, reunión de trabajo.</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Iniciativa con Proyecto de Decreto por el que se reforman y adicionan diversas disposiciones a la Constitución Política del Estado Libre y Soberano del Estado de México y la Ley de Juventudes del Estado de México y la Ley de Cultura Física y Deporte del Estado de México, martes 18 de noviembre, 12:00 horas, Salón Narciso Bassols, modalidad mixta, Comisiones Legislativas de Gobernación y Puntos Constitucionales y de la Juventud y el Deporte, reunión de trabajo.</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Comisión de Vigilancia del Órgano Superior de Fiscalización, martes 18 de noviembre, 13:00 horas, Salón AMLO, modalidad mixta, Comisión Legislativa de Vigilancia de Órgano Superior de Fiscalización, reunión de trabajo y en su caso, dictaminación.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 xml:space="preserve">Iniciativa con Proyecto de Decreto por la que se expide la Ley para el Fomento de la Lectura y el Libro del Estado de México. Iniciativa con proyecto de decreto por el que se expide la Ley del Fomento para la Lectura y el Libro del Estado de México, martes 18 de noviembre, 15:00 horas. </w:t>
      </w:r>
      <w:r w:rsidRPr="00F5516C">
        <w:rPr>
          <w:rFonts w:ascii="Times New Roman" w:hAnsi="Times New Roman" w:cs="Times New Roman"/>
          <w:sz w:val="24"/>
          <w:szCs w:val="24"/>
        </w:rPr>
        <w:lastRenderedPageBreak/>
        <w:t xml:space="preserve">Salón Protocolo, modalidad mixta, Comisión Legislativa de Educación, Cultura, Ciencia, Tecnología e Innovación, reunión de trabajo.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F5516C">
        <w:rPr>
          <w:rFonts w:ascii="Times New Roman" w:hAnsi="Times New Roman" w:cs="Times New Roman"/>
          <w:sz w:val="24"/>
          <w:szCs w:val="24"/>
        </w:rPr>
        <w:t>Iniciativa con Proyecto de Decreto por el que se reforman y adicionan diversas disposiciones de la Ley de Seguridad del Estado de México y de la Ley Orgánica Municipal del Estado de México, miércoles 19 de noviembre, 10:00 horas, Salón Narciso Bassols, modalidad mixta, Comisiones Legislativas de Seguridad Pública y Tránsito y de Legislación y Administración Municipal, reunión de trabajo y, en su caso, dictaminación.</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F5516C" w:rsidRDefault="00F5516C" w:rsidP="00F5516C">
      <w:pPr>
        <w:spacing w:after="0" w:line="240" w:lineRule="auto"/>
        <w:jc w:val="both"/>
        <w:rPr>
          <w:rFonts w:ascii="Times New Roman" w:hAnsi="Times New Roman" w:cs="Times New Roman"/>
          <w:sz w:val="24"/>
          <w:szCs w:val="24"/>
        </w:rPr>
      </w:pPr>
      <w:r w:rsidRPr="00A34E49">
        <w:rPr>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rsidR="00F5516C" w:rsidRPr="00F5516C" w:rsidRDefault="00F5516C" w:rsidP="00F5516C">
      <w:pPr>
        <w:spacing w:after="0" w:line="240" w:lineRule="auto"/>
        <w:jc w:val="both"/>
        <w:rPr>
          <w:rFonts w:ascii="Times New Roman" w:hAnsi="Times New Roman" w:cs="Times New Roman"/>
          <w:sz w:val="24"/>
          <w:szCs w:val="24"/>
        </w:rPr>
      </w:pPr>
    </w:p>
    <w:p w:rsidR="00F5516C" w:rsidRPr="00A34E49" w:rsidRDefault="00F5516C" w:rsidP="00F5516C">
      <w:pPr>
        <w:spacing w:after="0" w:line="240" w:lineRule="auto"/>
        <w:jc w:val="both"/>
        <w:rPr>
          <w:rFonts w:ascii="Times New Roman" w:hAnsi="Times New Roman" w:cs="Times New Roman"/>
          <w:sz w:val="24"/>
          <w:szCs w:val="24"/>
        </w:rPr>
      </w:pPr>
      <w:r w:rsidRPr="00A34E49">
        <w:rPr>
          <w:rFonts w:ascii="Times New Roman" w:hAnsi="Times New Roman" w:cs="Times New Roman"/>
          <w:sz w:val="24"/>
          <w:szCs w:val="24"/>
        </w:rPr>
        <w:t xml:space="preserve">La Presidencia solicita a la Secretaría, registre la asistencia a la sesión, informando esta última, que ha quedado registrada la asistencia de las, le y los diputados. </w:t>
      </w:r>
    </w:p>
    <w:p w:rsidR="00F5516C" w:rsidRPr="00F5516C" w:rsidRDefault="00F5516C" w:rsidP="00F5516C">
      <w:pPr>
        <w:spacing w:after="0" w:line="240" w:lineRule="auto"/>
        <w:jc w:val="both"/>
        <w:rPr>
          <w:rFonts w:ascii="Times New Roman" w:hAnsi="Times New Roman" w:cs="Times New Roman"/>
          <w:noProof/>
          <w:sz w:val="24"/>
          <w:szCs w:val="24"/>
        </w:rPr>
      </w:pPr>
    </w:p>
    <w:p w:rsidR="00F5516C" w:rsidRPr="00F5516C" w:rsidRDefault="00F5516C" w:rsidP="00F5516C">
      <w:pPr>
        <w:spacing w:after="0" w:line="240" w:lineRule="auto"/>
        <w:jc w:val="both"/>
        <w:rPr>
          <w:rFonts w:ascii="Times New Roman" w:hAnsi="Times New Roman" w:cs="Times New Roman"/>
          <w:noProof/>
          <w:sz w:val="24"/>
          <w:szCs w:val="24"/>
        </w:rPr>
      </w:pPr>
      <w:r w:rsidRPr="00F5516C">
        <w:rPr>
          <w:rFonts w:ascii="Times New Roman" w:hAnsi="Times New Roman" w:cs="Times New Roman"/>
          <w:noProof/>
          <w:sz w:val="24"/>
          <w:szCs w:val="24"/>
        </w:rPr>
        <w:t xml:space="preserve">32.- Agotados los asuntos en cartera, la Presidencia levanta la Sesión siendo las veinte horas con treinta y dos minutos del día de la fecha y cita para el miércoles diecinueve del mes y año en curso, a las trece horas. </w:t>
      </w:r>
    </w:p>
    <w:p w:rsidR="00F5516C" w:rsidRPr="00A34E49" w:rsidRDefault="00F5516C" w:rsidP="00F5516C">
      <w:pPr>
        <w:spacing w:after="0" w:line="240" w:lineRule="auto"/>
        <w:jc w:val="both"/>
        <w:rPr>
          <w:rFonts w:ascii="Times New Roman" w:eastAsia="Calibri" w:hAnsi="Times New Roman" w:cs="Times New Roman"/>
          <w:b/>
          <w:bCs/>
          <w:sz w:val="24"/>
          <w:szCs w:val="24"/>
        </w:rPr>
      </w:pPr>
    </w:p>
    <w:p w:rsidR="00F5516C" w:rsidRPr="00A34E49" w:rsidRDefault="00F5516C" w:rsidP="00F5516C">
      <w:pPr>
        <w:spacing w:after="0" w:line="240" w:lineRule="auto"/>
        <w:jc w:val="center"/>
        <w:rPr>
          <w:rFonts w:ascii="Times New Roman" w:eastAsia="Calibri" w:hAnsi="Times New Roman" w:cs="Times New Roman"/>
          <w:b/>
          <w:bCs/>
          <w:sz w:val="24"/>
          <w:szCs w:val="24"/>
        </w:rPr>
      </w:pPr>
      <w:r w:rsidRPr="00A34E49">
        <w:rPr>
          <w:rFonts w:ascii="Times New Roman" w:eastAsia="Calibri" w:hAnsi="Times New Roman" w:cs="Times New Roman"/>
          <w:b/>
          <w:bCs/>
          <w:sz w:val="24"/>
          <w:szCs w:val="24"/>
        </w:rPr>
        <w:t>SECRETARIAS</w:t>
      </w:r>
    </w:p>
    <w:p w:rsidR="00F5516C" w:rsidRPr="00F5516C" w:rsidRDefault="00F5516C" w:rsidP="00F5516C">
      <w:pPr>
        <w:spacing w:after="0" w:line="240" w:lineRule="auto"/>
        <w:jc w:val="center"/>
        <w:rPr>
          <w:rFonts w:ascii="Times New Roman" w:hAnsi="Times New Roman" w:cs="Times New Roman"/>
          <w:b/>
          <w:sz w:val="24"/>
          <w:szCs w:val="24"/>
        </w:rPr>
      </w:pPr>
      <w:r w:rsidRPr="00F5516C">
        <w:rPr>
          <w:rFonts w:ascii="Times New Roman" w:hAnsi="Times New Roman" w:cs="Times New Roman"/>
          <w:b/>
          <w:sz w:val="24"/>
          <w:szCs w:val="24"/>
        </w:rPr>
        <w:t>DIP. BRENDA COLETTE MIRANDA VARGAS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03030A" w:rsidRPr="00A34E49" w:rsidTr="0003030A">
        <w:trPr>
          <w:jc w:val="center"/>
        </w:trPr>
        <w:tc>
          <w:tcPr>
            <w:tcW w:w="4697" w:type="dxa"/>
          </w:tcPr>
          <w:p w:rsidR="0003030A" w:rsidRPr="00A34E49" w:rsidRDefault="0003030A" w:rsidP="00F5516C">
            <w:pPr>
              <w:spacing w:line="240" w:lineRule="auto"/>
              <w:jc w:val="center"/>
              <w:rPr>
                <w:rFonts w:ascii="Times New Roman" w:hAnsi="Times New Roman" w:cs="Times New Roman"/>
                <w:b/>
                <w:sz w:val="24"/>
                <w:szCs w:val="24"/>
              </w:rPr>
            </w:pPr>
            <w:r w:rsidRPr="00F5516C">
              <w:rPr>
                <w:rFonts w:ascii="Times New Roman" w:hAnsi="Times New Roman" w:cs="Times New Roman"/>
                <w:b/>
                <w:sz w:val="24"/>
                <w:szCs w:val="24"/>
              </w:rPr>
              <w:t>DIP. EMMA LAURA ALVAREZ VILLAVICENCIO</w:t>
            </w:r>
          </w:p>
        </w:tc>
        <w:tc>
          <w:tcPr>
            <w:tcW w:w="4698" w:type="dxa"/>
          </w:tcPr>
          <w:p w:rsidR="0003030A" w:rsidRPr="00A34E49" w:rsidRDefault="0003030A" w:rsidP="00F5516C">
            <w:pPr>
              <w:spacing w:line="240" w:lineRule="auto"/>
              <w:jc w:val="center"/>
              <w:rPr>
                <w:rFonts w:ascii="Times New Roman" w:hAnsi="Times New Roman" w:cs="Times New Roman"/>
                <w:b/>
                <w:sz w:val="24"/>
                <w:szCs w:val="24"/>
              </w:rPr>
            </w:pPr>
            <w:r w:rsidRPr="00F5516C">
              <w:rPr>
                <w:rFonts w:ascii="Times New Roman" w:hAnsi="Times New Roman" w:cs="Times New Roman"/>
                <w:b/>
                <w:sz w:val="24"/>
                <w:szCs w:val="24"/>
              </w:rPr>
              <w:t>DIP. MARICELA BELTRÁN SÁNCHEZ</w:t>
            </w:r>
          </w:p>
        </w:tc>
      </w:tr>
    </w:tbl>
    <w:p w:rsidR="003D54B1" w:rsidRPr="00A34E49" w:rsidRDefault="003D54B1" w:rsidP="008A0ED6">
      <w:pPr>
        <w:spacing w:after="0" w:line="240" w:lineRule="auto"/>
        <w:jc w:val="center"/>
        <w:rPr>
          <w:rFonts w:ascii="Times New Roman" w:hAnsi="Times New Roman" w:cs="Times New Roman"/>
          <w:sz w:val="24"/>
          <w:szCs w:val="24"/>
        </w:rPr>
      </w:pPr>
    </w:p>
    <w:p w:rsidR="003D54B1" w:rsidRPr="00A34E49" w:rsidRDefault="003D54B1" w:rsidP="008A0ED6">
      <w:pPr>
        <w:spacing w:after="0" w:line="240" w:lineRule="auto"/>
        <w:jc w:val="center"/>
        <w:rPr>
          <w:rFonts w:ascii="Times New Roman" w:hAnsi="Times New Roman" w:cs="Times New Roman"/>
          <w:i/>
          <w:sz w:val="24"/>
          <w:szCs w:val="24"/>
        </w:rPr>
      </w:pPr>
      <w:r w:rsidRPr="00A34E49">
        <w:rPr>
          <w:rFonts w:ascii="Times New Roman" w:hAnsi="Times New Roman" w:cs="Times New Roman"/>
          <w:i/>
          <w:sz w:val="24"/>
          <w:szCs w:val="24"/>
        </w:rPr>
        <w:t>(Fin del documento)</w:t>
      </w:r>
    </w:p>
    <w:p w:rsidR="003D54B1" w:rsidRPr="00A34E49" w:rsidRDefault="003D54B1" w:rsidP="008A0ED6">
      <w:pPr>
        <w:spacing w:after="0" w:line="240" w:lineRule="auto"/>
        <w:jc w:val="center"/>
        <w:rPr>
          <w:rFonts w:ascii="Times New Roman" w:hAnsi="Times New Roman" w:cs="Times New Roman"/>
          <w:sz w:val="24"/>
          <w:szCs w:val="24"/>
        </w:rPr>
      </w:pPr>
    </w:p>
    <w:p w:rsidR="005F1546" w:rsidRPr="00F5516C" w:rsidRDefault="003D54B1" w:rsidP="003D54B1">
      <w:pPr>
        <w:pStyle w:val="Sinespaciado"/>
        <w:rPr>
          <w:color w:val="000000" w:themeColor="text1"/>
        </w:rPr>
      </w:pPr>
      <w:r w:rsidRPr="00F5516C">
        <w:rPr>
          <w:color w:val="000000" w:themeColor="text1"/>
        </w:rPr>
        <w:t xml:space="preserve">PRESIDENTA DIP. MARTHA AZUCENA CAMACHO REYNOSO. </w:t>
      </w:r>
      <w:r w:rsidR="005F1546" w:rsidRPr="00F5516C">
        <w:rPr>
          <w:color w:val="000000" w:themeColor="text1"/>
        </w:rPr>
        <w:t>Quienes estén por la aprobatoria del acta, sírvanse levantar la mano ¿En contra? ¿En abstención?</w:t>
      </w:r>
    </w:p>
    <w:p w:rsidR="005F1546" w:rsidRPr="00F5516C" w:rsidRDefault="005F1546" w:rsidP="00B54AF5">
      <w:pPr>
        <w:pStyle w:val="Sinespaciado"/>
        <w:rPr>
          <w:color w:val="000000" w:themeColor="text1"/>
        </w:rPr>
      </w:pPr>
      <w:r w:rsidRPr="00F5516C">
        <w:rPr>
          <w:color w:val="000000" w:themeColor="text1"/>
        </w:rPr>
        <w:t xml:space="preserve">SECRETARIA DIP. BRENDA COLETTE MIRANDA VARGAS. El acta ha sido aprobada por unanimidad de votos. </w:t>
      </w:r>
    </w:p>
    <w:p w:rsidR="005F1546" w:rsidRPr="007A27A5" w:rsidRDefault="005F1546" w:rsidP="00B54AF5">
      <w:pPr>
        <w:pStyle w:val="Sinespaciado"/>
        <w:rPr>
          <w:color w:val="000000" w:themeColor="text1"/>
        </w:rPr>
      </w:pPr>
      <w:r w:rsidRPr="00F5516C">
        <w:rPr>
          <w:color w:val="000000" w:themeColor="text1"/>
        </w:rPr>
        <w:t>PRESIDENTA DIP. MARTHA AZUCENA CAMACHO REYNOSO</w:t>
      </w:r>
      <w:r w:rsidRPr="007A27A5">
        <w:rPr>
          <w:color w:val="000000" w:themeColor="text1"/>
        </w:rPr>
        <w:t>. Gracias.</w:t>
      </w:r>
    </w:p>
    <w:p w:rsidR="005F1546" w:rsidRPr="007A27A5" w:rsidRDefault="005F1546" w:rsidP="007979E1">
      <w:pPr>
        <w:pStyle w:val="Sinespaciado"/>
        <w:ind w:firstLine="709"/>
        <w:rPr>
          <w:color w:val="000000" w:themeColor="text1"/>
        </w:rPr>
      </w:pPr>
      <w:r w:rsidRPr="007A27A5">
        <w:rPr>
          <w:color w:val="000000" w:themeColor="text1"/>
        </w:rPr>
        <w:t>Considerando el punto número 2, la diputada Arleth Grimaldo Osorio leerá el dictamen formulado con motivo de la Cuenta Pública del Gobierno, Organismos Auxiliares y Autónomos del Estado de México del Ejercicio Fiscal 2024, qu</w:t>
      </w:r>
      <w:r w:rsidR="0066422E" w:rsidRPr="007A27A5">
        <w:rPr>
          <w:color w:val="000000" w:themeColor="text1"/>
        </w:rPr>
        <w:t>e</w:t>
      </w:r>
      <w:r w:rsidRPr="007A27A5">
        <w:rPr>
          <w:color w:val="000000" w:themeColor="text1"/>
        </w:rPr>
        <w:t xml:space="preserve"> presenta la Comisión Legislativa de Vigilancia del Órgano Superior de la Fiscalización.</w:t>
      </w:r>
    </w:p>
    <w:p w:rsidR="005F1546" w:rsidRPr="007A27A5" w:rsidRDefault="005F1546" w:rsidP="00B54AF5">
      <w:pPr>
        <w:pStyle w:val="Sinespaciado"/>
        <w:rPr>
          <w:color w:val="000000" w:themeColor="text1"/>
        </w:rPr>
      </w:pPr>
      <w:r w:rsidRPr="007A27A5">
        <w:rPr>
          <w:color w:val="000000" w:themeColor="text1"/>
        </w:rPr>
        <w:t>DIP. ARLETH STEPHANIE GRIMALDO OSORIO. Muy buenas tardes a todas y a todos.</w:t>
      </w:r>
    </w:p>
    <w:p w:rsidR="005F1546" w:rsidRPr="007A27A5" w:rsidRDefault="005F1546" w:rsidP="008D3840">
      <w:pPr>
        <w:pStyle w:val="Sinespaciado"/>
        <w:ind w:firstLine="709"/>
        <w:rPr>
          <w:color w:val="000000" w:themeColor="text1"/>
        </w:rPr>
      </w:pPr>
      <w:r w:rsidRPr="007A27A5">
        <w:rPr>
          <w:color w:val="000000" w:themeColor="text1"/>
        </w:rPr>
        <w:t>Con el permiso del presídium y de las y los diputados que se encuentran el día de hoy aquí en pleno.</w:t>
      </w:r>
    </w:p>
    <w:p w:rsidR="005F1546" w:rsidRPr="007A27A5" w:rsidRDefault="005F1546" w:rsidP="00B54AF5">
      <w:pPr>
        <w:pStyle w:val="Sinespaciado"/>
        <w:jc w:val="center"/>
        <w:rPr>
          <w:color w:val="000000" w:themeColor="text1"/>
        </w:rPr>
      </w:pPr>
      <w:r w:rsidRPr="007A27A5">
        <w:rPr>
          <w:color w:val="000000" w:themeColor="text1"/>
        </w:rPr>
        <w:t>DICTAMEN DE LA CUENTA PÚBLICA DEL EJERCICIO FISCAL DEL AÑO 2024, DE GOBIERNO, ORGANISMOS AUXILIARES Y AUTÓNOMOS DEL ESTADO DE MÉXICO.</w:t>
      </w:r>
    </w:p>
    <w:p w:rsidR="005F1546" w:rsidRPr="007A27A5" w:rsidRDefault="005F1546" w:rsidP="008A5C9E">
      <w:pPr>
        <w:pStyle w:val="Sinespaciado"/>
        <w:ind w:firstLine="709"/>
        <w:rPr>
          <w:color w:val="000000" w:themeColor="text1"/>
        </w:rPr>
      </w:pPr>
      <w:r w:rsidRPr="007A27A5">
        <w:rPr>
          <w:color w:val="000000" w:themeColor="text1"/>
        </w:rPr>
        <w:t>HONORABLE ASAMBLEA.</w:t>
      </w:r>
    </w:p>
    <w:p w:rsidR="00B606D7" w:rsidRPr="007A27A5" w:rsidRDefault="005F1546" w:rsidP="008A5C9E">
      <w:pPr>
        <w:pStyle w:val="Sinespaciado"/>
        <w:ind w:firstLine="709"/>
        <w:rPr>
          <w:color w:val="000000" w:themeColor="text1"/>
        </w:rPr>
      </w:pPr>
      <w:r w:rsidRPr="007A27A5">
        <w:rPr>
          <w:color w:val="000000" w:themeColor="text1"/>
        </w:rPr>
        <w:t>En términos de lo dispuesto en los artículos 61 fracciones XXXII, XXXIII, XXXIV y XXXV de la Constitución Política del Estado Libre y Soberano de México; 30, 31 fracción I, 35, 40, 50, 51 y 52 de la Ley de Fiscalización Superior del Estado de México; 35 y 95 de la Ley Orgánica del Poder Legislativo del Estado Libre y Soberano de México; 1, 13 A fracción XX inciso e), 78, y 148 del Reglamento del Poder Legislativo del Estado Libre y Soberano de México; la Comisión Legislativa de Vigilancia del Órgano Superior de Fiscalización somete a consideración de esta Honorable Asamblea el presente</w:t>
      </w:r>
      <w:r w:rsidR="00B606D7" w:rsidRPr="007A27A5">
        <w:rPr>
          <w:color w:val="000000" w:themeColor="text1"/>
        </w:rPr>
        <w:t>:</w:t>
      </w:r>
    </w:p>
    <w:p w:rsidR="005F1546" w:rsidRPr="007A27A5" w:rsidRDefault="00DF5842" w:rsidP="00DF5842">
      <w:pPr>
        <w:pStyle w:val="Sinespaciado"/>
        <w:jc w:val="center"/>
        <w:rPr>
          <w:color w:val="000000" w:themeColor="text1"/>
        </w:rPr>
      </w:pPr>
      <w:r w:rsidRPr="007A27A5">
        <w:rPr>
          <w:color w:val="000000" w:themeColor="text1"/>
        </w:rPr>
        <w:t>DICTAMEN</w:t>
      </w:r>
    </w:p>
    <w:p w:rsidR="005F1546" w:rsidRPr="007A27A5" w:rsidRDefault="005F1546" w:rsidP="00DF5842">
      <w:pPr>
        <w:pStyle w:val="Sinespaciado"/>
        <w:rPr>
          <w:color w:val="000000" w:themeColor="text1"/>
        </w:rPr>
      </w:pPr>
      <w:r w:rsidRPr="007A27A5">
        <w:rPr>
          <w:color w:val="000000" w:themeColor="text1"/>
        </w:rPr>
        <w:lastRenderedPageBreak/>
        <w:t>ANTECEDENTES.</w:t>
      </w:r>
    </w:p>
    <w:p w:rsidR="005F1546" w:rsidRPr="007A27A5" w:rsidRDefault="005F1546" w:rsidP="008A5C9E">
      <w:pPr>
        <w:pStyle w:val="Sinespaciado"/>
        <w:ind w:firstLine="709"/>
        <w:rPr>
          <w:color w:val="000000" w:themeColor="text1"/>
        </w:rPr>
      </w:pPr>
      <w:r w:rsidRPr="007A27A5">
        <w:rPr>
          <w:color w:val="000000" w:themeColor="text1"/>
        </w:rPr>
        <w:t xml:space="preserve">En cumplimiento de los artículos 77 fracción XIX de la Constitución Política del Estado Libre y Soberano de México y del artículo 32 de la Ley de Fiscalización Superior del Estado de México, el 30 de abril de 2025 el Ejecutivo Estatal, a través de la Secretaría de Finanzas, presentó a la “LXII” Legislatura del Estado de México la “Cuenta Pública del Gobierno, Organismos Auxiliares y Autónomos del Estado de México 2024”, la cual se integró conforme a lo señalado en la Ley General de Contabilidad Gubernamental, la Ley de Disciplina Financiera de las Entidades Federativas y los Municipios, y el Código Financiero del Estado de México y Municipios. </w:t>
      </w:r>
    </w:p>
    <w:p w:rsidR="005F1546" w:rsidRPr="007A27A5" w:rsidRDefault="005F1546" w:rsidP="008A5C9E">
      <w:pPr>
        <w:pStyle w:val="Sinespaciado"/>
        <w:ind w:firstLine="709"/>
        <w:rPr>
          <w:color w:val="000000" w:themeColor="text1"/>
        </w:rPr>
      </w:pPr>
      <w:r w:rsidRPr="007A27A5">
        <w:rPr>
          <w:color w:val="000000" w:themeColor="text1"/>
        </w:rPr>
        <w:t>El Órgano Superior de Fiscalización del Estado de México emitió el Programa Anual de Auditorías para la Fiscalización y Revisión de las Cuentas Públicas del Ejercicio Fiscal 2024 (PAA 2025), el cual contiene las entidades fiscalizables que fueron objeto de auditoría y revisión de sus cuentas públicas, mismo que se publicó el 20 de febrero de 2025 a través del Periódico Oficial “Gaceta del Gobierno”.</w:t>
      </w:r>
    </w:p>
    <w:p w:rsidR="005F1546" w:rsidRPr="007A27A5" w:rsidRDefault="005F1546" w:rsidP="008A5C9E">
      <w:pPr>
        <w:pStyle w:val="Sinespaciado"/>
        <w:ind w:firstLine="709"/>
        <w:rPr>
          <w:color w:val="000000" w:themeColor="text1"/>
        </w:rPr>
      </w:pPr>
      <w:r w:rsidRPr="007A27A5">
        <w:rPr>
          <w:color w:val="000000" w:themeColor="text1"/>
        </w:rPr>
        <w:t xml:space="preserve">Por ello exponemos que una vez recibida, revisada y fiscalizada la Cuenta Pública del Gobierno, Organismos Auxiliares y Autónomos del Estado de México del Ejercicio Fiscal 2024, analizamos la información correspondiente al ámbito estatal, así como los actos de fiscalización que sumaron 31 auditorías, once de cumplimiento financiero, cinco de inversión física, seis de legalidad y nueve de desempeño, más las revisiones a los organismos auxiliares. Una vez concluida la etapa de auditoría, las observaciones determinadas continúan con la etapa de seguimiento a la fecha de la emisión de este dictamen. </w:t>
      </w:r>
    </w:p>
    <w:p w:rsidR="0049218A" w:rsidRPr="007A27A5" w:rsidRDefault="005F1546" w:rsidP="008A5C9E">
      <w:pPr>
        <w:pStyle w:val="Sinespaciado"/>
        <w:ind w:firstLine="709"/>
        <w:rPr>
          <w:color w:val="000000" w:themeColor="text1"/>
        </w:rPr>
      </w:pPr>
      <w:r w:rsidRPr="007A27A5">
        <w:rPr>
          <w:color w:val="000000" w:themeColor="text1"/>
        </w:rPr>
        <w:t>Las entidades fiscalizadas tienen el derecho de aclarar, a efecto de subsanar las acciones determinadas en caso de subsistir observaciones serán turnada a la Unidad de Investigación del Órgano Superior de Fiscalización, a efecto de que califiquen</w:t>
      </w:r>
      <w:r w:rsidR="00F51606" w:rsidRPr="007A27A5">
        <w:rPr>
          <w:color w:val="000000" w:themeColor="text1"/>
        </w:rPr>
        <w:t xml:space="preserve"> </w:t>
      </w:r>
      <w:r w:rsidR="0049218A" w:rsidRPr="007A27A5">
        <w:rPr>
          <w:color w:val="000000" w:themeColor="text1"/>
        </w:rPr>
        <w:t>la falta administrativa y determinen a los presuntos responsables, asimismo, en atención a lo establecido en el artículo 31 fracción I y 50 de la Ley de Fiscalización Superior del Estado de México, la Comisión Legislativa de Vigilancia del Órgano Superior de Fiscalización llevó a cabo reuniones de trabajo con la auditora superior y con personal servidoras públicas de la dependencia a su cargo para analizar el informe de resultados.</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A partir del análisis cuyo objetivo es determinar si la Cuenta Pública de Gobierno, Organismos Auxiliares y Autónomos del Estado de México del Ejercicio Fiscal 2024 cumplieron con los criterios establecidos en el artículo 35 de la Ley de Fiscalización Superior del Estado de México, sobre la revisión, fiscalización y calificación de las cuentas públicas, entre otras, si los programas y su ejecución se ajustaron a los términos y montos aprobados, si las cantidades corresponden a los ingresos o egresos, se ajustan o corresponden a los conceptos y a las partidas predeterminadas, entre otros.</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La Comisión de Vigilancia del Órgano Superior de Fiscalización elaboró el dictamen que da por fiscalizada y calificada la Cuenta Pública del Gobierno, Organismos Auxiliares y Autónomos del Estado de México.</w:t>
      </w:r>
    </w:p>
    <w:p w:rsidR="0049218A" w:rsidRPr="007A27A5" w:rsidRDefault="0049218A" w:rsidP="00B54AF5">
      <w:pPr>
        <w:spacing w:after="0" w:line="240" w:lineRule="auto"/>
        <w:jc w:val="center"/>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RESOLUTIVOS</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ARTÍCULO PRIMERO. La Cuenta Pública del Ejercicio Fiscal del año 2024 del Poder Ejecutivo, Organismos Auxiliares y Autónomos del Estado de México se presentó en cumplimiento con los mandatos constitucionales y legales aplicables.</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ARTÍCULO SEGUNDO. El Órgano Superior de Fiscalización del Estado de México deberá informar a la Comisión de Vigilancia del Órgano Superior de Fiscalización los resultados de la etapa de aclaraciones contempladas en el artículo 54 de la Ley de Fiscalización Superior del Estado de México.</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BF8F00" w:themeColor="accent4" w:themeShade="BF"/>
          <w:sz w:val="24"/>
          <w:szCs w:val="24"/>
        </w:rPr>
        <w:tab/>
      </w:r>
      <w:r w:rsidRPr="007A27A5">
        <w:rPr>
          <w:rFonts w:ascii="Times New Roman" w:hAnsi="Times New Roman" w:cs="Times New Roman"/>
          <w:color w:val="000000" w:themeColor="text1"/>
          <w:sz w:val="24"/>
          <w:szCs w:val="24"/>
        </w:rPr>
        <w:t xml:space="preserve">ARTÍCULO TERCERO. La Cuenta Pública del Ejercicio Fiscal 2024 del Poder Ejecutivo, Organismos Auxiliares y Autónomos del Estado de México se tiene por fiscalizada y revisada por </w:t>
      </w:r>
      <w:r w:rsidRPr="007A27A5">
        <w:rPr>
          <w:rFonts w:ascii="Times New Roman" w:hAnsi="Times New Roman" w:cs="Times New Roman"/>
          <w:color w:val="000000" w:themeColor="text1"/>
          <w:sz w:val="24"/>
          <w:szCs w:val="24"/>
        </w:rPr>
        <w:lastRenderedPageBreak/>
        <w:t>el Órgano Superior de Fiscalización del Estado de México y analizada por la Comisión de Vigilancia del Órgano Superior de Fiscalización.</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 xml:space="preserve">ARTÍCULO CUARTO. La Comisión de Vigilancia del Órgano Superior de Fiscalización recomienda al Pleno calificar y aprobar en lo general y en lo particular la Cuenta Pública del Ejercicio Fiscal 2024 del Poder Ejecutivo, </w:t>
      </w:r>
      <w:r w:rsidR="00596E36" w:rsidRPr="007A27A5">
        <w:rPr>
          <w:rFonts w:ascii="Times New Roman" w:hAnsi="Times New Roman" w:cs="Times New Roman"/>
          <w:color w:val="000000" w:themeColor="text1"/>
          <w:sz w:val="24"/>
          <w:szCs w:val="24"/>
        </w:rPr>
        <w:t xml:space="preserve">Organismos </w:t>
      </w:r>
      <w:r w:rsidRPr="007A27A5">
        <w:rPr>
          <w:rFonts w:ascii="Times New Roman" w:hAnsi="Times New Roman" w:cs="Times New Roman"/>
          <w:color w:val="000000" w:themeColor="text1"/>
          <w:sz w:val="24"/>
          <w:szCs w:val="24"/>
        </w:rPr>
        <w:t>Auxiliares y Autónomos del Estado de México, la aprobación de la cuenta no suspende el trámite de las acciones promovidas del Órgano Superior de Fiscalización del Estado de México.</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ARTÍCULO QUINTO. La revisión, fiscalización y calificación de la Cuenta Pública del Ejercicio Fiscal del año 2024 del Poder Ejecutivo, Organismos Auxiliares y Autónomos del Estado de México no implica liberación de responsabilidades que pudieran llegarse a determinar con posterioridad por las autoridades de control y/o fiscalización federales o estatales que efectúen en ámbitos de su competencia.</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BF8F00" w:themeColor="accent4" w:themeShade="BF"/>
          <w:sz w:val="24"/>
          <w:szCs w:val="24"/>
        </w:rPr>
        <w:tab/>
      </w:r>
      <w:r w:rsidRPr="007A27A5">
        <w:rPr>
          <w:rFonts w:ascii="Times New Roman" w:hAnsi="Times New Roman" w:cs="Times New Roman"/>
          <w:color w:val="000000" w:themeColor="text1"/>
          <w:sz w:val="24"/>
          <w:szCs w:val="24"/>
        </w:rPr>
        <w:t>De conformidad con lo establecido en el artículo 74 de la Ley de Fiscalización Superior del Estado de México y otras disposiciones jurídicas aplicables.</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Dado en el Palacio del Poder Legislativo, de la ciudad de Toluca de Lerdo, capital del Estado de México, el día dieciocho del mes de noviembre del año dos mil veinticinco.</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 xml:space="preserve">Es </w:t>
      </w:r>
      <w:proofErr w:type="spellStart"/>
      <w:r w:rsidRPr="007A27A5">
        <w:rPr>
          <w:rFonts w:ascii="Times New Roman" w:hAnsi="Times New Roman" w:cs="Times New Roman"/>
          <w:color w:val="000000" w:themeColor="text1"/>
          <w:sz w:val="24"/>
          <w:szCs w:val="24"/>
        </w:rPr>
        <w:t>cuanto</w:t>
      </w:r>
      <w:proofErr w:type="spellEnd"/>
      <w:r w:rsidRPr="007A27A5">
        <w:rPr>
          <w:rFonts w:ascii="Times New Roman" w:hAnsi="Times New Roman" w:cs="Times New Roman"/>
          <w:color w:val="000000" w:themeColor="text1"/>
          <w:sz w:val="24"/>
          <w:szCs w:val="24"/>
        </w:rPr>
        <w:t>.</w:t>
      </w:r>
    </w:p>
    <w:p w:rsidR="0066422E" w:rsidRPr="007A27A5" w:rsidRDefault="0066422E" w:rsidP="00EA6029">
      <w:pPr>
        <w:pStyle w:val="Sinespaciado"/>
      </w:pPr>
    </w:p>
    <w:p w:rsidR="0066422E" w:rsidRPr="007A27A5" w:rsidRDefault="0066422E" w:rsidP="00EA6029">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(Se inserta documento)</w:t>
      </w:r>
    </w:p>
    <w:p w:rsidR="0066422E" w:rsidRPr="007A27A5" w:rsidRDefault="0066422E" w:rsidP="00EA6029">
      <w:pPr>
        <w:spacing w:after="0" w:line="240" w:lineRule="auto"/>
        <w:jc w:val="center"/>
        <w:rPr>
          <w:rFonts w:ascii="Times New Roman" w:hAnsi="Times New Roman" w:cs="Times New Roman"/>
          <w:sz w:val="24"/>
          <w:szCs w:val="24"/>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DICTAMEN DE LA CUENTA PÚBLICA DEL EJERCICIO FISCAL DEL AÑO 2024 DEL GOBIERNO, ORGANISMOS AUXILIARES Y AUTÓNOMOS DEL ESTADO DE MÉXICO.</w:t>
      </w:r>
      <w:r w:rsidRPr="007A27A5">
        <w:rPr>
          <w:rFonts w:ascii="Times New Roman" w:eastAsia="Aptos" w:hAnsi="Times New Roman" w:cs="Times New Roman"/>
          <w:kern w:val="2"/>
          <w:sz w:val="24"/>
          <w:szCs w:val="24"/>
          <w14:ligatures w14:val="standardContextual"/>
        </w:rPr>
        <w:t xml:space="preserve"> </w:t>
      </w: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HONORABLE ASAMBLEA</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términos de lo dispuesto en los artículos 61 fracciones XXXII, XXXIII, XXXIV y XXXV de la Constitución Política del Estado Libre y Soberano de México; 30, 31 fracción I, 35, 40, 50, 51 y 52 de la Ley de Fiscalización Superior del Estado de México; 35 y 95 de la Ley Orgánica del Poder Legislativo del Estado Libre y Soberano de México; 1, 13 A fracción XX inciso e), 78, y 148 del Reglamento del Poder Legislativo del Estado Libre y Soberano de México; la Comisión Legislativa de Vigilancia del Órgano Superior de Fiscalización somete a consideración de esta Honorable Asamblea el presente dictamen.</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ANTECEDENTES</w:t>
      </w: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cumplimiento de los artículos 77 fracción XIX de la Constitución Política del Estado Libre y Soberano de México y del artículo 32 de la Ley de Fiscalización Superior del Estado de México, el 30 de abril de 2025 el Ejecutivo Estatal, a través de la Secretaría de Finanzas, presentó a la “LXII” Legislatura del Estado de México la “Cuenta Pública del Gobierno, Organismos Auxiliares y Autónomos del Estado de México 2024”, la cual se integró conforme a lo señalado en la Ley General de Contabilidad Gubernamental, la Ley de Disciplina Financiera de las Entidades Federativas y los Municipios, y el Código Financiero del Estado de México y Municipios.</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El Órgano Superior de Fiscalización del Estado de México, dependiente de este Poder Legislativo, es el encargado de revisar y fiscalizar las cuentas públicas de las entidades fiscalizables estatales y municipales conforme a los principios de legalidad, definitividad, imparcialidad, confiabilidad y de máxima publicidad, con el objetivo de prevenir posibles actos de corrupción y promover las responsabilidades que sean procedentes. </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primer lugar, el Órgano Superior de Fiscalización del Estado de México emitió el Programa Anual de Auditorías para la Fiscalización y Revisión de las Cuentas Públicas del Ejercicio Fiscal 2024 (PAA 2025), el cual contiene las entidades fiscalizables que fueron objeto de auditoría y revisión de sus cuentas públicas, mismo que se publicó el 20 de febrero de 2025 a través del Periódico Oficial “Gaceta del Gobierno”.</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cumplimiento al artículo 50 de la Ley de Fiscalización Superior del Estado de México, el Órgano Superior presentó el 13 de noviembre de 2025</w:t>
      </w:r>
      <w:r w:rsidRPr="007A27A5">
        <w:rPr>
          <w:rFonts w:ascii="Times New Roman" w:eastAsia="Aptos" w:hAnsi="Times New Roman" w:cs="Times New Roman"/>
          <w:color w:val="EE0000"/>
          <w:kern w:val="2"/>
          <w:sz w:val="24"/>
          <w:szCs w:val="24"/>
          <w14:ligatures w14:val="standardContextual"/>
        </w:rPr>
        <w:t xml:space="preserve"> </w:t>
      </w:r>
      <w:r w:rsidRPr="007A27A5">
        <w:rPr>
          <w:rFonts w:ascii="Times New Roman" w:eastAsia="Aptos" w:hAnsi="Times New Roman" w:cs="Times New Roman"/>
          <w:kern w:val="2"/>
          <w:sz w:val="24"/>
          <w:szCs w:val="24"/>
          <w14:ligatures w14:val="standardContextual"/>
        </w:rPr>
        <w:t>a esta “LXII” Legislatura, a través de la Comisión Legislativa de Vigilancia del Órgano Superior de Fiscalización, el “Informe de Resultados de la Fiscalización de las Cuentas Públicas del Gobierno del Estado de México y los Municipios correspondiente al Ejercicio Fiscal 2024”, documento que contiene el resultado los actos de fiscalización descritos en el Programa Anual de Auditorías, dado que es obligación de la Legislatura calificar anualmente las cuentas de los recursos públicos del Estado y municipios, como lo establece el artículo 61 fracciones XXXII, XXXIII, XXXIV y XXXV de la Constitución Política del Estado Libre y Soberano de México.</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Por ello, nos proponemos exponer que, una vez recibida, revisada y fiscalizada la Cuenta Pública del Gobierno, Organismos Auxiliares y Autónomos del Estado de México del Ejercicio Fiscal 2024, analizamos la información correspondiente al ámbito estatal, así como los actos de fiscalización que sumaron 31 auditorías: 11 de Cumplimiento Financiero; 5 de Inversión Física; 6 de Legalidad y 9 de Desempeño; más las revisiones a los Organismos Auxiliares.</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Una vez concluida la etapa de auditoría, las observaciones determinadas continúan con la etapa de seguimiento; a la fecha de la emisión de este dictamen, las 31 auditorías se encuentran en fase de seguimiento, en la que todas estas entidades fiscalizadas tienen el derecho de aclarar a efecto de subsanar las acciones determinadas; en caso de subsistir observaciones, serán turnadas a la Unidad de Investigación del Órgano Superior de Fiscalización a efecto de que califique la falta administrativa y determine a los presuntos responsables.</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Asimismo, en atención a lo establecido en los artículos 31 fracción I y 50 de la Ley de Fiscalización Superior del Estado de México, la Comisión Legislativa de Vigilancia del Órgano Superior de Fiscalización llevó a cabo reuniones de trabajo con la Auditora Superior y personas servidoras públicas de la dependencia a su cargo para analizar el Informe de Resultados.</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 partir del análisis, cuyo objeto es determinar si la “Cuenta Pública del Gobierno, Organismos Auxiliares y Autónomos del Estado de México del Ejercicio Fiscal 2024” cumplió con los criterios establecidos en el artículo 35 de la Ley de Fiscalización Superior del Estado de México sobre la revisión, fiscalización y calificación de las cuentas públicas, entre otras cosas; si los programas y su ejecución se ajustaron a los términos y montos aprobados; si las cantidades correspondientes a los ingresos o a los egresos, se ajustan o corresponden a los conceptos y a las partidas respectivas; el cumplimiento de los programas autorizados; si los recursos provenientes del financiamiento se obtuvieron en los términos autorizados y se aplicaron con la periodicidad y forma establecidas por la Ley y demás disposiciones aplicables, y si se cumplieron los compromisos adquiridos en los actos respectivos; y la gestión financiera de las entidades fiscalizables, en sus programas y procesos concluidos, entre otros, la Comisión Legislativa de Vigilancia del Órgano Superior de Fiscalización elaboró el dictamen que da por fiscalizada y calificada la Cuenta Pública del Gobierno, Organismos Auxiliares y Autónomos del Estado de México, por lo que se da cuenta de las siguientes:</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lastRenderedPageBreak/>
        <w:t>CONSIDERACIONES</w:t>
      </w: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atención a lo establecido en la Ley Orgánica y el Reglamento del Poder Legislativo del Estado Libre y Soberano de México, la Comisión Legislativa de Vigilancia del Órgano Superior de Fiscalización tuvo a bien realizar el análisis y revisión del “Informe de Resultados de la Revisión y Fiscalización Superior de la Cuenta Pública del Gobierno, Organismos Auxiliares y Autónomos del Estado de México Ejercicio Fiscal 2024”.</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Que el Informe de Resultados cumple con lo estipulado en el artículo 51 de la Ley de Fiscalización Superior del Estado de México, por lo que, la Comisión Legislativa de Vigilancia del Órgano Superior de Fiscalización propone al Pleno de la “LXII” Legislatura la calificación de la Cuenta Pública del Gobierno, Organismos Auxiliares y Autónomos del Estado de México, con base en los criterios establecidos en el artículo 35 de la Ley de Fiscalización Superior del Estado de México.</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 estructura del análisis se presenta de la siguiente manera: </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w:t>
      </w:r>
      <w:r w:rsidRPr="007A27A5">
        <w:rPr>
          <w:rFonts w:ascii="Times New Roman" w:eastAsia="Aptos" w:hAnsi="Times New Roman" w:cs="Times New Roman"/>
          <w:kern w:val="2"/>
          <w:sz w:val="24"/>
          <w:szCs w:val="24"/>
          <w14:ligatures w14:val="standardContextual"/>
        </w:rPr>
        <w:t xml:space="preserve"> Presupuesto ejercido. </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B.</w:t>
      </w:r>
      <w:r w:rsidRPr="007A27A5">
        <w:rPr>
          <w:rFonts w:ascii="Times New Roman" w:eastAsia="Aptos" w:hAnsi="Times New Roman" w:cs="Times New Roman"/>
          <w:kern w:val="2"/>
          <w:sz w:val="24"/>
          <w:szCs w:val="24"/>
          <w14:ligatures w14:val="standardContextual"/>
        </w:rPr>
        <w:t xml:space="preserve"> Resultados de los actos de fiscalización al Poder Ejecutivo, Organismos Auxiliares y Autónomos del Estado de México. </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 PRESUPUESTO EJERCIDO.</w:t>
      </w:r>
      <w:r w:rsidRPr="007A27A5">
        <w:rPr>
          <w:rFonts w:ascii="Times New Roman" w:eastAsia="Aptos" w:hAnsi="Times New Roman" w:cs="Times New Roman"/>
          <w:kern w:val="2"/>
          <w:sz w:val="24"/>
          <w:szCs w:val="24"/>
          <w14:ligatures w14:val="standardContextual"/>
        </w:rPr>
        <w:t xml:space="preserve"> </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El gasto total previsto en el presupuesto de egresos para el Ejercicio Fiscal 2024 ascendió a la cantidad de </w:t>
      </w:r>
      <w:r w:rsidRPr="007A27A5">
        <w:rPr>
          <w:rFonts w:ascii="Times New Roman" w:eastAsia="Aptos" w:hAnsi="Times New Roman" w:cs="Times New Roman"/>
          <w:b/>
          <w:bCs/>
          <w:kern w:val="2"/>
          <w:sz w:val="24"/>
          <w:szCs w:val="24"/>
          <w14:ligatures w14:val="standardContextual"/>
        </w:rPr>
        <w:t>$377,935,043,833</w:t>
      </w:r>
      <w:r w:rsidRPr="007A27A5">
        <w:rPr>
          <w:rFonts w:ascii="Times New Roman" w:eastAsia="Aptos" w:hAnsi="Times New Roman" w:cs="Times New Roman"/>
          <w:kern w:val="2"/>
          <w:sz w:val="24"/>
          <w:szCs w:val="24"/>
          <w14:ligatures w14:val="standardContextual"/>
        </w:rPr>
        <w:t xml:space="preserve"> y correspondió al total de los ingresos aprobados por la Ley de Ingresos del Estado de México; mientras que el presupuesto total ejercido correspondió $379,915,088,232</w:t>
      </w:r>
      <w:r w:rsidRPr="007A27A5">
        <w:rPr>
          <w:rFonts w:ascii="Times New Roman" w:eastAsia="Aptos" w:hAnsi="Times New Roman" w:cs="Times New Roman"/>
          <w:color w:val="EE0000"/>
          <w:kern w:val="2"/>
          <w:sz w:val="24"/>
          <w:szCs w:val="24"/>
          <w14:ligatures w14:val="standardContextual"/>
        </w:rPr>
        <w:t xml:space="preserve"> </w:t>
      </w:r>
      <w:r w:rsidRPr="007A27A5">
        <w:rPr>
          <w:rFonts w:ascii="Times New Roman" w:eastAsia="Aptos" w:hAnsi="Times New Roman" w:cs="Times New Roman"/>
          <w:kern w:val="2"/>
          <w:sz w:val="24"/>
          <w:szCs w:val="24"/>
          <w14:ligatures w14:val="standardContextual"/>
        </w:rPr>
        <w:t>que a continuación se muestra:</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tbl>
      <w:tblPr>
        <w:tblStyle w:val="Tablaconcuadrcula6concolores1"/>
        <w:tblW w:w="9323" w:type="dxa"/>
        <w:tblLook w:val="04A0" w:firstRow="1" w:lastRow="0" w:firstColumn="1" w:lastColumn="0" w:noHBand="0" w:noVBand="1"/>
      </w:tblPr>
      <w:tblGrid>
        <w:gridCol w:w="4856"/>
        <w:gridCol w:w="2233"/>
        <w:gridCol w:w="2234"/>
      </w:tblGrid>
      <w:tr w:rsidR="00AE5353" w:rsidRPr="007A27A5" w:rsidTr="00F42DB1">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323" w:type="dxa"/>
            <w:gridSpan w:val="3"/>
          </w:tcPr>
          <w:p w:rsidR="00AE5353" w:rsidRPr="007A27A5" w:rsidRDefault="00AE5353" w:rsidP="00EA6029">
            <w:pPr>
              <w:spacing w:line="240" w:lineRule="auto"/>
              <w:contextualSpacing/>
              <w:jc w:val="center"/>
              <w:rPr>
                <w:rFonts w:ascii="Times New Roman" w:eastAsia="Aptos" w:hAnsi="Times New Roman" w:cs="Times New Roman"/>
                <w:color w:val="FFFFFF"/>
              </w:rPr>
            </w:pPr>
            <w:r w:rsidRPr="007A27A5">
              <w:rPr>
                <w:rFonts w:ascii="Times New Roman" w:eastAsia="Aptos" w:hAnsi="Times New Roman" w:cs="Times New Roman"/>
              </w:rPr>
              <w:t>Clasificación Administrativa</w:t>
            </w:r>
          </w:p>
        </w:tc>
      </w:tr>
      <w:tr w:rsidR="00F42DB1" w:rsidRPr="007A27A5" w:rsidTr="00F42DB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4856" w:type="dxa"/>
          </w:tcPr>
          <w:p w:rsidR="00AE5353" w:rsidRPr="007A27A5" w:rsidRDefault="00AE5353" w:rsidP="00EA6029">
            <w:pPr>
              <w:spacing w:line="240" w:lineRule="auto"/>
              <w:contextualSpacing/>
              <w:jc w:val="center"/>
              <w:rPr>
                <w:rFonts w:ascii="Times New Roman" w:eastAsia="Aptos" w:hAnsi="Times New Roman" w:cs="Times New Roman"/>
                <w:color w:val="FFFFFF"/>
              </w:rPr>
            </w:pPr>
            <w:r w:rsidRPr="007A27A5">
              <w:rPr>
                <w:rFonts w:ascii="Times New Roman" w:eastAsia="Aptos" w:hAnsi="Times New Roman" w:cs="Times New Roman"/>
                <w:color w:val="FFFFFF"/>
              </w:rPr>
              <w:t>Ente</w:t>
            </w:r>
          </w:p>
        </w:tc>
        <w:tc>
          <w:tcPr>
            <w:tcW w:w="2233" w:type="dxa"/>
          </w:tcPr>
          <w:p w:rsidR="00AE5353" w:rsidRPr="007A27A5" w:rsidRDefault="00AE5353" w:rsidP="00EA602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FFFFFF"/>
              </w:rPr>
            </w:pPr>
            <w:r w:rsidRPr="007A27A5">
              <w:rPr>
                <w:rFonts w:ascii="Times New Roman" w:eastAsia="Aptos" w:hAnsi="Times New Roman" w:cs="Times New Roman"/>
                <w:b/>
                <w:bCs/>
                <w:color w:val="FFFFFF"/>
              </w:rPr>
              <w:t>Aprobado</w:t>
            </w:r>
          </w:p>
        </w:tc>
        <w:tc>
          <w:tcPr>
            <w:tcW w:w="2233" w:type="dxa"/>
          </w:tcPr>
          <w:p w:rsidR="00AE5353" w:rsidRPr="007A27A5" w:rsidRDefault="00AE5353" w:rsidP="00EA602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FFFFFF"/>
              </w:rPr>
            </w:pPr>
            <w:r w:rsidRPr="007A27A5">
              <w:rPr>
                <w:rFonts w:ascii="Times New Roman" w:eastAsia="Aptos" w:hAnsi="Times New Roman" w:cs="Times New Roman"/>
                <w:b/>
                <w:bCs/>
                <w:color w:val="FFFFFF"/>
              </w:rPr>
              <w:t>Ejercido*</w:t>
            </w:r>
          </w:p>
        </w:tc>
      </w:tr>
      <w:tr w:rsidR="00AE5353" w:rsidRPr="007A27A5" w:rsidTr="00F42DB1">
        <w:trPr>
          <w:trHeight w:val="278"/>
        </w:trPr>
        <w:tc>
          <w:tcPr>
            <w:cnfStyle w:val="001000000000" w:firstRow="0" w:lastRow="0" w:firstColumn="1" w:lastColumn="0" w:oddVBand="0" w:evenVBand="0" w:oddHBand="0" w:evenHBand="0" w:firstRowFirstColumn="0" w:firstRowLastColumn="0" w:lastRowFirstColumn="0" w:lastRowLastColumn="0"/>
            <w:tcW w:w="4856" w:type="dxa"/>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Poder Ejecutivo</w:t>
            </w:r>
          </w:p>
        </w:tc>
        <w:tc>
          <w:tcPr>
            <w:tcW w:w="2233" w:type="dxa"/>
          </w:tcPr>
          <w:p w:rsidR="00AE5353" w:rsidRPr="007A27A5" w:rsidRDefault="00AE5353" w:rsidP="00EA6029">
            <w:pPr>
              <w:spacing w:line="24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sidRPr="007A27A5">
              <w:rPr>
                <w:rFonts w:ascii="Times New Roman" w:eastAsia="Aptos" w:hAnsi="Times New Roman" w:cs="Times New Roman"/>
              </w:rPr>
              <w:t>205,365,808,036</w:t>
            </w:r>
          </w:p>
        </w:tc>
        <w:tc>
          <w:tcPr>
            <w:tcW w:w="2233" w:type="dxa"/>
          </w:tcPr>
          <w:p w:rsidR="00AE5353" w:rsidRPr="007A27A5" w:rsidRDefault="00AE5353" w:rsidP="00EA6029">
            <w:pPr>
              <w:spacing w:line="24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sidRPr="007A27A5">
              <w:rPr>
                <w:rFonts w:ascii="Times New Roman" w:eastAsia="Aptos" w:hAnsi="Times New Roman" w:cs="Times New Roman"/>
                <w:b/>
                <w:bCs/>
              </w:rPr>
              <w:t>206,301,204,492</w:t>
            </w:r>
          </w:p>
        </w:tc>
      </w:tr>
      <w:tr w:rsidR="00F42DB1" w:rsidRPr="007A27A5" w:rsidTr="00F42DB1">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856" w:type="dxa"/>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Poder Legislativo</w:t>
            </w:r>
          </w:p>
        </w:tc>
        <w:tc>
          <w:tcPr>
            <w:tcW w:w="2233" w:type="dxa"/>
          </w:tcPr>
          <w:p w:rsidR="00AE5353" w:rsidRPr="007A27A5" w:rsidRDefault="00AE5353" w:rsidP="00EA6029">
            <w:pPr>
              <w:spacing w:line="24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sidRPr="007A27A5">
              <w:rPr>
                <w:rFonts w:ascii="Times New Roman" w:eastAsia="Aptos" w:hAnsi="Times New Roman" w:cs="Times New Roman"/>
              </w:rPr>
              <w:t>2,159,000,000</w:t>
            </w:r>
          </w:p>
        </w:tc>
        <w:tc>
          <w:tcPr>
            <w:tcW w:w="2233" w:type="dxa"/>
          </w:tcPr>
          <w:p w:rsidR="00AE5353" w:rsidRPr="007A27A5" w:rsidRDefault="00AE5353" w:rsidP="00EA6029">
            <w:pPr>
              <w:spacing w:line="24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rPr>
            </w:pPr>
            <w:r w:rsidRPr="007A27A5">
              <w:rPr>
                <w:rFonts w:ascii="Times New Roman" w:eastAsia="Aptos" w:hAnsi="Times New Roman" w:cs="Times New Roman"/>
                <w:b/>
                <w:bCs/>
              </w:rPr>
              <w:t>2,159,246,280</w:t>
            </w:r>
          </w:p>
        </w:tc>
      </w:tr>
      <w:tr w:rsidR="00AE5353" w:rsidRPr="007A27A5" w:rsidTr="00F42DB1">
        <w:trPr>
          <w:trHeight w:val="278"/>
        </w:trPr>
        <w:tc>
          <w:tcPr>
            <w:cnfStyle w:val="001000000000" w:firstRow="0" w:lastRow="0" w:firstColumn="1" w:lastColumn="0" w:oddVBand="0" w:evenVBand="0" w:oddHBand="0" w:evenHBand="0" w:firstRowFirstColumn="0" w:firstRowLastColumn="0" w:lastRowFirstColumn="0" w:lastRowLastColumn="0"/>
            <w:tcW w:w="4856" w:type="dxa"/>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Poder Judicial</w:t>
            </w:r>
          </w:p>
        </w:tc>
        <w:tc>
          <w:tcPr>
            <w:tcW w:w="2233" w:type="dxa"/>
          </w:tcPr>
          <w:p w:rsidR="00AE5353" w:rsidRPr="007A27A5" w:rsidRDefault="00AE5353" w:rsidP="00EA6029">
            <w:pPr>
              <w:spacing w:line="24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7A27A5">
              <w:rPr>
                <w:rFonts w:ascii="Times New Roman" w:eastAsia="Aptos" w:hAnsi="Times New Roman" w:cs="Times New Roman"/>
              </w:rPr>
              <w:t>5,768,215,504</w:t>
            </w:r>
          </w:p>
        </w:tc>
        <w:tc>
          <w:tcPr>
            <w:tcW w:w="2233" w:type="dxa"/>
          </w:tcPr>
          <w:p w:rsidR="00AE5353" w:rsidRPr="007A27A5" w:rsidRDefault="00AE5353" w:rsidP="00EA6029">
            <w:pPr>
              <w:spacing w:line="24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sidRPr="007A27A5">
              <w:rPr>
                <w:rFonts w:ascii="Times New Roman" w:eastAsia="Aptos" w:hAnsi="Times New Roman" w:cs="Times New Roman"/>
                <w:b/>
                <w:bCs/>
              </w:rPr>
              <w:t>6,196,800,414</w:t>
            </w:r>
          </w:p>
        </w:tc>
      </w:tr>
      <w:tr w:rsidR="00F42DB1" w:rsidRPr="007A27A5" w:rsidTr="00F42DB1">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856" w:type="dxa"/>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Órganos Autónomos</w:t>
            </w:r>
          </w:p>
        </w:tc>
        <w:tc>
          <w:tcPr>
            <w:tcW w:w="2233" w:type="dxa"/>
          </w:tcPr>
          <w:p w:rsidR="00AE5353" w:rsidRPr="007A27A5" w:rsidRDefault="00AE5353" w:rsidP="00EA6029">
            <w:pPr>
              <w:spacing w:line="24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rPr>
            </w:pPr>
            <w:r w:rsidRPr="007A27A5">
              <w:rPr>
                <w:rFonts w:ascii="Times New Roman" w:eastAsia="Aptos" w:hAnsi="Times New Roman" w:cs="Times New Roman"/>
              </w:rPr>
              <w:t>15,551,512,172</w:t>
            </w:r>
          </w:p>
        </w:tc>
        <w:tc>
          <w:tcPr>
            <w:tcW w:w="2233" w:type="dxa"/>
          </w:tcPr>
          <w:p w:rsidR="00AE5353" w:rsidRPr="007A27A5" w:rsidRDefault="00AE5353" w:rsidP="00EA6029">
            <w:pPr>
              <w:spacing w:line="24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rPr>
            </w:pPr>
            <w:r w:rsidRPr="007A27A5">
              <w:rPr>
                <w:rFonts w:ascii="Times New Roman" w:eastAsia="Aptos" w:hAnsi="Times New Roman" w:cs="Times New Roman"/>
                <w:b/>
                <w:bCs/>
              </w:rPr>
              <w:t>15,712,870,831</w:t>
            </w:r>
          </w:p>
        </w:tc>
      </w:tr>
      <w:tr w:rsidR="00AE5353" w:rsidRPr="007A27A5" w:rsidTr="00F42DB1">
        <w:trPr>
          <w:trHeight w:val="278"/>
        </w:trPr>
        <w:tc>
          <w:tcPr>
            <w:cnfStyle w:val="001000000000" w:firstRow="0" w:lastRow="0" w:firstColumn="1" w:lastColumn="0" w:oddVBand="0" w:evenVBand="0" w:oddHBand="0" w:evenHBand="0" w:firstRowFirstColumn="0" w:firstRowLastColumn="0" w:lastRowFirstColumn="0" w:lastRowLastColumn="0"/>
            <w:tcW w:w="4856" w:type="dxa"/>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Otras Entidades Paraestatales y Organismos</w:t>
            </w:r>
          </w:p>
        </w:tc>
        <w:tc>
          <w:tcPr>
            <w:tcW w:w="2233" w:type="dxa"/>
          </w:tcPr>
          <w:p w:rsidR="00AE5353" w:rsidRPr="007A27A5" w:rsidRDefault="00AE5353" w:rsidP="00EA6029">
            <w:pPr>
              <w:spacing w:line="24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sidRPr="007A27A5">
              <w:rPr>
                <w:rFonts w:ascii="Times New Roman" w:eastAsia="Aptos" w:hAnsi="Times New Roman" w:cs="Times New Roman"/>
              </w:rPr>
              <w:t>149,090,508,121</w:t>
            </w:r>
          </w:p>
        </w:tc>
        <w:tc>
          <w:tcPr>
            <w:tcW w:w="2233" w:type="dxa"/>
          </w:tcPr>
          <w:p w:rsidR="00AE5353" w:rsidRPr="007A27A5" w:rsidRDefault="00AE5353" w:rsidP="00EA6029">
            <w:pPr>
              <w:spacing w:line="24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sidRPr="007A27A5">
              <w:rPr>
                <w:rFonts w:ascii="Times New Roman" w:eastAsia="Aptos" w:hAnsi="Times New Roman" w:cs="Times New Roman"/>
                <w:b/>
                <w:bCs/>
              </w:rPr>
              <w:t>149,544,966,215</w:t>
            </w:r>
          </w:p>
        </w:tc>
      </w:tr>
      <w:tr w:rsidR="00F42DB1" w:rsidRPr="007A27A5" w:rsidTr="00F42DB1">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4856" w:type="dxa"/>
          </w:tcPr>
          <w:p w:rsidR="00AE5353" w:rsidRPr="007A27A5" w:rsidRDefault="00AE5353" w:rsidP="00EA6029">
            <w:pPr>
              <w:spacing w:line="240" w:lineRule="auto"/>
              <w:contextualSpacing/>
              <w:jc w:val="right"/>
              <w:rPr>
                <w:rFonts w:ascii="Times New Roman" w:eastAsia="Aptos" w:hAnsi="Times New Roman" w:cs="Times New Roman"/>
                <w:color w:val="FFFFFF"/>
              </w:rPr>
            </w:pPr>
            <w:r w:rsidRPr="007A27A5">
              <w:rPr>
                <w:rFonts w:ascii="Times New Roman" w:eastAsia="Aptos" w:hAnsi="Times New Roman" w:cs="Times New Roman"/>
                <w:color w:val="FFFFFF"/>
              </w:rPr>
              <w:t xml:space="preserve">Total </w:t>
            </w:r>
          </w:p>
        </w:tc>
        <w:tc>
          <w:tcPr>
            <w:tcW w:w="2233" w:type="dxa"/>
          </w:tcPr>
          <w:p w:rsidR="00AE5353" w:rsidRPr="007A27A5" w:rsidRDefault="00AE5353" w:rsidP="00EA6029">
            <w:pPr>
              <w:spacing w:line="24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FFFFFF"/>
              </w:rPr>
            </w:pPr>
            <w:bookmarkStart w:id="0" w:name="_Hlk213239308"/>
            <w:r w:rsidRPr="007A27A5">
              <w:rPr>
                <w:rFonts w:ascii="Times New Roman" w:eastAsia="Aptos" w:hAnsi="Times New Roman" w:cs="Times New Roman"/>
                <w:b/>
                <w:bCs/>
                <w:color w:val="FFFFFF"/>
              </w:rPr>
              <w:t>377,935,043,833</w:t>
            </w:r>
            <w:bookmarkEnd w:id="0"/>
          </w:p>
        </w:tc>
        <w:tc>
          <w:tcPr>
            <w:tcW w:w="2233" w:type="dxa"/>
          </w:tcPr>
          <w:p w:rsidR="00AE5353" w:rsidRPr="007A27A5" w:rsidRDefault="00AE5353" w:rsidP="00EA6029">
            <w:pPr>
              <w:spacing w:line="24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FFFFFF"/>
              </w:rPr>
            </w:pPr>
            <w:r w:rsidRPr="007A27A5">
              <w:rPr>
                <w:rFonts w:ascii="Times New Roman" w:eastAsia="Aptos" w:hAnsi="Times New Roman" w:cs="Times New Roman"/>
                <w:b/>
                <w:bCs/>
                <w:color w:val="FFFFFF"/>
              </w:rPr>
              <w:t>379,915,088,232</w:t>
            </w:r>
          </w:p>
        </w:tc>
      </w:tr>
    </w:tbl>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B. RESULTADOS DE LOS ACTOS DE FISCALIZACIÓN AL PODER EJECUTIVO, ORGANISMOS AUXILIARES Y AUTÓNOMOS DEL ESTADO DE MÉXICO.</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Una auditoría es un proceso sistemático que permite, mediante la recolección de evidencias, determinar la confiabilidad y calidad de la ejecución de las actividades realizadas, en congruencia con los criterios de auditoría, requisitos, políticas y procedimientos establecidos en la organización, para la toma de decisiones. </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De acuerdo con las necesidades, se especializa con el fin de brindar una mayor seguridad en sus resultados, clasificándose por la procedencia del auditor, y por su área de aplicación en auditoría de desempeño, legalidad, cumplimiento financiero e inversión física.</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el Órgano Superior del Estado de México, para el Ejercicio Fiscal 2024, se ejecutaron 31 auditorías: 11 de Cumplimiento Financiero; 5 de Inversión Física; 6 de Legalidad y 9 de Desempeño.</w:t>
      </w:r>
    </w:p>
    <w:p w:rsidR="00AE5353" w:rsidRPr="007A27A5" w:rsidRDefault="00AE5353" w:rsidP="00EA6029">
      <w:pPr>
        <w:spacing w:after="0" w:line="240" w:lineRule="auto"/>
        <w:contextualSpacing/>
        <w:jc w:val="both"/>
        <w:rPr>
          <w:rFonts w:ascii="Times New Roman" w:eastAsia="Aptos" w:hAnsi="Times New Roman" w:cs="Times New Roman"/>
          <w:color w:val="EE0000"/>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Las </w:t>
      </w:r>
      <w:r w:rsidRPr="007A27A5">
        <w:rPr>
          <w:rFonts w:ascii="Times New Roman" w:eastAsia="Aptos" w:hAnsi="Times New Roman" w:cs="Times New Roman"/>
          <w:b/>
          <w:bCs/>
          <w:kern w:val="2"/>
          <w:sz w:val="24"/>
          <w:szCs w:val="24"/>
          <w14:ligatures w14:val="standardContextual"/>
        </w:rPr>
        <w:t>Auditorías de Cumplimiento Financiero</w:t>
      </w:r>
      <w:r w:rsidRPr="007A27A5">
        <w:rPr>
          <w:rFonts w:ascii="Times New Roman" w:eastAsia="Aptos" w:hAnsi="Times New Roman" w:cs="Times New Roman"/>
          <w:kern w:val="2"/>
          <w:sz w:val="24"/>
          <w:szCs w:val="24"/>
          <w14:ligatures w14:val="standardContextual"/>
        </w:rPr>
        <w:t xml:space="preserve"> fiscalizan el ejercicio de los ingresos y egresos, la custodia y aplicación a efecto de comprobar que su recaudación y administración se apegue a las disposiciones legales administrativas presupuestales y financieras aplicables. El número de observaciones por entidad fiscalizable derivado de las auditorías de cumplimiento financiero fue el que se desglosa a continuación:</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tbl>
      <w:tblPr>
        <w:tblStyle w:val="Tablaconcuadrcula1"/>
        <w:tblW w:w="0" w:type="auto"/>
        <w:tblLook w:val="04A0" w:firstRow="1" w:lastRow="0" w:firstColumn="1" w:lastColumn="0" w:noHBand="0" w:noVBand="1"/>
      </w:tblPr>
      <w:tblGrid>
        <w:gridCol w:w="2138"/>
        <w:gridCol w:w="4258"/>
        <w:gridCol w:w="1205"/>
        <w:gridCol w:w="1794"/>
      </w:tblGrid>
      <w:tr w:rsidR="00AE5353" w:rsidRPr="007A27A5" w:rsidTr="00AE5353">
        <w:trPr>
          <w:trHeight w:val="20"/>
        </w:trPr>
        <w:tc>
          <w:tcPr>
            <w:tcW w:w="0" w:type="auto"/>
            <w:gridSpan w:val="4"/>
            <w:shd w:val="clear" w:color="auto" w:fill="BFBFBF"/>
          </w:tcPr>
          <w:p w:rsidR="00AE5353" w:rsidRPr="007A27A5" w:rsidRDefault="00AE5353" w:rsidP="00EA6029">
            <w:pPr>
              <w:spacing w:line="240" w:lineRule="auto"/>
              <w:jc w:val="center"/>
              <w:rPr>
                <w:rFonts w:ascii="Times New Roman" w:eastAsia="Times New Roman" w:hAnsi="Times New Roman" w:cs="Times New Roman"/>
                <w:b/>
                <w:bCs/>
                <w:color w:val="000000"/>
                <w:lang w:eastAsia="es-MX"/>
              </w:rPr>
            </w:pPr>
            <w:r w:rsidRPr="007A27A5">
              <w:rPr>
                <w:rFonts w:ascii="Times New Roman" w:eastAsia="Aptos" w:hAnsi="Times New Roman" w:cs="Times New Roman"/>
                <w:b/>
                <w:bCs/>
                <w:color w:val="FFFFFF"/>
              </w:rPr>
              <w:t xml:space="preserve">AUDITORÍAS DE CUMPLIMIENTO FINANCIERO </w:t>
            </w:r>
          </w:p>
        </w:tc>
      </w:tr>
      <w:tr w:rsidR="00AE5353" w:rsidRPr="007A27A5" w:rsidTr="008A0ED6">
        <w:tblPrEx>
          <w:jc w:val="center"/>
        </w:tblPrEx>
        <w:trPr>
          <w:trHeight w:val="20"/>
          <w:jc w:val="center"/>
        </w:trPr>
        <w:tc>
          <w:tcPr>
            <w:tcW w:w="2263" w:type="dxa"/>
            <w:vAlign w:val="center"/>
            <w:hideMark/>
          </w:tcPr>
          <w:p w:rsidR="00AE5353" w:rsidRPr="007A27A5" w:rsidRDefault="00AE5353"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Tipo de Entidad</w:t>
            </w:r>
          </w:p>
        </w:tc>
        <w:tc>
          <w:tcPr>
            <w:tcW w:w="4522" w:type="dxa"/>
            <w:vAlign w:val="center"/>
            <w:hideMark/>
          </w:tcPr>
          <w:p w:rsidR="00AE5353" w:rsidRPr="007A27A5" w:rsidRDefault="00AE5353"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Entidad</w:t>
            </w:r>
          </w:p>
        </w:tc>
        <w:tc>
          <w:tcPr>
            <w:tcW w:w="1270" w:type="dxa"/>
            <w:vAlign w:val="center"/>
            <w:hideMark/>
          </w:tcPr>
          <w:p w:rsidR="00AE5353" w:rsidRPr="007A27A5" w:rsidRDefault="00AE5353"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No. Auditoría</w:t>
            </w:r>
          </w:p>
        </w:tc>
        <w:tc>
          <w:tcPr>
            <w:tcW w:w="1897" w:type="dxa"/>
            <w:vAlign w:val="center"/>
            <w:hideMark/>
          </w:tcPr>
          <w:p w:rsidR="00AE5353" w:rsidRPr="007A27A5" w:rsidRDefault="00F42DB1"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Número</w:t>
            </w:r>
            <w:r w:rsidR="00AE5353" w:rsidRPr="007A27A5">
              <w:rPr>
                <w:rFonts w:ascii="Times New Roman" w:eastAsia="Aptos" w:hAnsi="Times New Roman" w:cs="Times New Roman"/>
                <w:b/>
                <w:bCs/>
              </w:rPr>
              <w:t xml:space="preserve"> de observaciones</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Dependencias del Poder Ejecutivo</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Secretaría General de Gobierno (Coordinación General de Comunicación Social)</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ACF-145</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373</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Organismos Auxiliares</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Instituto de Seguridad Social del </w:t>
            </w:r>
          </w:p>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Estado de México y Municipios</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ACF-154</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64</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Órganos Autónomos</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Comisión de Derechos Humanos </w:t>
            </w:r>
          </w:p>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del Estado de México</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ACF-158</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53</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Dependencias del Poder Ejecutivo</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Oficialía Mayor </w:t>
            </w:r>
          </w:p>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(Dirección de Recursos Materiales)</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ACF-136</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24</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Dependencias del Poder Ejecutivo</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Secretaría de Finanzas</w:t>
            </w:r>
          </w:p>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 (Subsecretaría de Tesorería)</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ACF-139</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Dependencias del Poder Ejecutivo</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Secretaría de Finanzas </w:t>
            </w:r>
          </w:p>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(Subsecretaría de Ingresos)</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ACF-138</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10</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Fideicomiso</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Fideicomiso de Reserva Territorial para el Desarrollo de Equipamiento </w:t>
            </w:r>
          </w:p>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Urbano Regional F/1385</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ACF-146</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10</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Dependencias del Poder Ejecutivo</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Consejería Jurídica (Dirección </w:t>
            </w:r>
          </w:p>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General del Registro Civil)</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ACF-134</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AE5353" w:rsidRPr="007A27A5" w:rsidTr="008A0ED6">
        <w:tblPrEx>
          <w:jc w:val="center"/>
        </w:tblPrEx>
        <w:trPr>
          <w:trHeight w:val="20"/>
          <w:jc w:val="center"/>
        </w:trPr>
        <w:tc>
          <w:tcPr>
            <w:tcW w:w="2263"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Fideicomiso</w:t>
            </w:r>
          </w:p>
        </w:tc>
        <w:tc>
          <w:tcPr>
            <w:tcW w:w="4522"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Fideicomiso Fondo Alianza para el Campo del Estado de México</w:t>
            </w:r>
          </w:p>
        </w:tc>
        <w:tc>
          <w:tcPr>
            <w:tcW w:w="1270"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ACF-147</w:t>
            </w:r>
          </w:p>
        </w:tc>
        <w:tc>
          <w:tcPr>
            <w:tcW w:w="1897" w:type="dxa"/>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2</w:t>
            </w:r>
          </w:p>
        </w:tc>
      </w:tr>
      <w:tr w:rsidR="00AE5353" w:rsidRPr="007A27A5" w:rsidTr="008A0ED6">
        <w:tblPrEx>
          <w:jc w:val="center"/>
        </w:tblPrEx>
        <w:trPr>
          <w:trHeight w:val="20"/>
          <w:jc w:val="center"/>
        </w:trPr>
        <w:tc>
          <w:tcPr>
            <w:tcW w:w="2263" w:type="dxa"/>
            <w:tcBorders>
              <w:bottom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Dependencias del Poder Ejecutivo</w:t>
            </w:r>
          </w:p>
        </w:tc>
        <w:tc>
          <w:tcPr>
            <w:tcW w:w="4522" w:type="dxa"/>
            <w:tcBorders>
              <w:bottom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Secretaría General de Gobierno (Coordinación de Proyectos Estratégicos)</w:t>
            </w:r>
          </w:p>
        </w:tc>
        <w:tc>
          <w:tcPr>
            <w:tcW w:w="1270" w:type="dxa"/>
            <w:tcBorders>
              <w:bottom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ACF-144</w:t>
            </w:r>
          </w:p>
        </w:tc>
        <w:tc>
          <w:tcPr>
            <w:tcW w:w="1897" w:type="dxa"/>
            <w:tcBorders>
              <w:bottom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w:t>
            </w:r>
          </w:p>
        </w:tc>
      </w:tr>
      <w:tr w:rsidR="00AE5353" w:rsidRPr="007A27A5" w:rsidTr="008A0ED6">
        <w:tblPrEx>
          <w:jc w:val="center"/>
        </w:tblPrEx>
        <w:trPr>
          <w:trHeight w:val="20"/>
          <w:jc w:val="center"/>
        </w:trPr>
        <w:tc>
          <w:tcPr>
            <w:tcW w:w="2263" w:type="dxa"/>
            <w:tcBorders>
              <w:bottom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Dependencias del Poder Ejecutivo</w:t>
            </w:r>
          </w:p>
        </w:tc>
        <w:tc>
          <w:tcPr>
            <w:tcW w:w="4522" w:type="dxa"/>
            <w:tcBorders>
              <w:bottom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Secretaría General de Gobierno (Coordinación de Innovación Gubernamental y Agenda Digital)</w:t>
            </w:r>
          </w:p>
        </w:tc>
        <w:tc>
          <w:tcPr>
            <w:tcW w:w="1270" w:type="dxa"/>
            <w:tcBorders>
              <w:bottom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ACF-143</w:t>
            </w:r>
          </w:p>
        </w:tc>
        <w:tc>
          <w:tcPr>
            <w:tcW w:w="1897" w:type="dxa"/>
            <w:tcBorders>
              <w:bottom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w:t>
            </w:r>
          </w:p>
        </w:tc>
      </w:tr>
      <w:tr w:rsidR="00AE5353" w:rsidRPr="007A27A5" w:rsidTr="008A0ED6">
        <w:tblPrEx>
          <w:jc w:val="center"/>
        </w:tblPrEx>
        <w:trPr>
          <w:trHeight w:val="20"/>
          <w:jc w:val="center"/>
        </w:trPr>
        <w:tc>
          <w:tcPr>
            <w:tcW w:w="8055" w:type="dxa"/>
            <w:gridSpan w:val="3"/>
            <w:tcBorders>
              <w:top w:val="single" w:sz="4" w:space="0" w:color="auto"/>
              <w:left w:val="nil"/>
              <w:bottom w:val="nil"/>
              <w:right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rPr>
            </w:pPr>
          </w:p>
        </w:tc>
        <w:tc>
          <w:tcPr>
            <w:tcW w:w="1897" w:type="dxa"/>
            <w:tcBorders>
              <w:top w:val="single" w:sz="4" w:space="0" w:color="auto"/>
              <w:left w:val="single" w:sz="4" w:space="0" w:color="auto"/>
            </w:tcBorders>
            <w:noWrap/>
            <w:hideMark/>
          </w:tcPr>
          <w:p w:rsidR="00AE5353" w:rsidRPr="007A27A5" w:rsidRDefault="00AE5353"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554</w:t>
            </w:r>
          </w:p>
        </w:tc>
      </w:tr>
    </w:tbl>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El Órgano Superior de Fiscalización notifica a la Entidad Fiscalizada las acciones determinadas para iniciar el procedimiento de aclaración en cumplimiento a establecido en los artículos 53, 53 bis, 54 y 54 bis de la Ley de Fiscalización Superior del Estado de México. </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Las </w:t>
      </w:r>
      <w:r w:rsidRPr="007A27A5">
        <w:rPr>
          <w:rFonts w:ascii="Times New Roman" w:eastAsia="Aptos" w:hAnsi="Times New Roman" w:cs="Times New Roman"/>
          <w:b/>
          <w:bCs/>
          <w:kern w:val="2"/>
          <w:sz w:val="24"/>
          <w:szCs w:val="24"/>
          <w14:ligatures w14:val="standardContextual"/>
        </w:rPr>
        <w:t>Auditorías de Inversión Física</w:t>
      </w:r>
      <w:r w:rsidRPr="007A27A5">
        <w:rPr>
          <w:rFonts w:ascii="Times New Roman" w:eastAsia="Aptos" w:hAnsi="Times New Roman" w:cs="Times New Roman"/>
          <w:kern w:val="2"/>
          <w:sz w:val="24"/>
          <w:szCs w:val="24"/>
          <w14:ligatures w14:val="standardContextual"/>
        </w:rPr>
        <w:t xml:space="preserve"> fiscalizan los procesos de adquisición y contratación, desarrollo de las obras públicas y los servicios relacionados con las mismas, la justificación de las </w:t>
      </w:r>
      <w:r w:rsidRPr="007A27A5">
        <w:rPr>
          <w:rFonts w:ascii="Times New Roman" w:eastAsia="Aptos" w:hAnsi="Times New Roman" w:cs="Times New Roman"/>
          <w:kern w:val="2"/>
          <w:sz w:val="24"/>
          <w:szCs w:val="24"/>
          <w14:ligatures w14:val="standardContextual"/>
        </w:rPr>
        <w:lastRenderedPageBreak/>
        <w:t>inversiones, el cumplimiento de los estándares de calidad previstos en tiempo y forma. El número de observaciones por entidad fiscalizable derivado de las auditorías de inversión física fue el que se desglosa a continuación:</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tbl>
      <w:tblPr>
        <w:tblStyle w:val="Tablaconcuadrcula1"/>
        <w:tblW w:w="9467" w:type="dxa"/>
        <w:tblLayout w:type="fixed"/>
        <w:tblLook w:val="04A0" w:firstRow="1" w:lastRow="0" w:firstColumn="1" w:lastColumn="0" w:noHBand="0" w:noVBand="1"/>
      </w:tblPr>
      <w:tblGrid>
        <w:gridCol w:w="2016"/>
        <w:gridCol w:w="4310"/>
        <w:gridCol w:w="1212"/>
        <w:gridCol w:w="1929"/>
      </w:tblGrid>
      <w:tr w:rsidR="00AE5353" w:rsidRPr="007A27A5" w:rsidTr="00F42DB1">
        <w:trPr>
          <w:trHeight w:val="20"/>
        </w:trPr>
        <w:tc>
          <w:tcPr>
            <w:tcW w:w="9467" w:type="dxa"/>
            <w:gridSpan w:val="4"/>
            <w:shd w:val="clear" w:color="auto" w:fill="BFBFBF"/>
          </w:tcPr>
          <w:p w:rsidR="00AE5353" w:rsidRPr="007A27A5" w:rsidRDefault="00AE5353" w:rsidP="00EA6029">
            <w:pPr>
              <w:spacing w:line="240" w:lineRule="auto"/>
              <w:jc w:val="center"/>
              <w:rPr>
                <w:rFonts w:ascii="Times New Roman" w:eastAsia="Times New Roman" w:hAnsi="Times New Roman" w:cs="Times New Roman"/>
                <w:b/>
                <w:bCs/>
                <w:color w:val="000000"/>
                <w:lang w:eastAsia="es-MX"/>
              </w:rPr>
            </w:pPr>
            <w:r w:rsidRPr="007A27A5">
              <w:rPr>
                <w:rFonts w:ascii="Times New Roman" w:eastAsia="Aptos" w:hAnsi="Times New Roman" w:cs="Times New Roman"/>
                <w:b/>
                <w:bCs/>
                <w:color w:val="FFFFFF"/>
              </w:rPr>
              <w:t>AUDITORÍAS DE INVERSIÓN FÍSICA</w:t>
            </w:r>
          </w:p>
        </w:tc>
      </w:tr>
      <w:tr w:rsidR="00AE5353" w:rsidRPr="007A27A5" w:rsidTr="00F42DB1">
        <w:trPr>
          <w:trHeight w:val="20"/>
        </w:trPr>
        <w:tc>
          <w:tcPr>
            <w:tcW w:w="2016" w:type="dxa"/>
            <w:vAlign w:val="center"/>
            <w:hideMark/>
          </w:tcPr>
          <w:p w:rsidR="00AE5353" w:rsidRPr="007A27A5" w:rsidRDefault="00AE5353" w:rsidP="00EA6029">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Tipo de Entidad</w:t>
            </w:r>
          </w:p>
        </w:tc>
        <w:tc>
          <w:tcPr>
            <w:tcW w:w="4310" w:type="dxa"/>
            <w:vAlign w:val="center"/>
            <w:hideMark/>
          </w:tcPr>
          <w:p w:rsidR="00AE5353" w:rsidRPr="007A27A5" w:rsidRDefault="00AE5353" w:rsidP="00EA6029">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Entidad</w:t>
            </w:r>
          </w:p>
        </w:tc>
        <w:tc>
          <w:tcPr>
            <w:tcW w:w="1211" w:type="dxa"/>
            <w:vAlign w:val="center"/>
            <w:hideMark/>
          </w:tcPr>
          <w:p w:rsidR="00AE5353" w:rsidRPr="007A27A5" w:rsidRDefault="00AE5353" w:rsidP="00EA6029">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No. Auditoría</w:t>
            </w:r>
          </w:p>
        </w:tc>
        <w:tc>
          <w:tcPr>
            <w:tcW w:w="1928" w:type="dxa"/>
            <w:vAlign w:val="center"/>
            <w:hideMark/>
          </w:tcPr>
          <w:p w:rsidR="00AE5353" w:rsidRPr="007A27A5" w:rsidRDefault="00F42DB1" w:rsidP="00EA6029">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Número</w:t>
            </w:r>
            <w:r w:rsidR="00AE5353" w:rsidRPr="007A27A5">
              <w:rPr>
                <w:rFonts w:ascii="Times New Roman" w:eastAsia="Times New Roman" w:hAnsi="Times New Roman" w:cs="Times New Roman"/>
                <w:b/>
                <w:bCs/>
                <w:color w:val="000000"/>
                <w:lang w:eastAsia="es-MX"/>
              </w:rPr>
              <w:t xml:space="preserve"> de observaciones</w:t>
            </w:r>
          </w:p>
        </w:tc>
      </w:tr>
      <w:tr w:rsidR="00AE5353" w:rsidRPr="007A27A5" w:rsidTr="00F42DB1">
        <w:trPr>
          <w:trHeight w:val="20"/>
        </w:trPr>
        <w:tc>
          <w:tcPr>
            <w:tcW w:w="2016" w:type="dxa"/>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Órganos Autónomos</w:t>
            </w:r>
          </w:p>
        </w:tc>
        <w:tc>
          <w:tcPr>
            <w:tcW w:w="4310" w:type="dxa"/>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 xml:space="preserve">Universidad Autónoma del Estado de México </w:t>
            </w:r>
          </w:p>
        </w:tc>
        <w:tc>
          <w:tcPr>
            <w:tcW w:w="1211" w:type="dxa"/>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AIF-162</w:t>
            </w:r>
          </w:p>
        </w:tc>
        <w:tc>
          <w:tcPr>
            <w:tcW w:w="1928" w:type="dxa"/>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199</w:t>
            </w:r>
          </w:p>
        </w:tc>
      </w:tr>
      <w:tr w:rsidR="00AE5353" w:rsidRPr="007A27A5" w:rsidTr="00F42DB1">
        <w:trPr>
          <w:trHeight w:val="20"/>
        </w:trPr>
        <w:tc>
          <w:tcPr>
            <w:tcW w:w="2016" w:type="dxa"/>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Organismos Auxiliares</w:t>
            </w:r>
          </w:p>
        </w:tc>
        <w:tc>
          <w:tcPr>
            <w:tcW w:w="4310" w:type="dxa"/>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 xml:space="preserve">Comisión del Agua del Estado de México (Dirección General de Inversión y Gestión) </w:t>
            </w:r>
          </w:p>
        </w:tc>
        <w:tc>
          <w:tcPr>
            <w:tcW w:w="1211" w:type="dxa"/>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AIF-150</w:t>
            </w:r>
          </w:p>
        </w:tc>
        <w:tc>
          <w:tcPr>
            <w:tcW w:w="1928" w:type="dxa"/>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188</w:t>
            </w:r>
          </w:p>
        </w:tc>
      </w:tr>
      <w:tr w:rsidR="00AE5353" w:rsidRPr="007A27A5" w:rsidTr="00F42DB1">
        <w:trPr>
          <w:trHeight w:val="20"/>
        </w:trPr>
        <w:tc>
          <w:tcPr>
            <w:tcW w:w="2016" w:type="dxa"/>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Dependencias del Poder Ejecutivo</w:t>
            </w:r>
          </w:p>
        </w:tc>
        <w:tc>
          <w:tcPr>
            <w:tcW w:w="4310" w:type="dxa"/>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 xml:space="preserve">Secretaría de Movilidad (Dirección General de Vialidad) </w:t>
            </w:r>
          </w:p>
        </w:tc>
        <w:tc>
          <w:tcPr>
            <w:tcW w:w="1211" w:type="dxa"/>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AIF-140</w:t>
            </w:r>
          </w:p>
        </w:tc>
        <w:tc>
          <w:tcPr>
            <w:tcW w:w="1928" w:type="dxa"/>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55</w:t>
            </w:r>
          </w:p>
        </w:tc>
      </w:tr>
      <w:tr w:rsidR="00AE5353" w:rsidRPr="007A27A5" w:rsidTr="00F42DB1">
        <w:trPr>
          <w:trHeight w:val="20"/>
        </w:trPr>
        <w:tc>
          <w:tcPr>
            <w:tcW w:w="2016" w:type="dxa"/>
            <w:tcBorders>
              <w:bottom w:val="single" w:sz="4" w:space="0" w:color="auto"/>
            </w:tcBorders>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Organismos Auxiliares</w:t>
            </w:r>
          </w:p>
        </w:tc>
        <w:tc>
          <w:tcPr>
            <w:tcW w:w="4310" w:type="dxa"/>
            <w:tcBorders>
              <w:bottom w:val="single" w:sz="4" w:space="0" w:color="auto"/>
            </w:tcBorders>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 xml:space="preserve">Sistema de Transporte Masivo y Teleférico del Estado de México </w:t>
            </w:r>
          </w:p>
        </w:tc>
        <w:tc>
          <w:tcPr>
            <w:tcW w:w="1211" w:type="dxa"/>
            <w:tcBorders>
              <w:bottom w:val="single" w:sz="4" w:space="0" w:color="auto"/>
            </w:tcBorders>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AIF-156</w:t>
            </w:r>
          </w:p>
        </w:tc>
        <w:tc>
          <w:tcPr>
            <w:tcW w:w="1928" w:type="dxa"/>
            <w:tcBorders>
              <w:bottom w:val="single" w:sz="4" w:space="0" w:color="auto"/>
            </w:tcBorders>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54</w:t>
            </w:r>
          </w:p>
        </w:tc>
      </w:tr>
      <w:tr w:rsidR="00AE5353" w:rsidRPr="007A27A5" w:rsidTr="00F42DB1">
        <w:trPr>
          <w:trHeight w:val="20"/>
        </w:trPr>
        <w:tc>
          <w:tcPr>
            <w:tcW w:w="2016" w:type="dxa"/>
            <w:tcBorders>
              <w:bottom w:val="single" w:sz="4" w:space="0" w:color="auto"/>
            </w:tcBorders>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Organismos Auxiliares</w:t>
            </w:r>
          </w:p>
        </w:tc>
        <w:tc>
          <w:tcPr>
            <w:tcW w:w="4310" w:type="dxa"/>
            <w:tcBorders>
              <w:bottom w:val="single" w:sz="4" w:space="0" w:color="auto"/>
            </w:tcBorders>
            <w:noWrap/>
            <w:hideMark/>
          </w:tcPr>
          <w:p w:rsidR="00AE5353" w:rsidRPr="007A27A5" w:rsidRDefault="00AE5353" w:rsidP="00EA6029">
            <w:pPr>
              <w:spacing w:line="240" w:lineRule="auto"/>
              <w:jc w:val="both"/>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 xml:space="preserve">Junta de Caminos del Estado de México (Dirección de Conservación de Caminos) </w:t>
            </w:r>
          </w:p>
        </w:tc>
        <w:tc>
          <w:tcPr>
            <w:tcW w:w="1211" w:type="dxa"/>
            <w:tcBorders>
              <w:bottom w:val="single" w:sz="4" w:space="0" w:color="auto"/>
            </w:tcBorders>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AIF-155</w:t>
            </w:r>
          </w:p>
        </w:tc>
        <w:tc>
          <w:tcPr>
            <w:tcW w:w="1928" w:type="dxa"/>
            <w:tcBorders>
              <w:bottom w:val="single" w:sz="4" w:space="0" w:color="auto"/>
            </w:tcBorders>
            <w:noWrap/>
            <w:hideMark/>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5</w:t>
            </w:r>
          </w:p>
        </w:tc>
      </w:tr>
      <w:tr w:rsidR="00AE5353" w:rsidRPr="007A27A5" w:rsidTr="00F42DB1">
        <w:trPr>
          <w:trHeight w:val="20"/>
        </w:trPr>
        <w:tc>
          <w:tcPr>
            <w:tcW w:w="7538" w:type="dxa"/>
            <w:gridSpan w:val="3"/>
            <w:tcBorders>
              <w:top w:val="single" w:sz="4" w:space="0" w:color="auto"/>
              <w:left w:val="nil"/>
              <w:bottom w:val="nil"/>
              <w:right w:val="single" w:sz="4" w:space="0" w:color="auto"/>
            </w:tcBorders>
            <w:noWrap/>
          </w:tcPr>
          <w:p w:rsidR="00AE5353" w:rsidRPr="007A27A5" w:rsidRDefault="00AE5353" w:rsidP="00EA6029">
            <w:pPr>
              <w:spacing w:line="240" w:lineRule="auto"/>
              <w:jc w:val="center"/>
              <w:rPr>
                <w:rFonts w:ascii="Times New Roman" w:eastAsia="Times New Roman" w:hAnsi="Times New Roman" w:cs="Times New Roman"/>
                <w:color w:val="000000"/>
                <w:lang w:eastAsia="es-MX"/>
              </w:rPr>
            </w:pPr>
          </w:p>
        </w:tc>
        <w:tc>
          <w:tcPr>
            <w:tcW w:w="1928" w:type="dxa"/>
            <w:tcBorders>
              <w:top w:val="single" w:sz="4" w:space="0" w:color="auto"/>
              <w:left w:val="single" w:sz="4" w:space="0" w:color="auto"/>
            </w:tcBorders>
            <w:noWrap/>
          </w:tcPr>
          <w:p w:rsidR="00AE5353" w:rsidRPr="007A27A5" w:rsidRDefault="00AE5353" w:rsidP="00EA6029">
            <w:pPr>
              <w:spacing w:line="240" w:lineRule="auto"/>
              <w:jc w:val="center"/>
              <w:rPr>
                <w:rFonts w:ascii="Times New Roman" w:eastAsia="Times New Roman" w:hAnsi="Times New Roman" w:cs="Times New Roman"/>
                <w:b/>
                <w:color w:val="000000"/>
                <w:lang w:eastAsia="es-MX"/>
              </w:rPr>
            </w:pPr>
            <w:r w:rsidRPr="007A27A5">
              <w:rPr>
                <w:rFonts w:ascii="Times New Roman" w:eastAsia="Times New Roman" w:hAnsi="Times New Roman" w:cs="Times New Roman"/>
                <w:b/>
                <w:color w:val="000000"/>
                <w:lang w:eastAsia="es-MX"/>
              </w:rPr>
              <w:t>501</w:t>
            </w:r>
          </w:p>
        </w:tc>
      </w:tr>
    </w:tbl>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El Órgano Superior de Fiscalización notifica a la Entidad Fiscalizada las acciones determinadas para iniciar el procedimiento de aclaración en cumplimiento a establecido en los artículos 53, 53 bis, 54 y 54 bis de la Ley de Fiscalización Superior del Estado de México.</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Las </w:t>
      </w:r>
      <w:r w:rsidRPr="007A27A5">
        <w:rPr>
          <w:rFonts w:ascii="Times New Roman" w:eastAsia="Aptos" w:hAnsi="Times New Roman" w:cs="Times New Roman"/>
          <w:b/>
          <w:bCs/>
          <w:kern w:val="2"/>
          <w:sz w:val="24"/>
          <w:szCs w:val="24"/>
          <w14:ligatures w14:val="standardContextual"/>
        </w:rPr>
        <w:t>Auditorías de Legalidad,</w:t>
      </w:r>
      <w:r w:rsidRPr="007A27A5">
        <w:rPr>
          <w:rFonts w:ascii="Times New Roman" w:eastAsia="Aptos" w:hAnsi="Times New Roman" w:cs="Times New Roman"/>
          <w:kern w:val="2"/>
          <w:sz w:val="24"/>
          <w:szCs w:val="24"/>
          <w14:ligatures w14:val="standardContextual"/>
        </w:rPr>
        <w:t xml:space="preserve"> examinan la observancia de los ordenamientos legales que rigen los procesos operativos y programáticos para el cumplimiento del objeto de la entidad fiscalizada. El número de observaciones por entidad fiscalizable derivado de las auditorías de legalidad fue el que se desglosa a continuación:</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tbl>
      <w:tblPr>
        <w:tblStyle w:val="Tablaconcuadrcula1"/>
        <w:tblW w:w="0" w:type="auto"/>
        <w:tblLook w:val="04A0" w:firstRow="1" w:lastRow="0" w:firstColumn="1" w:lastColumn="0" w:noHBand="0" w:noVBand="1"/>
      </w:tblPr>
      <w:tblGrid>
        <w:gridCol w:w="6577"/>
        <w:gridCol w:w="979"/>
        <w:gridCol w:w="1839"/>
      </w:tblGrid>
      <w:tr w:rsidR="00AE5353" w:rsidRPr="007A27A5" w:rsidTr="00AE5353">
        <w:tc>
          <w:tcPr>
            <w:tcW w:w="9918" w:type="dxa"/>
            <w:gridSpan w:val="3"/>
            <w:shd w:val="clear" w:color="auto" w:fill="D9D9D9"/>
            <w:vAlign w:val="center"/>
          </w:tcPr>
          <w:p w:rsidR="00AE5353" w:rsidRPr="007A27A5" w:rsidRDefault="00AE5353" w:rsidP="00EA6029">
            <w:pPr>
              <w:spacing w:line="240" w:lineRule="auto"/>
              <w:contextualSpacing/>
              <w:jc w:val="center"/>
              <w:rPr>
                <w:rFonts w:ascii="Times New Roman" w:eastAsia="Aptos" w:hAnsi="Times New Roman" w:cs="Times New Roman"/>
                <w:b/>
                <w:bCs/>
              </w:rPr>
            </w:pPr>
            <w:bookmarkStart w:id="1" w:name="_Hlk213171073"/>
            <w:r w:rsidRPr="007A27A5">
              <w:rPr>
                <w:rFonts w:ascii="Times New Roman" w:eastAsia="Aptos" w:hAnsi="Times New Roman" w:cs="Times New Roman"/>
                <w:b/>
                <w:bCs/>
                <w:color w:val="FFFFFF"/>
              </w:rPr>
              <w:t>AUDITORÍAS DE LEGALIDAD</w:t>
            </w:r>
          </w:p>
        </w:tc>
      </w:tr>
      <w:tr w:rsidR="00AE5353" w:rsidRPr="007A27A5" w:rsidTr="00AE5353">
        <w:tc>
          <w:tcPr>
            <w:tcW w:w="7083" w:type="dxa"/>
            <w:shd w:val="clear" w:color="auto" w:fill="D9D9D9"/>
            <w:vAlign w:val="center"/>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ENTIDAD</w:t>
            </w:r>
          </w:p>
        </w:tc>
        <w:tc>
          <w:tcPr>
            <w:tcW w:w="992" w:type="dxa"/>
            <w:shd w:val="clear" w:color="auto" w:fill="D9D9D9"/>
            <w:vAlign w:val="center"/>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NÚM.</w:t>
            </w:r>
          </w:p>
        </w:tc>
        <w:tc>
          <w:tcPr>
            <w:tcW w:w="1843" w:type="dxa"/>
            <w:shd w:val="clear" w:color="auto" w:fill="D9D9D9"/>
            <w:vAlign w:val="center"/>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RESULTADOS FINALES</w:t>
            </w:r>
          </w:p>
        </w:tc>
      </w:tr>
      <w:tr w:rsidR="00AE5353" w:rsidRPr="007A27A5" w:rsidTr="008A0ED6">
        <w:tc>
          <w:tcPr>
            <w:tcW w:w="708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Consejería Jurídica (Dirección General del Registro Civil)</w:t>
            </w:r>
          </w:p>
        </w:tc>
        <w:tc>
          <w:tcPr>
            <w:tcW w:w="992"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AL-135 </w:t>
            </w:r>
          </w:p>
        </w:tc>
        <w:tc>
          <w:tcPr>
            <w:tcW w:w="1843"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3</w:t>
            </w:r>
          </w:p>
        </w:tc>
      </w:tr>
      <w:tr w:rsidR="00AE5353" w:rsidRPr="007A27A5" w:rsidTr="008A0ED6">
        <w:tc>
          <w:tcPr>
            <w:tcW w:w="708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Colegio de Educación Profesional Técnica del Estado de México </w:t>
            </w:r>
          </w:p>
        </w:tc>
        <w:tc>
          <w:tcPr>
            <w:tcW w:w="992"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AL-148 </w:t>
            </w:r>
          </w:p>
        </w:tc>
        <w:tc>
          <w:tcPr>
            <w:tcW w:w="1843"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AE5353" w:rsidRPr="007A27A5" w:rsidTr="008A0ED6">
        <w:tc>
          <w:tcPr>
            <w:tcW w:w="708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Colegio de Estudios Científicos y Tecnológicos del Estado de México</w:t>
            </w:r>
          </w:p>
        </w:tc>
        <w:tc>
          <w:tcPr>
            <w:tcW w:w="992"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AL-149</w:t>
            </w:r>
          </w:p>
        </w:tc>
        <w:tc>
          <w:tcPr>
            <w:tcW w:w="1843"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3</w:t>
            </w:r>
          </w:p>
        </w:tc>
      </w:tr>
      <w:tr w:rsidR="00AE5353" w:rsidRPr="007A27A5" w:rsidTr="008A0ED6">
        <w:tc>
          <w:tcPr>
            <w:tcW w:w="708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Instituto de Capacitación y Adiestramiento para el Trabajo Industrial</w:t>
            </w:r>
          </w:p>
        </w:tc>
        <w:tc>
          <w:tcPr>
            <w:tcW w:w="992"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AL-151</w:t>
            </w:r>
          </w:p>
        </w:tc>
        <w:tc>
          <w:tcPr>
            <w:tcW w:w="1843"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AE5353" w:rsidRPr="007A27A5" w:rsidTr="008A0ED6">
        <w:tc>
          <w:tcPr>
            <w:tcW w:w="708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Universidad Mexiquense del Bicentenario</w:t>
            </w:r>
          </w:p>
        </w:tc>
        <w:tc>
          <w:tcPr>
            <w:tcW w:w="992"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AL-157</w:t>
            </w:r>
          </w:p>
        </w:tc>
        <w:tc>
          <w:tcPr>
            <w:tcW w:w="1843"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6</w:t>
            </w:r>
          </w:p>
        </w:tc>
      </w:tr>
      <w:tr w:rsidR="00AE5353" w:rsidRPr="007A27A5" w:rsidTr="008A0ED6">
        <w:tc>
          <w:tcPr>
            <w:tcW w:w="7083" w:type="dxa"/>
            <w:tcBorders>
              <w:bottom w:val="single" w:sz="4" w:space="0" w:color="auto"/>
            </w:tcBorders>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Universidad Autónoma del Estado de México</w:t>
            </w:r>
          </w:p>
        </w:tc>
        <w:tc>
          <w:tcPr>
            <w:tcW w:w="992" w:type="dxa"/>
            <w:tcBorders>
              <w:bottom w:val="single" w:sz="4" w:space="0" w:color="auto"/>
            </w:tcBorders>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AL-163</w:t>
            </w:r>
          </w:p>
        </w:tc>
        <w:tc>
          <w:tcPr>
            <w:tcW w:w="1843"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11</w:t>
            </w:r>
          </w:p>
        </w:tc>
      </w:tr>
      <w:tr w:rsidR="00AE5353" w:rsidRPr="007A27A5" w:rsidTr="008A0ED6">
        <w:tc>
          <w:tcPr>
            <w:tcW w:w="7083" w:type="dxa"/>
            <w:tcBorders>
              <w:top w:val="single" w:sz="4" w:space="0" w:color="auto"/>
              <w:left w:val="nil"/>
              <w:bottom w:val="nil"/>
              <w:right w:val="nil"/>
            </w:tcBorders>
          </w:tcPr>
          <w:p w:rsidR="00AE5353" w:rsidRPr="007A27A5" w:rsidRDefault="00AE5353" w:rsidP="00EA6029">
            <w:pPr>
              <w:spacing w:line="240" w:lineRule="auto"/>
              <w:contextualSpacing/>
              <w:jc w:val="both"/>
              <w:rPr>
                <w:rFonts w:ascii="Times New Roman" w:eastAsia="Aptos" w:hAnsi="Times New Roman" w:cs="Times New Roman"/>
              </w:rPr>
            </w:pPr>
          </w:p>
        </w:tc>
        <w:tc>
          <w:tcPr>
            <w:tcW w:w="992" w:type="dxa"/>
            <w:tcBorders>
              <w:top w:val="single" w:sz="4" w:space="0" w:color="auto"/>
              <w:left w:val="nil"/>
              <w:bottom w:val="nil"/>
              <w:right w:val="single" w:sz="4" w:space="0" w:color="auto"/>
            </w:tcBorders>
          </w:tcPr>
          <w:p w:rsidR="00AE5353" w:rsidRPr="007A27A5" w:rsidRDefault="00AE5353" w:rsidP="00EA6029">
            <w:pPr>
              <w:spacing w:line="240" w:lineRule="auto"/>
              <w:contextualSpacing/>
              <w:jc w:val="center"/>
              <w:rPr>
                <w:rFonts w:ascii="Times New Roman" w:eastAsia="Aptos" w:hAnsi="Times New Roman" w:cs="Times New Roman"/>
              </w:rPr>
            </w:pPr>
          </w:p>
        </w:tc>
        <w:tc>
          <w:tcPr>
            <w:tcW w:w="1843" w:type="dxa"/>
            <w:tcBorders>
              <w:top w:val="single" w:sz="4" w:space="0" w:color="auto"/>
              <w:left w:val="single" w:sz="4" w:space="0" w:color="auto"/>
            </w:tcBorders>
          </w:tcPr>
          <w:p w:rsidR="00AE5353" w:rsidRPr="007A27A5" w:rsidRDefault="00AE5353"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31</w:t>
            </w:r>
          </w:p>
        </w:tc>
      </w:tr>
      <w:bookmarkEnd w:id="1"/>
    </w:tbl>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El Órgano Superior de Fiscalización notifica a la Entidad Fiscalizada las recomendaciones y el plazo para iniciar el procedimiento de atención en cumplimiento a establecido en los artículos 53, 53 bis, 54 y 54 bis de la Ley de Fiscalización Superior del Estado de México.</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lastRenderedPageBreak/>
        <w:t xml:space="preserve">Las </w:t>
      </w:r>
      <w:r w:rsidRPr="007A27A5">
        <w:rPr>
          <w:rFonts w:ascii="Times New Roman" w:eastAsia="Aptos" w:hAnsi="Times New Roman" w:cs="Times New Roman"/>
          <w:b/>
          <w:bCs/>
          <w:kern w:val="2"/>
          <w:sz w:val="24"/>
          <w:szCs w:val="24"/>
          <w14:ligatures w14:val="standardContextual"/>
        </w:rPr>
        <w:t>Auditorías de Desempeño</w:t>
      </w:r>
      <w:r w:rsidRPr="007A27A5">
        <w:rPr>
          <w:rFonts w:ascii="Times New Roman" w:eastAsia="Aptos" w:hAnsi="Times New Roman" w:cs="Times New Roman"/>
          <w:kern w:val="2"/>
          <w:sz w:val="24"/>
          <w:szCs w:val="24"/>
          <w14:ligatures w14:val="standardContextual"/>
        </w:rPr>
        <w:t xml:space="preserve"> permiten conocer si las políticas públicas operan bajo principios de eficacia, eficiencia y economía y, sobre todo, verifica el impacto social para la ciudadanía. El número de observaciones por entidad fiscalizable derivado de las auditorías de desempeño fue el que se desglosa a continuación:</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tbl>
      <w:tblPr>
        <w:tblStyle w:val="Tablaconcuadrcula1"/>
        <w:tblW w:w="0" w:type="auto"/>
        <w:tblLook w:val="04A0" w:firstRow="1" w:lastRow="0" w:firstColumn="1" w:lastColumn="0" w:noHBand="0" w:noVBand="1"/>
      </w:tblPr>
      <w:tblGrid>
        <w:gridCol w:w="6063"/>
        <w:gridCol w:w="1364"/>
        <w:gridCol w:w="1968"/>
      </w:tblGrid>
      <w:tr w:rsidR="00AE5353" w:rsidRPr="007A27A5" w:rsidTr="00F42DB1">
        <w:tc>
          <w:tcPr>
            <w:tcW w:w="9395" w:type="dxa"/>
            <w:gridSpan w:val="3"/>
            <w:shd w:val="clear" w:color="auto" w:fill="D9D9D9"/>
            <w:vAlign w:val="center"/>
          </w:tcPr>
          <w:p w:rsidR="00AE5353" w:rsidRPr="007A27A5" w:rsidRDefault="00AE5353"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color w:val="FFFFFF"/>
              </w:rPr>
              <w:t>AUDITORÍAS DE DESEMPEÑO</w:t>
            </w:r>
          </w:p>
        </w:tc>
      </w:tr>
      <w:tr w:rsidR="00AE5353" w:rsidRPr="007A27A5" w:rsidTr="00F42DB1">
        <w:tc>
          <w:tcPr>
            <w:tcW w:w="6063" w:type="dxa"/>
            <w:shd w:val="clear" w:color="auto" w:fill="D9D9D9"/>
            <w:vAlign w:val="center"/>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ENTIDAD</w:t>
            </w:r>
          </w:p>
        </w:tc>
        <w:tc>
          <w:tcPr>
            <w:tcW w:w="1364" w:type="dxa"/>
            <w:shd w:val="clear" w:color="auto" w:fill="D9D9D9"/>
            <w:vAlign w:val="center"/>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NÚM.</w:t>
            </w:r>
          </w:p>
        </w:tc>
        <w:tc>
          <w:tcPr>
            <w:tcW w:w="1968" w:type="dxa"/>
            <w:shd w:val="clear" w:color="auto" w:fill="D9D9D9"/>
            <w:vAlign w:val="center"/>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RESULTADOS FINALES</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Poder Judicial del Estado de México</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AD-133</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6</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Secretaría de Educación, Ciencia, Tecnología e Innovación</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AD-137</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Secretaría del Campo</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AD-141</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8</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Secretaría del Trabajo</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AD-142</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18</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Instituto de Información e Investigación Geográfica, Estadística y Catastral del Estado de México</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AD-152</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8</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Instituto de la Función Registral del Estado de México</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AD-153</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8</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Instituto de Transparencia, Acceso a la Información Pública y Protección de Datos Personales del Estado de México y Municipios</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AD-159</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10</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Instituto Electoral del Estado de México</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AD-160</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7</w:t>
            </w:r>
          </w:p>
        </w:tc>
      </w:tr>
      <w:tr w:rsidR="00AE5353" w:rsidRPr="007A27A5" w:rsidTr="00F42DB1">
        <w:tc>
          <w:tcPr>
            <w:tcW w:w="6063" w:type="dxa"/>
            <w:vAlign w:val="center"/>
          </w:tcPr>
          <w:p w:rsidR="00AE5353" w:rsidRPr="007A27A5" w:rsidRDefault="00AE5353" w:rsidP="00EA6029">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Tribunal Electoral del Estado de México</w:t>
            </w:r>
          </w:p>
        </w:tc>
        <w:tc>
          <w:tcPr>
            <w:tcW w:w="1364"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AD-161</w:t>
            </w:r>
          </w:p>
        </w:tc>
        <w:tc>
          <w:tcPr>
            <w:tcW w:w="1968" w:type="dxa"/>
            <w:vAlign w:val="center"/>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17</w:t>
            </w:r>
          </w:p>
        </w:tc>
      </w:tr>
      <w:tr w:rsidR="00AE5353" w:rsidRPr="007A27A5" w:rsidTr="00F42DB1">
        <w:tc>
          <w:tcPr>
            <w:tcW w:w="6063" w:type="dxa"/>
            <w:tcBorders>
              <w:top w:val="single" w:sz="4" w:space="0" w:color="auto"/>
              <w:left w:val="nil"/>
              <w:bottom w:val="nil"/>
              <w:right w:val="nil"/>
            </w:tcBorders>
          </w:tcPr>
          <w:p w:rsidR="00AE5353" w:rsidRPr="007A27A5" w:rsidRDefault="00AE5353" w:rsidP="00EA6029">
            <w:pPr>
              <w:spacing w:line="240" w:lineRule="auto"/>
              <w:contextualSpacing/>
              <w:jc w:val="both"/>
              <w:rPr>
                <w:rFonts w:ascii="Times New Roman" w:eastAsia="Aptos" w:hAnsi="Times New Roman" w:cs="Times New Roman"/>
              </w:rPr>
            </w:pPr>
          </w:p>
        </w:tc>
        <w:tc>
          <w:tcPr>
            <w:tcW w:w="1364" w:type="dxa"/>
            <w:tcBorders>
              <w:top w:val="single" w:sz="4" w:space="0" w:color="auto"/>
              <w:left w:val="nil"/>
              <w:bottom w:val="nil"/>
              <w:right w:val="single" w:sz="4" w:space="0" w:color="auto"/>
            </w:tcBorders>
          </w:tcPr>
          <w:p w:rsidR="00AE5353" w:rsidRPr="007A27A5" w:rsidRDefault="00AE5353" w:rsidP="00EA6029">
            <w:pPr>
              <w:spacing w:line="240" w:lineRule="auto"/>
              <w:contextualSpacing/>
              <w:jc w:val="center"/>
              <w:rPr>
                <w:rFonts w:ascii="Times New Roman" w:eastAsia="Aptos" w:hAnsi="Times New Roman" w:cs="Times New Roman"/>
              </w:rPr>
            </w:pPr>
          </w:p>
        </w:tc>
        <w:tc>
          <w:tcPr>
            <w:tcW w:w="1968" w:type="dxa"/>
            <w:tcBorders>
              <w:top w:val="single" w:sz="4" w:space="0" w:color="auto"/>
              <w:left w:val="single" w:sz="4" w:space="0" w:color="auto"/>
            </w:tcBorders>
          </w:tcPr>
          <w:p w:rsidR="00AE5353" w:rsidRPr="007A27A5" w:rsidRDefault="00AE5353"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94</w:t>
            </w:r>
          </w:p>
        </w:tc>
      </w:tr>
    </w:tbl>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El Órgano Superior de Fiscalización notifica a la Entidad Fiscalizada las recomendaciones y el plazo para iniciar el procedimiento de atención en cumplimiento a establecido en los artículos 53, 53 bis, 54 y 54 bis de la Ley de Fiscalización Superior del Estado de México.</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El proceso de fiscalización no concluye con el informe de las auditorias; a partir de su conclusión, inicia un periodo de aclaración que desahogará la Unidad de Seguimiento para su eventual </w:t>
      </w:r>
      <w:proofErr w:type="spellStart"/>
      <w:r w:rsidRPr="007A27A5">
        <w:rPr>
          <w:rFonts w:ascii="Times New Roman" w:eastAsia="Aptos" w:hAnsi="Times New Roman" w:cs="Times New Roman"/>
          <w:kern w:val="2"/>
          <w:sz w:val="24"/>
          <w:szCs w:val="24"/>
          <w14:ligatures w14:val="standardContextual"/>
        </w:rPr>
        <w:t>solventación</w:t>
      </w:r>
      <w:proofErr w:type="spellEnd"/>
      <w:r w:rsidRPr="007A27A5">
        <w:rPr>
          <w:rFonts w:ascii="Times New Roman" w:eastAsia="Aptos" w:hAnsi="Times New Roman" w:cs="Times New Roman"/>
          <w:kern w:val="2"/>
          <w:sz w:val="24"/>
          <w:szCs w:val="24"/>
          <w14:ligatures w14:val="standardContextual"/>
        </w:rPr>
        <w:t xml:space="preserve"> parcial o total de los pliegos de observación derivados de los resultados finales obtenidos o, en su caso, dar pauta para iniciar las investigaciones correspondientes hasta el envío al Tribunal de Justicia Administrativa del Estado de México como autoridad resolutora.</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NÚMERO DE RESULTADOS POR ENTIDAD FISCALIZABLE </w:t>
      </w: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DERIVADO DE LAS REVISIONES</w:t>
      </w: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p>
    <w:tbl>
      <w:tblPr>
        <w:tblStyle w:val="Tablaconcuadrcula1"/>
        <w:tblW w:w="0" w:type="auto"/>
        <w:tblInd w:w="1413" w:type="dxa"/>
        <w:tblLook w:val="04A0" w:firstRow="1" w:lastRow="0" w:firstColumn="1" w:lastColumn="0" w:noHBand="0" w:noVBand="1"/>
      </w:tblPr>
      <w:tblGrid>
        <w:gridCol w:w="3001"/>
        <w:gridCol w:w="4086"/>
      </w:tblGrid>
      <w:tr w:rsidR="00AE5353" w:rsidRPr="007A27A5" w:rsidTr="00AE5353">
        <w:tc>
          <w:tcPr>
            <w:tcW w:w="7087" w:type="dxa"/>
            <w:gridSpan w:val="2"/>
            <w:shd w:val="clear" w:color="auto" w:fill="D9D9D9"/>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REVISIÓN A LA CUENTA PÚBLICA</w:t>
            </w:r>
          </w:p>
        </w:tc>
      </w:tr>
      <w:tr w:rsidR="00AE5353" w:rsidRPr="007A27A5" w:rsidTr="00AE5353">
        <w:tc>
          <w:tcPr>
            <w:tcW w:w="3001" w:type="dxa"/>
            <w:shd w:val="clear" w:color="auto" w:fill="D9D9D9"/>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 xml:space="preserve">ENTIDAD </w:t>
            </w:r>
          </w:p>
        </w:tc>
        <w:tc>
          <w:tcPr>
            <w:tcW w:w="4086" w:type="dxa"/>
            <w:shd w:val="clear" w:color="auto" w:fill="D9D9D9"/>
          </w:tcPr>
          <w:p w:rsidR="00AE5353" w:rsidRPr="007A27A5" w:rsidRDefault="00AE5353" w:rsidP="00EA6029">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NÚMERO DE INCONSISTENCIAS</w:t>
            </w:r>
          </w:p>
        </w:tc>
      </w:tr>
      <w:tr w:rsidR="00AE5353" w:rsidRPr="007A27A5" w:rsidTr="008A0ED6">
        <w:tc>
          <w:tcPr>
            <w:tcW w:w="3001" w:type="dxa"/>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Poder Legislativo</w:t>
            </w:r>
          </w:p>
        </w:tc>
        <w:tc>
          <w:tcPr>
            <w:tcW w:w="4086" w:type="dxa"/>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w:t>
            </w:r>
          </w:p>
        </w:tc>
      </w:tr>
      <w:tr w:rsidR="00AE5353" w:rsidRPr="007A27A5" w:rsidTr="008A0ED6">
        <w:tc>
          <w:tcPr>
            <w:tcW w:w="3001" w:type="dxa"/>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Órganos Autónomos</w:t>
            </w:r>
          </w:p>
        </w:tc>
        <w:tc>
          <w:tcPr>
            <w:tcW w:w="4086" w:type="dxa"/>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14</w:t>
            </w:r>
          </w:p>
        </w:tc>
      </w:tr>
      <w:tr w:rsidR="00AE5353" w:rsidRPr="007A27A5" w:rsidTr="008A0ED6">
        <w:tc>
          <w:tcPr>
            <w:tcW w:w="3001" w:type="dxa"/>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Organismos auxiliares</w:t>
            </w:r>
          </w:p>
        </w:tc>
        <w:tc>
          <w:tcPr>
            <w:tcW w:w="4086" w:type="dxa"/>
          </w:tcPr>
          <w:p w:rsidR="00AE5353" w:rsidRPr="007A27A5" w:rsidRDefault="00AE5353" w:rsidP="00EA6029">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363</w:t>
            </w:r>
          </w:p>
        </w:tc>
      </w:tr>
      <w:tr w:rsidR="00AE5353" w:rsidRPr="007A27A5" w:rsidTr="008A0ED6">
        <w:tc>
          <w:tcPr>
            <w:tcW w:w="3001" w:type="dxa"/>
            <w:tcBorders>
              <w:left w:val="nil"/>
              <w:bottom w:val="nil"/>
            </w:tcBorders>
          </w:tcPr>
          <w:p w:rsidR="00AE5353" w:rsidRPr="007A27A5" w:rsidRDefault="00AE5353" w:rsidP="00EA6029">
            <w:pPr>
              <w:spacing w:line="240" w:lineRule="auto"/>
              <w:contextualSpacing/>
              <w:jc w:val="center"/>
              <w:rPr>
                <w:rFonts w:ascii="Times New Roman" w:eastAsia="Aptos" w:hAnsi="Times New Roman" w:cs="Times New Roman"/>
              </w:rPr>
            </w:pPr>
          </w:p>
        </w:tc>
        <w:tc>
          <w:tcPr>
            <w:tcW w:w="4086" w:type="dxa"/>
          </w:tcPr>
          <w:p w:rsidR="00AE5353" w:rsidRPr="007A27A5" w:rsidRDefault="00AE5353" w:rsidP="00EA6029">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378</w:t>
            </w:r>
          </w:p>
        </w:tc>
      </w:tr>
    </w:tbl>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Para las revisiones se realizó el análisis por apartado de la Cuenta Pública (Información Presupuestaria, Información Programática, Información Financiera, Información Complementaria, Análisis de Remuneraciones y Análisis de Deuda Pública). </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los Aspectos Generales se especificó la naturaleza jurídica, objeto social, estructura de gobierno, misión, visión y derecho humano que garantiza.</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Por lo anteriormente expuesto, los integrantes de la Comisión Legislativa de Vigilancia del Órgano Superior de Fiscalización nos permitimos emitir los siguientes:</w:t>
      </w: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RESOLUTIVOS</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PRIMERO.</w:t>
      </w:r>
      <w:r w:rsidRPr="007A27A5">
        <w:rPr>
          <w:rFonts w:ascii="Times New Roman" w:eastAsia="Aptos" w:hAnsi="Times New Roman" w:cs="Times New Roman"/>
          <w:kern w:val="2"/>
          <w:sz w:val="24"/>
          <w:szCs w:val="24"/>
          <w14:ligatures w14:val="standardContextual"/>
        </w:rPr>
        <w:t xml:space="preserve"> La Cuenta Pública del Ejercicio Fiscal del año 2024 del Poder Ejecutivo, organismos auxiliares y autónomos del Estado de México, se presentó en cumplimiento de los mandatos constitucionales y legales aplicables. </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SEGUNDO.</w:t>
      </w:r>
      <w:r w:rsidRPr="007A27A5">
        <w:rPr>
          <w:rFonts w:ascii="Times New Roman" w:eastAsia="Aptos" w:hAnsi="Times New Roman" w:cs="Times New Roman"/>
          <w:kern w:val="2"/>
          <w:sz w:val="24"/>
          <w:szCs w:val="24"/>
          <w14:ligatures w14:val="standardContextual"/>
        </w:rPr>
        <w:t xml:space="preserve"> El Órgano Superior de Fiscalización del Estado de México deberá informar a la Comisión de Vigilancia del Órgano Superior de Fiscalización, los resultados de la etapa de aclaración, contemplada en el artículo 54 de la Ley de Fiscalización Superior del Estado de México.</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TERCERO.</w:t>
      </w:r>
      <w:r w:rsidRPr="007A27A5">
        <w:rPr>
          <w:rFonts w:ascii="Times New Roman" w:eastAsia="Aptos" w:hAnsi="Times New Roman" w:cs="Times New Roman"/>
          <w:kern w:val="2"/>
          <w:sz w:val="24"/>
          <w:szCs w:val="24"/>
          <w14:ligatures w14:val="standardContextual"/>
        </w:rPr>
        <w:t xml:space="preserve"> La Cuenta Pública del Ejercicio Fiscal del año 2024 del Poder Ejecutivo, organismos auxiliares y autónomos del Estado de México, se tienen por fiscalizadas y revisadas por el Órgano Superior de Fiscalización del Estado de México y analizadas por la Comisión de Vigilancia del Órgano Superior de Fiscalización. </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CUARTO.</w:t>
      </w:r>
      <w:r w:rsidRPr="007A27A5">
        <w:rPr>
          <w:rFonts w:ascii="Times New Roman" w:eastAsia="Aptos" w:hAnsi="Times New Roman" w:cs="Times New Roman"/>
          <w:kern w:val="2"/>
          <w:sz w:val="24"/>
          <w:szCs w:val="24"/>
          <w14:ligatures w14:val="standardContextual"/>
        </w:rPr>
        <w:t xml:space="preserve"> La Comisión de Vigilancia del Órgano Superior de Fiscalización recomienda al Pleno calificar y aprobar, en lo general y en lo particular, la Cuenta Pública del Ejercicio Fiscal del año 2024 del Poder Ejecutivo, organismos auxiliares y autónomos del Estado de México. La aprobación de la Cuenta no suspende el trámite de las acciones promovidas por el Órgano Superior de Fiscalización del Estado de México. </w:t>
      </w:r>
    </w:p>
    <w:p w:rsidR="00AE5353" w:rsidRPr="007A27A5" w:rsidRDefault="00AE5353" w:rsidP="00EA6029">
      <w:pPr>
        <w:spacing w:after="0" w:line="240" w:lineRule="auto"/>
        <w:contextualSpacing/>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QUINTO.</w:t>
      </w:r>
      <w:r w:rsidRPr="007A27A5">
        <w:rPr>
          <w:rFonts w:ascii="Times New Roman" w:eastAsia="Aptos" w:hAnsi="Times New Roman" w:cs="Times New Roman"/>
          <w:kern w:val="2"/>
          <w:sz w:val="24"/>
          <w:szCs w:val="24"/>
          <w14:ligatures w14:val="standardContextual"/>
        </w:rPr>
        <w:t xml:space="preserve"> La revisión, fiscalización y calificación de la Cuenta Pública del Ejercicio Fiscal del año 2024 del Poder Ejecutivo, organismos auxiliares y autónomos del Estado de México no implica liberación de responsabilidades que pudieran llegarse a determinar con posterioridad por las autoridades de control y/o fiscalización federales o estatales que efectúen en el ámbito de su competencia; o bien, de aquellas que pudieran resultar de diversas auditorías o revisiones que en ejercicio de sus atribuciones realice el órgano técnico, al mismo período o períodos diferentes, de conformidad con lo establecido en el artículo 74 de la Ley de Fiscalización Superior del Estado de México y otras disposiciones jurídicas aplicables.</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Dado en el Palacio del Poder Legislativo, en la ciudad de Toluca de Lerdo, Capital del Estado de México, a los dieciocho días del mes de noviembre del dos mil veinticinco. </w:t>
      </w:r>
    </w:p>
    <w:p w:rsidR="00AE5353" w:rsidRPr="007A27A5" w:rsidRDefault="00AE5353" w:rsidP="00EA6029">
      <w:pPr>
        <w:spacing w:after="0" w:line="240" w:lineRule="auto"/>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LISTA DE VOTACIÓN</w:t>
      </w:r>
    </w:p>
    <w:p w:rsidR="00AE5353" w:rsidRPr="007A27A5" w:rsidRDefault="00AE5353" w:rsidP="00EA6029">
      <w:pPr>
        <w:spacing w:after="0" w:line="240" w:lineRule="auto"/>
        <w:contextualSpacing/>
        <w:rPr>
          <w:rFonts w:ascii="Times New Roman" w:eastAsia="Aptos" w:hAnsi="Times New Roman" w:cs="Times New Roman"/>
          <w:b/>
          <w:kern w:val="2"/>
          <w:sz w:val="24"/>
          <w:szCs w:val="24"/>
          <w14:ligatures w14:val="standardContextual"/>
        </w:rPr>
      </w:pPr>
    </w:p>
    <w:p w:rsidR="00AE5353" w:rsidRPr="007A27A5" w:rsidRDefault="00AE5353" w:rsidP="00EA6029">
      <w:pPr>
        <w:spacing w:after="0" w:line="240" w:lineRule="auto"/>
        <w:contextualSpacing/>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FECHA: </w:t>
      </w:r>
      <w:r w:rsidRPr="007A27A5">
        <w:rPr>
          <w:rFonts w:ascii="Times New Roman" w:eastAsia="Aptos" w:hAnsi="Times New Roman" w:cs="Times New Roman"/>
          <w:kern w:val="2"/>
          <w:sz w:val="24"/>
          <w:szCs w:val="24"/>
          <w14:ligatures w14:val="standardContextual"/>
        </w:rPr>
        <w:t>18/NOVIEMBRE/2025</w:t>
      </w:r>
    </w:p>
    <w:p w:rsidR="00AE5353" w:rsidRPr="007A27A5" w:rsidRDefault="00AE5353" w:rsidP="00EA6029">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ASUNTO:</w:t>
      </w:r>
      <w:r w:rsidRPr="007A27A5">
        <w:rPr>
          <w:rFonts w:ascii="Times New Roman" w:eastAsia="Aptos" w:hAnsi="Times New Roman" w:cs="Times New Roman"/>
          <w:kern w:val="2"/>
          <w:sz w:val="24"/>
          <w:szCs w:val="24"/>
          <w14:ligatures w14:val="standardContextual"/>
        </w:rPr>
        <w:t xml:space="preserve"> </w:t>
      </w:r>
      <w:r w:rsidRPr="007A27A5">
        <w:rPr>
          <w:rFonts w:ascii="Times New Roman" w:eastAsia="Aptos" w:hAnsi="Times New Roman" w:cs="Times New Roman"/>
          <w:bCs/>
          <w:kern w:val="2"/>
          <w:sz w:val="24"/>
          <w:szCs w:val="24"/>
          <w14:ligatures w14:val="standardContextual"/>
        </w:rPr>
        <w:t>DICTAMEN DE LA CUENTA PÚBLICA DEL EJERCICIO FISCAL DEL AÑO 2024 DEL GOBIERNO, ORGANISMOS AUXILIARES Y AUTÓNOMOS DEL ESTADO DE MÉXICO.</w:t>
      </w:r>
      <w:r w:rsidRPr="007A27A5">
        <w:rPr>
          <w:rFonts w:ascii="Times New Roman" w:eastAsia="Aptos" w:hAnsi="Times New Roman" w:cs="Times New Roman"/>
          <w:kern w:val="2"/>
          <w:sz w:val="24"/>
          <w:szCs w:val="24"/>
          <w14:ligatures w14:val="standardContextual"/>
        </w:rPr>
        <w:t xml:space="preserve"> </w:t>
      </w:r>
    </w:p>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COMISIÓN LEGISLATIVA DE</w:t>
      </w:r>
    </w:p>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VIGILANCIA DEL ÓRGANO SUPERIOR DE FISCALIZACIÓN </w:t>
      </w:r>
    </w:p>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2845"/>
        <w:gridCol w:w="1897"/>
        <w:gridCol w:w="2033"/>
      </w:tblGrid>
      <w:tr w:rsidR="00AE5353" w:rsidRPr="007A27A5" w:rsidTr="00F42DB1">
        <w:trPr>
          <w:trHeight w:val="20"/>
          <w:tblHeader/>
          <w:jc w:val="center"/>
        </w:trPr>
        <w:tc>
          <w:tcPr>
            <w:tcW w:w="2705" w:type="dxa"/>
            <w:vMerge w:val="restart"/>
            <w:shd w:val="clear" w:color="auto" w:fill="D9D9D9"/>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lastRenderedPageBreak/>
              <w:t>DIPUTADA(O)</w:t>
            </w:r>
          </w:p>
        </w:tc>
        <w:tc>
          <w:tcPr>
            <w:tcW w:w="6775" w:type="dxa"/>
            <w:gridSpan w:val="3"/>
            <w:shd w:val="clear" w:color="auto" w:fill="D9D9D9"/>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FIRMA</w:t>
            </w:r>
          </w:p>
        </w:tc>
      </w:tr>
      <w:tr w:rsidR="00AE5353" w:rsidRPr="007A27A5" w:rsidTr="00F42DB1">
        <w:trPr>
          <w:trHeight w:val="20"/>
          <w:tblHeader/>
          <w:jc w:val="center"/>
        </w:trPr>
        <w:tc>
          <w:tcPr>
            <w:tcW w:w="2705" w:type="dxa"/>
            <w:vMerge/>
            <w:shd w:val="clear" w:color="auto" w:fill="D9D9D9"/>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845" w:type="dxa"/>
            <w:shd w:val="clear" w:color="auto" w:fill="D9D9D9"/>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A FAVOR</w:t>
            </w:r>
          </w:p>
        </w:tc>
        <w:tc>
          <w:tcPr>
            <w:tcW w:w="1897" w:type="dxa"/>
            <w:shd w:val="clear" w:color="auto" w:fill="D9D9D9"/>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EN CONTRA</w:t>
            </w:r>
          </w:p>
        </w:tc>
        <w:tc>
          <w:tcPr>
            <w:tcW w:w="2032" w:type="dxa"/>
            <w:shd w:val="clear" w:color="auto" w:fill="D9D9D9"/>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ABSTENCIÓN</w:t>
            </w: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Presidenta</w:t>
            </w:r>
          </w:p>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kern w:val="2"/>
                <w:sz w:val="24"/>
                <w:szCs w:val="24"/>
                <w14:ligatures w14:val="standardContextual"/>
              </w:rPr>
              <w:t>Dip. Arleth Stephanie Grimaldo Osorio</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Secretario</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Héctor Raúl </w:t>
            </w:r>
          </w:p>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kern w:val="2"/>
                <w:sz w:val="24"/>
                <w:szCs w:val="24"/>
                <w14:ligatures w14:val="standardContextual"/>
              </w:rPr>
              <w:t>García González</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lang w:eastAsia="es-MX"/>
                <w14:ligatures w14:val="standardContextual"/>
              </w:rPr>
            </w:pPr>
            <w:r w:rsidRPr="007A27A5">
              <w:rPr>
                <w:rFonts w:ascii="Times New Roman" w:eastAsia="Aptos" w:hAnsi="Times New Roman" w:cs="Times New Roman"/>
                <w:b/>
                <w:kern w:val="2"/>
                <w:sz w:val="24"/>
                <w:szCs w:val="24"/>
                <w14:ligatures w14:val="standardContextual"/>
              </w:rPr>
              <w:t>Prosecretaria</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Sofía </w:t>
            </w:r>
          </w:p>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kern w:val="2"/>
                <w:sz w:val="24"/>
                <w:szCs w:val="24"/>
                <w14:ligatures w14:val="standardContextual"/>
              </w:rPr>
              <w:t>Martínez Molina</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kern w:val="2"/>
                <w:sz w:val="24"/>
                <w:szCs w:val="24"/>
                <w14:ligatures w14:val="standardContextual"/>
              </w:rPr>
              <w:t>Dip. Carlos Antonio Martínez Zurita Trejo</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Vladimir </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Hernández Villegas</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Samuel </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Hernández Cruz</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Dip. Itzel Daniela Ballesteros Lule</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Gerardo </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Pliego Santana</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Dip. Héctor Karim Carvallo Delfín</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Alejandro </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Castro Hernández</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Anuar Roberto </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Azar Figueroa</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Ruth </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Salinas Reyes</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AE5353" w:rsidRPr="007A27A5" w:rsidTr="00F42DB1">
        <w:trPr>
          <w:trHeight w:val="20"/>
          <w:jc w:val="center"/>
        </w:trPr>
        <w:tc>
          <w:tcPr>
            <w:tcW w:w="270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Araceli </w:t>
            </w:r>
          </w:p>
          <w:p w:rsidR="00AE5353" w:rsidRPr="007A27A5" w:rsidRDefault="00AE5353" w:rsidP="00EA6029">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Casasola Salazar</w:t>
            </w:r>
          </w:p>
        </w:tc>
        <w:tc>
          <w:tcPr>
            <w:tcW w:w="2845"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897"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2032" w:type="dxa"/>
            <w:shd w:val="clear" w:color="auto" w:fill="auto"/>
            <w:vAlign w:val="center"/>
          </w:tcPr>
          <w:p w:rsidR="00AE5353" w:rsidRPr="007A27A5" w:rsidRDefault="00AE5353" w:rsidP="00EA6029">
            <w:pPr>
              <w:spacing w:after="0" w:line="240" w:lineRule="auto"/>
              <w:contextualSpacing/>
              <w:jc w:val="center"/>
              <w:rPr>
                <w:rFonts w:ascii="Times New Roman" w:eastAsia="Aptos" w:hAnsi="Times New Roman" w:cs="Times New Roman"/>
                <w:b/>
                <w:kern w:val="2"/>
                <w:sz w:val="24"/>
                <w:szCs w:val="24"/>
                <w14:ligatures w14:val="standardContextual"/>
              </w:rPr>
            </w:pPr>
          </w:p>
        </w:tc>
      </w:tr>
    </w:tbl>
    <w:p w:rsidR="00AE5353" w:rsidRPr="007A27A5" w:rsidRDefault="00AE5353" w:rsidP="00EA6029">
      <w:pPr>
        <w:spacing w:after="0" w:line="240" w:lineRule="auto"/>
        <w:contextualSpacing/>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contextualSpacing/>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DECRETO NÚMERO</w:t>
      </w:r>
    </w:p>
    <w:p w:rsidR="00AE5353" w:rsidRPr="007A27A5" w:rsidRDefault="00AE5353" w:rsidP="00EA6029">
      <w:pPr>
        <w:spacing w:after="0" w:line="240" w:lineRule="auto"/>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LA H. “LXII” LEGISLATURA </w:t>
      </w:r>
    </w:p>
    <w:p w:rsidR="00AE5353" w:rsidRPr="007A27A5" w:rsidRDefault="00AE5353" w:rsidP="00EA6029">
      <w:pPr>
        <w:spacing w:after="0" w:line="240" w:lineRule="auto"/>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DEL ESTADO DE MÉXICO </w:t>
      </w:r>
    </w:p>
    <w:p w:rsidR="00AE5353" w:rsidRPr="007A27A5" w:rsidRDefault="00AE5353" w:rsidP="00EA6029">
      <w:pPr>
        <w:spacing w:after="0" w:line="240" w:lineRule="auto"/>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DECRETA:</w:t>
      </w:r>
    </w:p>
    <w:p w:rsidR="00AE5353" w:rsidRPr="007A27A5" w:rsidRDefault="00AE5353" w:rsidP="00EA6029">
      <w:pPr>
        <w:spacing w:after="0" w:line="240" w:lineRule="auto"/>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PRIMERO.</w:t>
      </w:r>
      <w:r w:rsidRPr="007A27A5">
        <w:rPr>
          <w:rFonts w:ascii="Times New Roman" w:eastAsia="Aptos" w:hAnsi="Times New Roman" w:cs="Times New Roman"/>
          <w:kern w:val="2"/>
          <w:sz w:val="24"/>
          <w:szCs w:val="24"/>
          <w14:ligatures w14:val="standardContextual"/>
        </w:rPr>
        <w:t xml:space="preserve"> La Cuenta Pública del Ejercicio Fiscal del año 2024 del Poder Ejecutivo, organismos auxiliares y autónomos del Estado de México, se presentó en cumplimiento de los mandatos constitucionales y legales aplicables.</w:t>
      </w: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SEGUNDO.</w:t>
      </w:r>
      <w:r w:rsidRPr="007A27A5">
        <w:rPr>
          <w:rFonts w:ascii="Times New Roman" w:eastAsia="Aptos" w:hAnsi="Times New Roman" w:cs="Times New Roman"/>
          <w:kern w:val="2"/>
          <w:sz w:val="24"/>
          <w:szCs w:val="24"/>
          <w14:ligatures w14:val="standardContextual"/>
        </w:rPr>
        <w:t xml:space="preserve"> El Órgano Superior de Fiscalización del Estado de México deberá informar a la Comisión Legislativa de Vigilancia del Órgano Superior de Fiscalización, los resultados de la etapa de aclaración, contemplada en el artículo 54 de la Ley de Fiscalización Superior del Estado de México.</w:t>
      </w: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lastRenderedPageBreak/>
        <w:t>ARTÍCULO TERCERO.</w:t>
      </w:r>
      <w:r w:rsidRPr="007A27A5">
        <w:rPr>
          <w:rFonts w:ascii="Times New Roman" w:eastAsia="Aptos" w:hAnsi="Times New Roman" w:cs="Times New Roman"/>
          <w:kern w:val="2"/>
          <w:sz w:val="24"/>
          <w:szCs w:val="24"/>
          <w14:ligatures w14:val="standardContextual"/>
        </w:rPr>
        <w:t xml:space="preserve"> La Cuenta Pública del Ejercicio Fiscal del año 2024 del Poder Ejecutivo, organismos auxiliares y autónomos del Estado de México, se tiene por fiscalizada y revisada por el Órgano Superior de Fiscalización del Estado de México y analizada por la Comisión Legislativa de Vigilancia del Órgano Superior de Fiscalización. </w:t>
      </w: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CUARTO.</w:t>
      </w:r>
      <w:r w:rsidRPr="007A27A5">
        <w:rPr>
          <w:rFonts w:ascii="Times New Roman" w:eastAsia="Aptos" w:hAnsi="Times New Roman" w:cs="Times New Roman"/>
          <w:kern w:val="2"/>
          <w:sz w:val="24"/>
          <w:szCs w:val="24"/>
          <w14:ligatures w14:val="standardContextual"/>
        </w:rPr>
        <w:t xml:space="preserve"> La Comisión Legislativa de Vigilancia del Órgano Superior de Fiscalización recomienda al Pleno calificar y aprobar, en lo general y en lo particular, la Cuenta Pública del Ejercicio Fiscal del año 2024 del Poder Ejecutivo, organismos auxiliares y autónomos del Estado de México. La aprobación de la Cuenta no suspende el trámite de las acciones promovidas por el Órgano Superior de Fiscalización del Estado de México.</w:t>
      </w: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QUINTO.</w:t>
      </w:r>
      <w:r w:rsidRPr="007A27A5">
        <w:rPr>
          <w:rFonts w:ascii="Times New Roman" w:eastAsia="Aptos" w:hAnsi="Times New Roman" w:cs="Times New Roman"/>
          <w:kern w:val="2"/>
          <w:sz w:val="24"/>
          <w:szCs w:val="24"/>
          <w14:ligatures w14:val="standardContextual"/>
        </w:rPr>
        <w:t xml:space="preserve"> La revisión, fiscalización y calificación de la Cuenta Pública del Ejercicio Fiscal del año 2024 del Poder Ejecutivo, organismos auxiliares y autónomos del Estado de México no implica liberación de responsabilidades que pudieran llegarse a determinar con posterioridad por las autoridades de control y/o fiscalización federales o estatales que efectúen en el ámbito de su competencia; o bien, de aquellas que pudieran resultar de diversas auditorías o revisiones que en ejercicio de sus atribuciones realice el órgano técnico, al mismo período o períodos diferentes, de conformidad con lo establecido en el artículo 74 de la Ley de Fiscalización Superior del Estado de México y otras disposiciones jurídicas aplicables.</w:t>
      </w: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T R A N S I T O R I O S</w:t>
      </w:r>
    </w:p>
    <w:p w:rsidR="00AE5353" w:rsidRPr="007A27A5" w:rsidRDefault="00AE5353" w:rsidP="00EA6029">
      <w:pPr>
        <w:spacing w:after="0" w:line="240" w:lineRule="auto"/>
        <w:jc w:val="center"/>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ARTÍCULO PRIMERO. </w:t>
      </w:r>
      <w:r w:rsidRPr="007A27A5">
        <w:rPr>
          <w:rFonts w:ascii="Times New Roman" w:eastAsia="Aptos" w:hAnsi="Times New Roman" w:cs="Times New Roman"/>
          <w:kern w:val="2"/>
          <w:sz w:val="24"/>
          <w:szCs w:val="24"/>
          <w14:ligatures w14:val="standardContextual"/>
        </w:rPr>
        <w:t>Publíquese el presente Decreto en el Periódico Oficial "Gaceta del Gobierno".</w:t>
      </w: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SEGUNDO.</w:t>
      </w:r>
      <w:r w:rsidRPr="007A27A5">
        <w:rPr>
          <w:rFonts w:ascii="Times New Roman" w:eastAsia="Aptos" w:hAnsi="Times New Roman" w:cs="Times New Roman"/>
          <w:kern w:val="2"/>
          <w:sz w:val="24"/>
          <w:szCs w:val="24"/>
          <w14:ligatures w14:val="standardContextual"/>
        </w:rPr>
        <w:t xml:space="preserve"> El presente Decreto entrará en vigor al día hábil siguiente de su publicación en el Periódico Oficial "Gaceta del Gobierno".</w:t>
      </w: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Lo tendrá entendido la Gobernadora del Estado, haciendo que se publique y se cumpla.</w:t>
      </w:r>
    </w:p>
    <w:p w:rsidR="00AE5353" w:rsidRPr="007A27A5" w:rsidRDefault="00AE5353" w:rsidP="00EA6029">
      <w:pPr>
        <w:spacing w:after="0" w:line="240" w:lineRule="auto"/>
        <w:jc w:val="both"/>
        <w:rPr>
          <w:rFonts w:ascii="Times New Roman" w:eastAsia="Aptos" w:hAnsi="Times New Roman" w:cs="Times New Roman"/>
          <w:b/>
          <w:bCs/>
          <w:kern w:val="2"/>
          <w:sz w:val="24"/>
          <w:szCs w:val="24"/>
          <w14:ligatures w14:val="standardContextual"/>
        </w:rPr>
      </w:pPr>
    </w:p>
    <w:p w:rsidR="00AE5353" w:rsidRPr="007A27A5" w:rsidRDefault="00AE5353" w:rsidP="00EA6029">
      <w:pPr>
        <w:spacing w:after="0" w:line="240" w:lineRule="auto"/>
        <w:jc w:val="both"/>
        <w:rPr>
          <w:rFonts w:ascii="Times New Roman" w:eastAsia="Aptos" w:hAnsi="Times New Roman" w:cs="Times New Roman"/>
          <w:bCs/>
          <w:kern w:val="2"/>
          <w:sz w:val="24"/>
          <w:szCs w:val="24"/>
          <w14:ligatures w14:val="standardContextual"/>
        </w:rPr>
      </w:pPr>
      <w:r w:rsidRPr="007A27A5">
        <w:rPr>
          <w:rFonts w:ascii="Times New Roman" w:eastAsia="Aptos" w:hAnsi="Times New Roman" w:cs="Times New Roman"/>
          <w:bCs/>
          <w:kern w:val="2"/>
          <w:sz w:val="24"/>
          <w:szCs w:val="24"/>
          <w14:ligatures w14:val="standardContextual"/>
        </w:rPr>
        <w:t>Dado en el Palacio del Poder Legislativo, en la ciudad de Toluca de Lerdo, Capital del Estado de México, a los diecinueve días del mes de noviembre del dos mil veinticinco.</w:t>
      </w:r>
    </w:p>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p>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PRESIDENTA</w:t>
      </w:r>
    </w:p>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DIP. MARTHA AZUCENA CAMACHO REYNOSO </w:t>
      </w:r>
    </w:p>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p>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SECRETARIAS</w:t>
      </w:r>
    </w:p>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DIP. BRENDA COLETTE MIRANDA VARGAS</w:t>
      </w:r>
    </w:p>
    <w:tbl>
      <w:tblPr>
        <w:tblW w:w="0" w:type="auto"/>
        <w:jc w:val="center"/>
        <w:tblLook w:val="04A0" w:firstRow="1" w:lastRow="0" w:firstColumn="1" w:lastColumn="0" w:noHBand="0" w:noVBand="1"/>
      </w:tblPr>
      <w:tblGrid>
        <w:gridCol w:w="4862"/>
        <w:gridCol w:w="4543"/>
      </w:tblGrid>
      <w:tr w:rsidR="00AE5353" w:rsidRPr="007A27A5" w:rsidTr="00EA6029">
        <w:trPr>
          <w:jc w:val="center"/>
        </w:trPr>
        <w:tc>
          <w:tcPr>
            <w:tcW w:w="4862" w:type="dxa"/>
            <w:shd w:val="clear" w:color="auto" w:fill="auto"/>
          </w:tcPr>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DIP. EMMA LAURA </w:t>
            </w:r>
          </w:p>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ALVAREZ VILLAVICENCIO </w:t>
            </w:r>
          </w:p>
        </w:tc>
        <w:tc>
          <w:tcPr>
            <w:tcW w:w="4543" w:type="dxa"/>
            <w:shd w:val="clear" w:color="auto" w:fill="auto"/>
          </w:tcPr>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DIP. MARICELA </w:t>
            </w:r>
          </w:p>
          <w:p w:rsidR="00AE5353" w:rsidRPr="007A27A5" w:rsidRDefault="00AE5353" w:rsidP="00EA6029">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BELTRÁN SÁNCHEZ </w:t>
            </w:r>
          </w:p>
        </w:tc>
      </w:tr>
    </w:tbl>
    <w:p w:rsidR="00AE5353" w:rsidRPr="007A27A5" w:rsidRDefault="00AE5353" w:rsidP="00EA6029">
      <w:pPr>
        <w:spacing w:after="0" w:line="240" w:lineRule="auto"/>
        <w:jc w:val="both"/>
        <w:rPr>
          <w:rFonts w:ascii="Times New Roman" w:eastAsia="Aptos" w:hAnsi="Times New Roman" w:cs="Times New Roman"/>
          <w:bCs/>
          <w:kern w:val="2"/>
          <w:sz w:val="24"/>
          <w:szCs w:val="24"/>
          <w14:ligatures w14:val="standardContextual"/>
        </w:rPr>
      </w:pPr>
    </w:p>
    <w:p w:rsidR="0066422E" w:rsidRPr="007A27A5" w:rsidRDefault="0066422E" w:rsidP="008A0ED6">
      <w:pPr>
        <w:spacing w:after="0" w:line="240" w:lineRule="auto"/>
        <w:jc w:val="center"/>
        <w:rPr>
          <w:rFonts w:ascii="Times New Roman" w:hAnsi="Times New Roman"/>
          <w:i/>
          <w:sz w:val="24"/>
          <w:szCs w:val="24"/>
        </w:rPr>
      </w:pPr>
      <w:r w:rsidRPr="007A27A5">
        <w:rPr>
          <w:rFonts w:ascii="Times New Roman" w:hAnsi="Times New Roman"/>
          <w:i/>
          <w:sz w:val="24"/>
          <w:szCs w:val="24"/>
        </w:rPr>
        <w:t>(Fin del documento)</w:t>
      </w:r>
    </w:p>
    <w:p w:rsidR="0066422E" w:rsidRPr="007A27A5" w:rsidRDefault="0066422E" w:rsidP="008A0ED6">
      <w:pPr>
        <w:spacing w:after="0" w:line="240" w:lineRule="auto"/>
        <w:jc w:val="center"/>
        <w:rPr>
          <w:rFonts w:ascii="Times New Roman" w:hAnsi="Times New Roman"/>
          <w:sz w:val="24"/>
          <w:szCs w:val="24"/>
        </w:rPr>
      </w:pP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PRESIDENTA DIP. MARTHA AZUCENA CAMACHO REYNOSO. Gracias diputada Arleth Grimaldo.</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Leído el dictamen con sus antecedentes pido a quienes estén por su turno a discusión se sirvan levantar la mano.</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SECRETARIA DIP. BRENDA COLETTE MIRANDA VARGAS. La propuesta ha sido aprobada por unanimidad de votos.</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lastRenderedPageBreak/>
        <w:t>PRESIDENTA DIP. MARTHA AZUCENA CAMACHO REYNOSO. Gracias.</w:t>
      </w:r>
    </w:p>
    <w:p w:rsidR="0049218A" w:rsidRPr="007A27A5" w:rsidRDefault="0049218A" w:rsidP="008D3840">
      <w:pPr>
        <w:spacing w:after="0" w:line="240" w:lineRule="auto"/>
        <w:ind w:firstLine="709"/>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Abro la discusión en lo general y consulto a las diputadas y los diputados y le diputade si desean hacer uso de la palabra.</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BF8F00" w:themeColor="accent4" w:themeShade="BF"/>
          <w:sz w:val="24"/>
          <w:szCs w:val="24"/>
        </w:rPr>
        <w:tab/>
      </w:r>
      <w:r w:rsidRPr="007A27A5">
        <w:rPr>
          <w:rFonts w:ascii="Times New Roman" w:hAnsi="Times New Roman" w:cs="Times New Roman"/>
          <w:color w:val="000000" w:themeColor="text1"/>
          <w:sz w:val="24"/>
          <w:szCs w:val="24"/>
        </w:rPr>
        <w:t>Para recabar la votación en lo general pido a la Secretaría abra el sistema de votación hasta por dos minutos, sí alguien desea separar algún artículo en lo particular sírvase indicarlo.</w:t>
      </w:r>
    </w:p>
    <w:p w:rsidR="0049218A" w:rsidRPr="007A27A5" w:rsidRDefault="0049218A"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SECRETARIA DIP. BRENDA COLETTE MIRANDA VARGAS. Ábrase el sistema de votación hasta por dos minutos.</w:t>
      </w:r>
    </w:p>
    <w:p w:rsidR="0049218A" w:rsidRPr="007A27A5" w:rsidRDefault="0049218A" w:rsidP="00B54AF5">
      <w:pPr>
        <w:spacing w:after="0" w:line="240" w:lineRule="auto"/>
        <w:jc w:val="center"/>
        <w:rPr>
          <w:rFonts w:ascii="Times New Roman" w:hAnsi="Times New Roman" w:cs="Times New Roman"/>
          <w:i/>
          <w:color w:val="000000" w:themeColor="text1"/>
          <w:sz w:val="24"/>
          <w:szCs w:val="24"/>
        </w:rPr>
      </w:pPr>
      <w:r w:rsidRPr="007A27A5">
        <w:rPr>
          <w:rFonts w:ascii="Times New Roman" w:hAnsi="Times New Roman" w:cs="Times New Roman"/>
          <w:i/>
          <w:color w:val="000000" w:themeColor="text1"/>
          <w:sz w:val="24"/>
          <w:szCs w:val="24"/>
        </w:rPr>
        <w:t>(Votación nominal)</w:t>
      </w:r>
    </w:p>
    <w:p w:rsidR="000242D0" w:rsidRPr="007A27A5" w:rsidRDefault="000242D0" w:rsidP="00B54AF5">
      <w:pPr>
        <w:pStyle w:val="Sinespaciado"/>
        <w:rPr>
          <w:rFonts w:eastAsia="Times New Roman"/>
          <w:color w:val="000000" w:themeColor="text1"/>
          <w:lang w:eastAsia="es-MX"/>
        </w:rPr>
      </w:pPr>
      <w:r w:rsidRPr="007A27A5">
        <w:rPr>
          <w:rFonts w:eastAsia="Times New Roman"/>
          <w:color w:val="000000" w:themeColor="text1"/>
          <w:lang w:eastAsia="es-MX"/>
        </w:rPr>
        <w:t>SECRETARIA DIP. BRENDA COLETTE MIRANDA VARGAS</w:t>
      </w:r>
      <w:r w:rsidR="008326F4" w:rsidRPr="007A27A5">
        <w:rPr>
          <w:rFonts w:eastAsia="Times New Roman"/>
          <w:color w:val="000000" w:themeColor="text1"/>
          <w:lang w:eastAsia="es-MX"/>
        </w:rPr>
        <w:t>.</w:t>
      </w:r>
      <w:r w:rsidR="00323CA7" w:rsidRPr="007A27A5">
        <w:rPr>
          <w:rFonts w:eastAsia="Times New Roman"/>
          <w:color w:val="000000" w:themeColor="text1"/>
          <w:lang w:eastAsia="es-MX"/>
        </w:rPr>
        <w:t xml:space="preserve"> </w:t>
      </w:r>
      <w:r w:rsidR="008326F4" w:rsidRPr="007A27A5">
        <w:rPr>
          <w:rFonts w:eastAsia="Times New Roman"/>
          <w:color w:val="000000" w:themeColor="text1"/>
          <w:lang w:eastAsia="es-MX"/>
        </w:rPr>
        <w:t>P</w:t>
      </w:r>
      <w:r w:rsidR="00323CA7" w:rsidRPr="007A27A5">
        <w:rPr>
          <w:rFonts w:eastAsia="Times New Roman"/>
          <w:color w:val="000000" w:themeColor="text1"/>
          <w:lang w:eastAsia="es-MX"/>
        </w:rPr>
        <w:t>regunto a los integrantes de esta Legislatura si alguno falta de emitir su voto.</w:t>
      </w:r>
    </w:p>
    <w:p w:rsidR="00323CA7" w:rsidRPr="007A27A5" w:rsidRDefault="00323CA7" w:rsidP="008D3840">
      <w:pPr>
        <w:pStyle w:val="Sinespaciado"/>
        <w:ind w:firstLine="709"/>
        <w:rPr>
          <w:rFonts w:eastAsia="Times New Roman"/>
          <w:color w:val="000000" w:themeColor="text1"/>
          <w:lang w:eastAsia="es-MX"/>
        </w:rPr>
      </w:pPr>
      <w:r w:rsidRPr="007A27A5">
        <w:rPr>
          <w:rFonts w:eastAsia="Times New Roman"/>
          <w:color w:val="000000" w:themeColor="text1"/>
          <w:lang w:eastAsia="es-MX"/>
        </w:rPr>
        <w:t xml:space="preserve">Presidenta, le informo que el </w:t>
      </w:r>
      <w:r w:rsidR="008326F4" w:rsidRPr="007A27A5">
        <w:rPr>
          <w:rFonts w:eastAsia="Times New Roman"/>
          <w:color w:val="000000" w:themeColor="text1"/>
          <w:lang w:eastAsia="es-MX"/>
        </w:rPr>
        <w:t xml:space="preserve">Dictamen </w:t>
      </w:r>
      <w:r w:rsidRPr="007A27A5">
        <w:rPr>
          <w:rFonts w:eastAsia="Times New Roman"/>
          <w:color w:val="000000" w:themeColor="text1"/>
          <w:lang w:eastAsia="es-MX"/>
        </w:rPr>
        <w:t xml:space="preserve">y el </w:t>
      </w:r>
      <w:r w:rsidR="008326F4" w:rsidRPr="007A27A5">
        <w:rPr>
          <w:rFonts w:eastAsia="Times New Roman"/>
          <w:color w:val="000000" w:themeColor="text1"/>
          <w:lang w:eastAsia="es-MX"/>
        </w:rPr>
        <w:t xml:space="preserve">Proyecto </w:t>
      </w:r>
      <w:r w:rsidRPr="007A27A5">
        <w:rPr>
          <w:rFonts w:eastAsia="Times New Roman"/>
          <w:color w:val="000000" w:themeColor="text1"/>
          <w:lang w:eastAsia="es-MX"/>
        </w:rPr>
        <w:t xml:space="preserve">de </w:t>
      </w:r>
      <w:r w:rsidR="008326F4" w:rsidRPr="007A27A5">
        <w:rPr>
          <w:rFonts w:eastAsia="Times New Roman"/>
          <w:color w:val="000000" w:themeColor="text1"/>
          <w:lang w:eastAsia="es-MX"/>
        </w:rPr>
        <w:t xml:space="preserve">Decreto </w:t>
      </w:r>
      <w:r w:rsidRPr="007A27A5">
        <w:rPr>
          <w:rFonts w:eastAsia="Times New Roman"/>
          <w:color w:val="000000" w:themeColor="text1"/>
          <w:lang w:eastAsia="es-MX"/>
        </w:rPr>
        <w:t>han sido aprobados en lo general por unanimidad de votos.</w:t>
      </w:r>
    </w:p>
    <w:p w:rsidR="00323CA7" w:rsidRPr="007A27A5" w:rsidRDefault="00323CA7" w:rsidP="00B54AF5">
      <w:pPr>
        <w:pStyle w:val="Sinespaciado"/>
        <w:rPr>
          <w:rFonts w:eastAsia="Times New Roman"/>
          <w:color w:val="000000" w:themeColor="text1"/>
          <w:lang w:eastAsia="es-MX"/>
        </w:rPr>
      </w:pPr>
      <w:r w:rsidRPr="007A27A5">
        <w:rPr>
          <w:rFonts w:eastAsia="Times New Roman"/>
          <w:color w:val="000000" w:themeColor="text1"/>
          <w:lang w:eastAsia="es-MX"/>
        </w:rPr>
        <w:t xml:space="preserve">PRESIDENTA DIP. MARTHA AZUCENA CAMACHO REYNOSO. Gracias. </w:t>
      </w:r>
    </w:p>
    <w:p w:rsidR="00323CA7" w:rsidRPr="007A27A5" w:rsidRDefault="00323CA7" w:rsidP="008D3840">
      <w:pPr>
        <w:pStyle w:val="Sinespaciado"/>
        <w:ind w:firstLine="709"/>
        <w:rPr>
          <w:rFonts w:eastAsia="Times New Roman"/>
          <w:color w:val="000000" w:themeColor="text1"/>
          <w:lang w:eastAsia="es-MX"/>
        </w:rPr>
      </w:pPr>
      <w:r w:rsidRPr="007A27A5">
        <w:rPr>
          <w:rFonts w:eastAsia="Times New Roman"/>
          <w:color w:val="000000" w:themeColor="text1"/>
          <w:lang w:eastAsia="es-MX"/>
        </w:rPr>
        <w:t xml:space="preserve">Se tiene por aprobado en lo general el </w:t>
      </w:r>
      <w:r w:rsidR="008326F4" w:rsidRPr="007A27A5">
        <w:rPr>
          <w:rFonts w:eastAsia="Times New Roman"/>
          <w:color w:val="000000" w:themeColor="text1"/>
          <w:lang w:eastAsia="es-MX"/>
        </w:rPr>
        <w:t>Dictamen y el Proyecto de Decreto, s</w:t>
      </w:r>
      <w:r w:rsidRPr="007A27A5">
        <w:rPr>
          <w:rFonts w:eastAsia="Times New Roman"/>
          <w:color w:val="000000" w:themeColor="text1"/>
          <w:lang w:eastAsia="es-MX"/>
        </w:rPr>
        <w:t>e declara también su aprobación en lo particular.</w:t>
      </w:r>
    </w:p>
    <w:p w:rsidR="00323CA7" w:rsidRPr="007A27A5" w:rsidRDefault="00323CA7" w:rsidP="008D3840">
      <w:pPr>
        <w:pStyle w:val="Sinespaciado"/>
        <w:ind w:firstLine="709"/>
        <w:rPr>
          <w:rFonts w:eastAsia="Times New Roman"/>
          <w:color w:val="000000" w:themeColor="text1"/>
          <w:lang w:eastAsia="es-MX"/>
        </w:rPr>
      </w:pPr>
      <w:r w:rsidRPr="007A27A5">
        <w:rPr>
          <w:rFonts w:eastAsia="Times New Roman"/>
          <w:color w:val="000000" w:themeColor="text1"/>
          <w:lang w:eastAsia="es-MX"/>
        </w:rPr>
        <w:t>En cuanto al punto número 3</w:t>
      </w:r>
      <w:r w:rsidR="008326F4" w:rsidRPr="007A27A5">
        <w:rPr>
          <w:rFonts w:eastAsia="Times New Roman"/>
          <w:color w:val="000000" w:themeColor="text1"/>
          <w:lang w:eastAsia="es-MX"/>
        </w:rPr>
        <w:t>, e</w:t>
      </w:r>
      <w:r w:rsidRPr="007A27A5">
        <w:rPr>
          <w:rFonts w:eastAsia="Times New Roman"/>
          <w:color w:val="000000" w:themeColor="text1"/>
          <w:lang w:eastAsia="es-MX"/>
        </w:rPr>
        <w:t xml:space="preserve">l diputado Héctor Raúl García González, dará lectura al dictamen formulado con motivo de las </w:t>
      </w:r>
      <w:r w:rsidR="008326F4" w:rsidRPr="007A27A5">
        <w:rPr>
          <w:rFonts w:eastAsia="Times New Roman"/>
          <w:color w:val="000000" w:themeColor="text1"/>
          <w:lang w:eastAsia="es-MX"/>
        </w:rPr>
        <w:t xml:space="preserve">Cuentas Públicas </w:t>
      </w:r>
      <w:r w:rsidRPr="007A27A5">
        <w:rPr>
          <w:rFonts w:eastAsia="Times New Roman"/>
          <w:color w:val="000000" w:themeColor="text1"/>
          <w:lang w:eastAsia="es-MX"/>
        </w:rPr>
        <w:t xml:space="preserve">de los municipios del Estado de México del </w:t>
      </w:r>
      <w:r w:rsidR="00CA5EA7" w:rsidRPr="007A27A5">
        <w:rPr>
          <w:rFonts w:eastAsia="Times New Roman"/>
          <w:color w:val="000000" w:themeColor="text1"/>
          <w:lang w:eastAsia="es-MX"/>
        </w:rPr>
        <w:t>Ejercicio Fiscal</w:t>
      </w:r>
      <w:r w:rsidRPr="007A27A5">
        <w:rPr>
          <w:rFonts w:eastAsia="Times New Roman"/>
          <w:color w:val="000000" w:themeColor="text1"/>
          <w:lang w:eastAsia="es-MX"/>
        </w:rPr>
        <w:t xml:space="preserve"> 2024, que presenta la Comisión Legislativa de Vigilancia del Órgano Superior de </w:t>
      </w:r>
      <w:r w:rsidR="00CA5EA7" w:rsidRPr="007A27A5">
        <w:rPr>
          <w:rFonts w:eastAsia="Times New Roman"/>
          <w:color w:val="000000" w:themeColor="text1"/>
          <w:lang w:eastAsia="es-MX"/>
        </w:rPr>
        <w:t>Fiscalización</w:t>
      </w:r>
      <w:r w:rsidRPr="007A27A5">
        <w:rPr>
          <w:rFonts w:eastAsia="Times New Roman"/>
          <w:color w:val="000000" w:themeColor="text1"/>
          <w:lang w:eastAsia="es-MX"/>
        </w:rPr>
        <w:t>.</w:t>
      </w:r>
    </w:p>
    <w:p w:rsidR="00323CA7" w:rsidRPr="007A27A5" w:rsidRDefault="00323CA7" w:rsidP="00B54AF5">
      <w:pPr>
        <w:pStyle w:val="Sinespaciado"/>
        <w:rPr>
          <w:rFonts w:eastAsia="Times New Roman"/>
          <w:color w:val="000000" w:themeColor="text1"/>
          <w:lang w:eastAsia="es-MX"/>
        </w:rPr>
      </w:pPr>
      <w:r w:rsidRPr="007A27A5">
        <w:rPr>
          <w:rFonts w:eastAsia="Times New Roman"/>
          <w:color w:val="000000" w:themeColor="text1"/>
          <w:lang w:eastAsia="es-MX"/>
        </w:rPr>
        <w:t>DIP. HÉCTOR RAÚL GARCÍA GONZÁLEZ. Con su venia Presidenta.</w:t>
      </w:r>
    </w:p>
    <w:p w:rsidR="00323CA7" w:rsidRPr="007A27A5" w:rsidRDefault="00323CA7" w:rsidP="0052523F">
      <w:pPr>
        <w:pStyle w:val="Sinespaciado"/>
        <w:ind w:firstLine="709"/>
        <w:rPr>
          <w:rFonts w:eastAsia="Times New Roman"/>
          <w:color w:val="000000" w:themeColor="text1"/>
          <w:lang w:eastAsia="es-MX"/>
        </w:rPr>
      </w:pPr>
      <w:r w:rsidRPr="007A27A5">
        <w:rPr>
          <w:rFonts w:eastAsia="Times New Roman"/>
          <w:color w:val="000000" w:themeColor="text1"/>
          <w:lang w:eastAsia="es-MX"/>
        </w:rPr>
        <w:t>Dictamen de la Cuenta Pública del ejercicio fiscal del año 2024, de los municipios y sus Organismos descentralizados en el Estado de México.</w:t>
      </w:r>
    </w:p>
    <w:p w:rsidR="00323CA7" w:rsidRPr="007A27A5" w:rsidRDefault="00323CA7" w:rsidP="0052523F">
      <w:pPr>
        <w:pStyle w:val="Sinespaciado"/>
        <w:ind w:firstLine="709"/>
        <w:rPr>
          <w:rFonts w:eastAsia="Times New Roman"/>
          <w:color w:val="000000" w:themeColor="text1"/>
          <w:lang w:eastAsia="es-MX"/>
        </w:rPr>
      </w:pPr>
      <w:r w:rsidRPr="007A27A5">
        <w:rPr>
          <w:rFonts w:eastAsia="Times New Roman"/>
          <w:color w:val="000000" w:themeColor="text1"/>
          <w:lang w:eastAsia="es-MX"/>
        </w:rPr>
        <w:t>HONORABLE ASAMBLEA</w:t>
      </w:r>
    </w:p>
    <w:p w:rsidR="002649A4" w:rsidRPr="007A27A5" w:rsidRDefault="00323CA7" w:rsidP="0052523F">
      <w:pPr>
        <w:pStyle w:val="Sinespaciado"/>
        <w:ind w:firstLine="709"/>
        <w:rPr>
          <w:rFonts w:eastAsia="Times New Roman"/>
          <w:color w:val="000000" w:themeColor="text1"/>
          <w:lang w:eastAsia="es-MX"/>
        </w:rPr>
      </w:pPr>
      <w:r w:rsidRPr="007A27A5">
        <w:rPr>
          <w:rFonts w:eastAsia="Times New Roman"/>
          <w:color w:val="000000" w:themeColor="text1"/>
          <w:lang w:eastAsia="es-MX"/>
        </w:rPr>
        <w:t>En términos de lo dispuesto en los artículos 61, fracciones XXXII, XXXIII, XXXIV y XXXV de la Constitución Política del Estado Libre y Soberano de México, 30 y 31 fracción I, XXXV, XL, L, LI y LII, de la Ley de Fiscalización Superior del Estado de México, 35 y 95 de la Ley Orgánica del Poder Legislativo Estado Libre Soberano de México; 1, 13 A, fracción XX, inciso e), 78 y 148 del Reglamento del Poder Legislativo del Estado Libre y Soberano de México, la Comisión Legislativa de Vigilancia del Órgano Superior de Fiscalización somete a consideración de esta Honorable Asamblea el presente</w:t>
      </w:r>
      <w:r w:rsidR="002649A4" w:rsidRPr="007A27A5">
        <w:rPr>
          <w:rFonts w:eastAsia="Times New Roman"/>
          <w:color w:val="000000" w:themeColor="text1"/>
          <w:lang w:eastAsia="es-MX"/>
        </w:rPr>
        <w:t>:</w:t>
      </w:r>
    </w:p>
    <w:p w:rsidR="00FB1B24" w:rsidRPr="007A27A5" w:rsidRDefault="002649A4" w:rsidP="002649A4">
      <w:pPr>
        <w:pStyle w:val="Sinespaciado"/>
        <w:jc w:val="center"/>
        <w:rPr>
          <w:rFonts w:eastAsia="Times New Roman"/>
          <w:color w:val="000000" w:themeColor="text1"/>
          <w:lang w:eastAsia="es-MX"/>
        </w:rPr>
      </w:pPr>
      <w:r w:rsidRPr="007A27A5">
        <w:rPr>
          <w:rFonts w:eastAsia="Times New Roman"/>
          <w:color w:val="000000" w:themeColor="text1"/>
          <w:lang w:eastAsia="es-MX"/>
        </w:rPr>
        <w:t>DICTAMEN</w:t>
      </w:r>
    </w:p>
    <w:p w:rsidR="00323CA7" w:rsidRPr="007A27A5" w:rsidRDefault="00323CA7" w:rsidP="002649A4">
      <w:pPr>
        <w:pStyle w:val="Sinespaciado"/>
        <w:rPr>
          <w:rFonts w:eastAsia="Times New Roman"/>
          <w:color w:val="000000" w:themeColor="text1"/>
          <w:lang w:eastAsia="es-MX"/>
        </w:rPr>
      </w:pPr>
      <w:r w:rsidRPr="007A27A5">
        <w:rPr>
          <w:rFonts w:eastAsia="Times New Roman"/>
          <w:color w:val="000000" w:themeColor="text1"/>
          <w:lang w:eastAsia="es-MX"/>
        </w:rPr>
        <w:t>ANTECEDENTES</w:t>
      </w:r>
      <w:r w:rsidR="002649A4" w:rsidRPr="007A27A5">
        <w:rPr>
          <w:rFonts w:eastAsia="Times New Roman"/>
          <w:color w:val="000000" w:themeColor="text1"/>
          <w:lang w:eastAsia="es-MX"/>
        </w:rPr>
        <w:t>:</w:t>
      </w:r>
    </w:p>
    <w:p w:rsidR="00323CA7" w:rsidRPr="007A27A5" w:rsidRDefault="00323CA7" w:rsidP="0052523F">
      <w:pPr>
        <w:pStyle w:val="Sinespaciado"/>
        <w:ind w:firstLine="709"/>
        <w:rPr>
          <w:color w:val="000000" w:themeColor="text1"/>
        </w:rPr>
      </w:pPr>
      <w:r w:rsidRPr="007A27A5">
        <w:rPr>
          <w:rFonts w:eastAsia="Times New Roman"/>
          <w:color w:val="000000" w:themeColor="text1"/>
          <w:lang w:eastAsia="es-MX"/>
        </w:rPr>
        <w:t xml:space="preserve">Los municipios, así como sus </w:t>
      </w:r>
      <w:r w:rsidR="00250194" w:rsidRPr="007A27A5">
        <w:rPr>
          <w:rFonts w:eastAsia="Times New Roman"/>
          <w:color w:val="000000" w:themeColor="text1"/>
          <w:lang w:eastAsia="es-MX"/>
        </w:rPr>
        <w:t xml:space="preserve">Organismos Descentralizados </w:t>
      </w:r>
      <w:r w:rsidRPr="007A27A5">
        <w:rPr>
          <w:rFonts w:eastAsia="Times New Roman"/>
          <w:color w:val="000000" w:themeColor="text1"/>
          <w:lang w:eastAsia="es-MX"/>
        </w:rPr>
        <w:t xml:space="preserve">respectivos, presentaron a la Legislatura, a través del Órgano Superior de Fiscalización del Estado de México, las cuentas públicas del ejercicio fiscal 2024, en cumplimiento del artículo 32 de la Ley de Fiscalización Superior del Estado de México, que señala que las </w:t>
      </w:r>
      <w:r w:rsidR="00B34221" w:rsidRPr="007A27A5">
        <w:rPr>
          <w:rFonts w:eastAsia="Times New Roman"/>
          <w:color w:val="000000" w:themeColor="text1"/>
          <w:lang w:eastAsia="es-MX"/>
        </w:rPr>
        <w:t xml:space="preserve">Cuentas Públicas </w:t>
      </w:r>
      <w:r w:rsidRPr="007A27A5">
        <w:rPr>
          <w:rFonts w:eastAsia="Times New Roman"/>
          <w:color w:val="000000" w:themeColor="text1"/>
          <w:lang w:eastAsia="es-MX"/>
        </w:rPr>
        <w:t xml:space="preserve">deberán presentarse conforme a lo establecido de la Ley General de Contabilidad Gubernamental, Ley </w:t>
      </w:r>
      <w:r w:rsidRPr="007A27A5">
        <w:rPr>
          <w:color w:val="000000" w:themeColor="text1"/>
        </w:rPr>
        <w:t xml:space="preserve">de Disciplina Financiera en las Entidades Federativas y los Municipios y demás disposiciones aplicables en los primeros 15 días del mes de marzo de cada año. </w:t>
      </w:r>
    </w:p>
    <w:p w:rsidR="00323CA7" w:rsidRPr="007A27A5" w:rsidRDefault="00323CA7" w:rsidP="0052523F">
      <w:pPr>
        <w:pStyle w:val="Sinespaciado"/>
        <w:ind w:firstLine="709"/>
        <w:rPr>
          <w:color w:val="000000" w:themeColor="text1"/>
        </w:rPr>
      </w:pPr>
      <w:r w:rsidRPr="007A27A5">
        <w:rPr>
          <w:color w:val="000000" w:themeColor="text1"/>
        </w:rPr>
        <w:t xml:space="preserve">En este sentido, el Órgano Superior de Fiscalización del Estado de México recibió las cuentas públicas de 125 Municipios, 125 Sistemas Municipales para el Desarrollo Integral de la Familia; 49 Organismos Descentralizados Operadores del Agua; 97 Institutos Municipales de Cultura Física y Deporte; un Instituto Municipal de la Juventud  de Ayapango; un Instituto Municipal de la Mujer en Toluca; un Organismo Público Descentralizado de Carácter Municipal para el Mantenimiento de Vialidades en Cuautitlán Izcalli. </w:t>
      </w:r>
    </w:p>
    <w:p w:rsidR="00323CA7" w:rsidRPr="007A27A5" w:rsidRDefault="00323CA7" w:rsidP="0052523F">
      <w:pPr>
        <w:pStyle w:val="Sinespaciado"/>
        <w:ind w:firstLine="709"/>
        <w:rPr>
          <w:color w:val="000000" w:themeColor="text1"/>
        </w:rPr>
      </w:pPr>
      <w:r w:rsidRPr="007A27A5">
        <w:rPr>
          <w:color w:val="000000" w:themeColor="text1"/>
        </w:rPr>
        <w:t xml:space="preserve">El Órgano Superior de Fiscalización del Estado de México, dependiente del Poder Legislativo, es el encargado de revisar y fiscalizar las </w:t>
      </w:r>
      <w:r w:rsidR="006437CC" w:rsidRPr="007A27A5">
        <w:rPr>
          <w:color w:val="000000" w:themeColor="text1"/>
        </w:rPr>
        <w:t xml:space="preserve">Cuentas Públicas </w:t>
      </w:r>
      <w:r w:rsidRPr="007A27A5">
        <w:rPr>
          <w:color w:val="000000" w:themeColor="text1"/>
        </w:rPr>
        <w:t xml:space="preserve">de las entidades fiscaliza estatales y municipales, conforme a los principios de legalidad, definitividad, imparcialidad, </w:t>
      </w:r>
      <w:r w:rsidRPr="007A27A5">
        <w:rPr>
          <w:color w:val="000000" w:themeColor="text1"/>
        </w:rPr>
        <w:lastRenderedPageBreak/>
        <w:t>confiabilidad y de máxima publicidad, con el objetivo de prevenir posibles actos de corrupción y promover las responsabilidades que sean procedentes.</w:t>
      </w:r>
    </w:p>
    <w:p w:rsidR="00B8547B" w:rsidRPr="007A27A5" w:rsidRDefault="00323CA7" w:rsidP="0052523F">
      <w:pPr>
        <w:pStyle w:val="Sinespaciado"/>
        <w:ind w:firstLine="709"/>
        <w:rPr>
          <w:color w:val="7030A0"/>
        </w:rPr>
      </w:pPr>
      <w:r w:rsidRPr="007A27A5">
        <w:rPr>
          <w:color w:val="000000" w:themeColor="text1"/>
        </w:rPr>
        <w:t>En primer lugar, el Órgano Superior de Fiscalización del Estado de México emite el Programa Anual de Auditorías para Fiscalización del Ejercicio Fiscal 2024, el cual contiene las entidades fiscaliza</w:t>
      </w:r>
      <w:r w:rsidR="006437CC" w:rsidRPr="007A27A5">
        <w:rPr>
          <w:color w:val="000000" w:themeColor="text1"/>
        </w:rPr>
        <w:t>bles</w:t>
      </w:r>
      <w:r w:rsidRPr="007A27A5">
        <w:rPr>
          <w:color w:val="000000" w:themeColor="text1"/>
        </w:rPr>
        <w:t xml:space="preserve"> que serán objeto de auditoría y revisión </w:t>
      </w:r>
      <w:r w:rsidR="00BF5666" w:rsidRPr="007A27A5">
        <w:rPr>
          <w:color w:val="000000" w:themeColor="text1"/>
        </w:rPr>
        <w:t>de la</w:t>
      </w:r>
      <w:r w:rsidR="00E469F0" w:rsidRPr="007A27A5">
        <w:rPr>
          <w:color w:val="000000" w:themeColor="text1"/>
        </w:rPr>
        <w:t xml:space="preserve">s cuentas </w:t>
      </w:r>
      <w:r w:rsidR="00B8547B" w:rsidRPr="007A27A5">
        <w:rPr>
          <w:color w:val="000000" w:themeColor="text1"/>
        </w:rPr>
        <w:t xml:space="preserve">públicas, mismo </w:t>
      </w:r>
      <w:r w:rsidR="00B8547B" w:rsidRPr="007A27A5">
        <w:t>que se publicó el 20 de febrero de 2025, a través del Periódico Oficial Gaceta del Gobierno.</w:t>
      </w:r>
    </w:p>
    <w:p w:rsidR="00B8547B" w:rsidRPr="007A27A5" w:rsidRDefault="00B8547B" w:rsidP="0052523F">
      <w:pPr>
        <w:pStyle w:val="Sinespaciado"/>
        <w:ind w:firstLine="709"/>
      </w:pPr>
      <w:r w:rsidRPr="007A27A5">
        <w:t>En cabal cumplimiento al artículo 50 de la Ley de Fiscalización Superior del Estado de México, el Órgano Superior presentó el 13 de noviembre de 2025, a esta “LXII” Legislatura, a través de la Comisión Legislativa de Vigilancia del Órgano Superior de Fiscalización, el Informe de Resultados de Fiscalización de las Cuentas Públicas del Gobierno del Estado de México y los Municipios, correspondiente al Ejercicio Fiscal 2024, documento que contiene el resultado de los actos de Fiscalización descritos en el programa anual de auditorías, dado que es obligación de la Legislatura calificar anualmente las cuentas y los recursos públicos del Estado y los Municipios, como lo establece el artículo 61 fracciones XXXII, XXXIII, XXXIV y XXXV de la Constitución Política del Estado Libre y Soberano de México.</w:t>
      </w:r>
    </w:p>
    <w:p w:rsidR="00B8547B" w:rsidRPr="007A27A5" w:rsidRDefault="00B8547B" w:rsidP="00B54AF5">
      <w:pPr>
        <w:pStyle w:val="Sinespaciado"/>
      </w:pPr>
      <w:r w:rsidRPr="007A27A5">
        <w:tab/>
        <w:t xml:space="preserve">Por ello, nos proponemos exponer que una recibidas, revisadas, fiscalizadas de las </w:t>
      </w:r>
      <w:r w:rsidR="006D7B8F" w:rsidRPr="007A27A5">
        <w:t xml:space="preserve">Cuentas Públicas </w:t>
      </w:r>
      <w:r w:rsidRPr="007A27A5">
        <w:t xml:space="preserve">del Ejercicio Fiscal 2024, de los </w:t>
      </w:r>
      <w:r w:rsidR="006D7B8F" w:rsidRPr="007A27A5">
        <w:t xml:space="preserve">Municipios </w:t>
      </w:r>
      <w:r w:rsidRPr="007A27A5">
        <w:t xml:space="preserve">y sus </w:t>
      </w:r>
      <w:r w:rsidR="006D7B8F" w:rsidRPr="007A27A5">
        <w:t xml:space="preserve">Organismos Descentralizados </w:t>
      </w:r>
      <w:r w:rsidRPr="007A27A5">
        <w:t>del Estado de México, analizamos la información correspondiente al ámbito municipal; así como los actos de fiscalización que comprenden 132 auditorías, practicadas a entidades fiscalizables municipales, de las cuales, 36 correspondieron al Cumplimiento Financiero, 24 Intervención Fiscal, 36 a Legalidad y 36 a Desempeño.</w:t>
      </w:r>
    </w:p>
    <w:p w:rsidR="00B8547B" w:rsidRPr="007A27A5" w:rsidRDefault="00B8547B" w:rsidP="00B54AF5">
      <w:pPr>
        <w:pStyle w:val="Sinespaciado"/>
      </w:pPr>
      <w:r w:rsidRPr="007A27A5">
        <w:tab/>
        <w:t>Asimismo, en atención a lo establecido por los artículos 31 fracción I y 50 a la Ley de Fiscalización Superior del Estado de México, la Comisión Legislativa de Vigilancia del Órgano Superior de Fiscalización, llevó a cabo reuniones de trabajos con la Auditoría Superior y personas servidoras públicas de la dependencia a su cargo con la finalidad de analizar el Informe de Resultados.</w:t>
      </w:r>
    </w:p>
    <w:p w:rsidR="00B8547B" w:rsidRPr="007A27A5" w:rsidRDefault="00B8547B" w:rsidP="00B54AF5">
      <w:pPr>
        <w:pStyle w:val="Sinespaciado"/>
      </w:pPr>
      <w:r w:rsidRPr="007A27A5">
        <w:tab/>
        <w:t xml:space="preserve">A partir de este análisis, cuyo objeto es determinar si las </w:t>
      </w:r>
      <w:r w:rsidR="00983366" w:rsidRPr="007A27A5">
        <w:t xml:space="preserve">Cuentas Públicas Municipales </w:t>
      </w:r>
      <w:r w:rsidRPr="007A27A5">
        <w:t>del Ejercicio Fiscal 2024, cumplieron con los criterios establecidos en el artículo 35 de la Ley de Fiscalización Superior del Estado de México, sobre revisión, fiscalización y calificación de las cuentas públicas; entre otras cosas, si los programas y sus ejecuciones se ajustaron a los términos y montos aprobados, si las cantidades correspondientes a los ingresos o a los egresos, se ajustan o corresponden a los conceptos de partidas respectivas; el cumplimiento de los programas autorizados, si los recursos provenientes del financiamiento se obtuvieron con los términos autorizados y se aplicaron con la periodicidad preestablecidas en la ley y demás disposiciones aplicables, si se cumplieron los compromisos adquiridos en los actores respectivos y de la gestión financiera de las identidades fiscalizables en sus programas y procesos concluidos</w:t>
      </w:r>
      <w:r w:rsidR="007D7001" w:rsidRPr="007A27A5">
        <w:t>.</w:t>
      </w:r>
    </w:p>
    <w:p w:rsidR="00B8547B" w:rsidRPr="007A27A5" w:rsidRDefault="00B8547B" w:rsidP="00B54AF5">
      <w:pPr>
        <w:pStyle w:val="Sinespaciado"/>
      </w:pPr>
      <w:r w:rsidRPr="007A27A5">
        <w:tab/>
        <w:t>La Comisión Legislativa de Vigilancia del Órgano Superior de Fiscalización, elaboró un dictamen que da por finalizadas y calificadas las Cuentas Públicas Municipales.</w:t>
      </w:r>
    </w:p>
    <w:p w:rsidR="00B8547B" w:rsidRPr="007A27A5" w:rsidRDefault="00B8547B" w:rsidP="00B54AF5">
      <w:pPr>
        <w:pStyle w:val="Sinespaciado"/>
        <w:jc w:val="center"/>
      </w:pPr>
      <w:r w:rsidRPr="007A27A5">
        <w:t>RESOLUTIVOS</w:t>
      </w:r>
    </w:p>
    <w:p w:rsidR="00B8547B" w:rsidRPr="007A27A5" w:rsidRDefault="00B8547B" w:rsidP="00B54AF5">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 xml:space="preserve">ARTÍCULO PRIMERO. La Cuenta Pública del Ejercicio Fiscal del año 2024 de los </w:t>
      </w:r>
      <w:r w:rsidR="007D7001" w:rsidRPr="007A27A5">
        <w:rPr>
          <w:rFonts w:ascii="Times New Roman" w:hAnsi="Times New Roman" w:cs="Times New Roman"/>
          <w:sz w:val="24"/>
          <w:szCs w:val="24"/>
        </w:rPr>
        <w:t xml:space="preserve">Municipios </w:t>
      </w:r>
      <w:r w:rsidRPr="007A27A5">
        <w:rPr>
          <w:rFonts w:ascii="Times New Roman" w:hAnsi="Times New Roman" w:cs="Times New Roman"/>
          <w:sz w:val="24"/>
          <w:szCs w:val="24"/>
        </w:rPr>
        <w:t xml:space="preserve">y sus </w:t>
      </w:r>
      <w:r w:rsidR="007D7001" w:rsidRPr="007A27A5">
        <w:rPr>
          <w:rFonts w:ascii="Times New Roman" w:hAnsi="Times New Roman" w:cs="Times New Roman"/>
          <w:sz w:val="24"/>
          <w:szCs w:val="24"/>
        </w:rPr>
        <w:t xml:space="preserve">Organismos Descentralizados </w:t>
      </w:r>
      <w:r w:rsidRPr="007A27A5">
        <w:rPr>
          <w:rFonts w:ascii="Times New Roman" w:hAnsi="Times New Roman" w:cs="Times New Roman"/>
          <w:sz w:val="24"/>
          <w:szCs w:val="24"/>
        </w:rPr>
        <w:t>se presentaron en cumplimiento de los mandatos constitucionales y legales aplicables.</w:t>
      </w:r>
    </w:p>
    <w:p w:rsidR="00B8547B" w:rsidRPr="007A27A5" w:rsidRDefault="00B8547B" w:rsidP="0052523F">
      <w:pPr>
        <w:spacing w:after="0" w:line="240" w:lineRule="auto"/>
        <w:ind w:firstLine="709"/>
        <w:jc w:val="both"/>
        <w:rPr>
          <w:rFonts w:ascii="Times New Roman" w:hAnsi="Times New Roman" w:cs="Times New Roman"/>
          <w:sz w:val="24"/>
          <w:szCs w:val="24"/>
        </w:rPr>
      </w:pPr>
      <w:r w:rsidRPr="007A27A5">
        <w:rPr>
          <w:rFonts w:ascii="Times New Roman" w:hAnsi="Times New Roman" w:cs="Times New Roman"/>
          <w:bCs/>
          <w:sz w:val="24"/>
          <w:szCs w:val="24"/>
        </w:rPr>
        <w:t>ARTÍCULO SEGUNDO.</w:t>
      </w:r>
      <w:r w:rsidRPr="007A27A5">
        <w:rPr>
          <w:rFonts w:ascii="Times New Roman" w:hAnsi="Times New Roman" w:cs="Times New Roman"/>
          <w:sz w:val="24"/>
          <w:szCs w:val="24"/>
        </w:rPr>
        <w:t xml:space="preserve"> El Órgano Superior de Fiscalización del Estado de México deberá informar a la Comisión de Vigilancia del Órgano Superior de Fiscalización, los resultados de la etapa de aclaración, contemplada en el artículo 54 de la Ley de Fiscalización del Estado Superior de México.</w:t>
      </w:r>
    </w:p>
    <w:p w:rsidR="00B8547B" w:rsidRPr="007A27A5" w:rsidRDefault="00B8547B" w:rsidP="0052523F">
      <w:pPr>
        <w:spacing w:after="0" w:line="240" w:lineRule="auto"/>
        <w:ind w:firstLine="709"/>
        <w:jc w:val="both"/>
        <w:rPr>
          <w:rFonts w:ascii="Times New Roman" w:hAnsi="Times New Roman" w:cs="Times New Roman"/>
          <w:sz w:val="24"/>
          <w:szCs w:val="24"/>
        </w:rPr>
      </w:pPr>
      <w:r w:rsidRPr="007A27A5">
        <w:rPr>
          <w:rFonts w:ascii="Times New Roman" w:hAnsi="Times New Roman" w:cs="Times New Roman"/>
          <w:bCs/>
          <w:sz w:val="24"/>
          <w:szCs w:val="24"/>
        </w:rPr>
        <w:t>ARTÍCULO TERCERO.</w:t>
      </w:r>
      <w:r w:rsidRPr="007A27A5">
        <w:rPr>
          <w:rFonts w:ascii="Times New Roman" w:hAnsi="Times New Roman" w:cs="Times New Roman"/>
          <w:sz w:val="24"/>
          <w:szCs w:val="24"/>
        </w:rPr>
        <w:t xml:space="preserve"> La Cuenta Pública del Ejercicio Fiscal del año 2024, de los </w:t>
      </w:r>
      <w:r w:rsidR="00E14FD0" w:rsidRPr="007A27A5">
        <w:rPr>
          <w:rFonts w:ascii="Times New Roman" w:hAnsi="Times New Roman" w:cs="Times New Roman"/>
          <w:sz w:val="24"/>
          <w:szCs w:val="24"/>
        </w:rPr>
        <w:t xml:space="preserve">Municipios </w:t>
      </w:r>
      <w:r w:rsidRPr="007A27A5">
        <w:rPr>
          <w:rFonts w:ascii="Times New Roman" w:hAnsi="Times New Roman" w:cs="Times New Roman"/>
          <w:sz w:val="24"/>
          <w:szCs w:val="24"/>
        </w:rPr>
        <w:t xml:space="preserve">y sus </w:t>
      </w:r>
      <w:r w:rsidR="00E14FD0" w:rsidRPr="007A27A5">
        <w:rPr>
          <w:rFonts w:ascii="Times New Roman" w:hAnsi="Times New Roman" w:cs="Times New Roman"/>
          <w:sz w:val="24"/>
          <w:szCs w:val="24"/>
        </w:rPr>
        <w:t>Organismos Descentralizados</w:t>
      </w:r>
      <w:r w:rsidRPr="007A27A5">
        <w:rPr>
          <w:rFonts w:ascii="Times New Roman" w:hAnsi="Times New Roman" w:cs="Times New Roman"/>
          <w:sz w:val="24"/>
          <w:szCs w:val="24"/>
        </w:rPr>
        <w:t xml:space="preserve">, se tienen por fiscalizadas y revisadas por el </w:t>
      </w:r>
      <w:r w:rsidRPr="007A27A5">
        <w:rPr>
          <w:rFonts w:ascii="Times New Roman" w:hAnsi="Times New Roman" w:cs="Times New Roman"/>
          <w:sz w:val="24"/>
          <w:szCs w:val="24"/>
        </w:rPr>
        <w:lastRenderedPageBreak/>
        <w:t xml:space="preserve">Órgano Superior de Fiscalización del Estado de México y analizadas por la Comisión de Vigilancia del Órgano Superior de Fiscalización. </w:t>
      </w:r>
    </w:p>
    <w:p w:rsidR="00B8547B" w:rsidRPr="007A27A5" w:rsidRDefault="00B8547B" w:rsidP="0052523F">
      <w:pPr>
        <w:spacing w:after="0" w:line="240" w:lineRule="auto"/>
        <w:ind w:firstLine="709"/>
        <w:jc w:val="both"/>
        <w:rPr>
          <w:rFonts w:ascii="Times New Roman" w:hAnsi="Times New Roman" w:cs="Times New Roman"/>
          <w:sz w:val="24"/>
          <w:szCs w:val="24"/>
        </w:rPr>
      </w:pPr>
      <w:r w:rsidRPr="007A27A5">
        <w:rPr>
          <w:rFonts w:ascii="Times New Roman" w:hAnsi="Times New Roman" w:cs="Times New Roman"/>
          <w:bCs/>
          <w:sz w:val="24"/>
          <w:szCs w:val="24"/>
        </w:rPr>
        <w:t>ARTÍCULO CUARTO.</w:t>
      </w:r>
      <w:r w:rsidRPr="007A27A5">
        <w:rPr>
          <w:rFonts w:ascii="Times New Roman" w:hAnsi="Times New Roman" w:cs="Times New Roman"/>
          <w:sz w:val="24"/>
          <w:szCs w:val="24"/>
        </w:rPr>
        <w:t xml:space="preserve"> La Comisión de Vigilancia del Órgano Superior de Fiscalización recomienda al Pleno calificar y aprobar, en lo general y en lo particular, las Cuentas Públicas del Ejercicio Fiscal del año 2024 de los </w:t>
      </w:r>
      <w:r w:rsidR="00E14FD0" w:rsidRPr="007A27A5">
        <w:rPr>
          <w:rFonts w:ascii="Times New Roman" w:hAnsi="Times New Roman" w:cs="Times New Roman"/>
          <w:sz w:val="24"/>
          <w:szCs w:val="24"/>
        </w:rPr>
        <w:t xml:space="preserve">Municipios </w:t>
      </w:r>
      <w:r w:rsidRPr="007A27A5">
        <w:rPr>
          <w:rFonts w:ascii="Times New Roman" w:hAnsi="Times New Roman" w:cs="Times New Roman"/>
          <w:sz w:val="24"/>
          <w:szCs w:val="24"/>
        </w:rPr>
        <w:t xml:space="preserve">y sus </w:t>
      </w:r>
      <w:r w:rsidR="00E14FD0" w:rsidRPr="007A27A5">
        <w:rPr>
          <w:rFonts w:ascii="Times New Roman" w:hAnsi="Times New Roman" w:cs="Times New Roman"/>
          <w:sz w:val="24"/>
          <w:szCs w:val="24"/>
        </w:rPr>
        <w:t>Organismos Descentralizados</w:t>
      </w:r>
      <w:r w:rsidRPr="007A27A5">
        <w:rPr>
          <w:rFonts w:ascii="Times New Roman" w:hAnsi="Times New Roman" w:cs="Times New Roman"/>
          <w:sz w:val="24"/>
          <w:szCs w:val="24"/>
        </w:rPr>
        <w:t xml:space="preserve">. La aprobación de las Cuentas no suspende el trámite de las acciones promovidas por el Órgano Superior de Fiscalización del Estado de México. </w:t>
      </w:r>
    </w:p>
    <w:p w:rsidR="001243C5" w:rsidRPr="007A27A5" w:rsidRDefault="00B8547B" w:rsidP="0052523F">
      <w:pPr>
        <w:spacing w:after="0" w:line="240" w:lineRule="auto"/>
        <w:ind w:firstLine="709"/>
        <w:jc w:val="both"/>
        <w:rPr>
          <w:rFonts w:ascii="Times New Roman" w:hAnsi="Times New Roman" w:cs="Times New Roman"/>
          <w:sz w:val="24"/>
          <w:szCs w:val="24"/>
        </w:rPr>
      </w:pPr>
      <w:r w:rsidRPr="007A27A5">
        <w:rPr>
          <w:rFonts w:ascii="Times New Roman" w:hAnsi="Times New Roman" w:cs="Times New Roman"/>
          <w:bCs/>
          <w:sz w:val="24"/>
          <w:szCs w:val="24"/>
        </w:rPr>
        <w:t>ARTÍCULO QUINTO.</w:t>
      </w:r>
      <w:r w:rsidRPr="007A27A5">
        <w:rPr>
          <w:rFonts w:ascii="Times New Roman" w:hAnsi="Times New Roman" w:cs="Times New Roman"/>
          <w:sz w:val="24"/>
          <w:szCs w:val="24"/>
        </w:rPr>
        <w:t xml:space="preserve"> La revisión, fiscalización y calificación de las Cuentas Públicas del Ejercicio Fiscal del año 2024 de los </w:t>
      </w:r>
      <w:r w:rsidR="00B56C38" w:rsidRPr="007A27A5">
        <w:rPr>
          <w:rFonts w:ascii="Times New Roman" w:hAnsi="Times New Roman" w:cs="Times New Roman"/>
          <w:sz w:val="24"/>
          <w:szCs w:val="24"/>
        </w:rPr>
        <w:t xml:space="preserve">Municipios </w:t>
      </w:r>
      <w:r w:rsidRPr="007A27A5">
        <w:rPr>
          <w:rFonts w:ascii="Times New Roman" w:hAnsi="Times New Roman" w:cs="Times New Roman"/>
          <w:sz w:val="24"/>
          <w:szCs w:val="24"/>
        </w:rPr>
        <w:t xml:space="preserve">y sus </w:t>
      </w:r>
      <w:r w:rsidR="00B56C38" w:rsidRPr="007A27A5">
        <w:rPr>
          <w:rFonts w:ascii="Times New Roman" w:hAnsi="Times New Roman" w:cs="Times New Roman"/>
          <w:sz w:val="24"/>
          <w:szCs w:val="24"/>
        </w:rPr>
        <w:t xml:space="preserve">Organismos Descentralizados </w:t>
      </w:r>
      <w:r w:rsidRPr="007A27A5">
        <w:rPr>
          <w:rFonts w:ascii="Times New Roman" w:hAnsi="Times New Roman" w:cs="Times New Roman"/>
          <w:sz w:val="24"/>
          <w:szCs w:val="24"/>
        </w:rPr>
        <w:t xml:space="preserve">no implica liberación de responsabilidades que pudieran llegarse a determinar con posterioridad por las autoridades de control y/o fiscalización federales o estatales que efectúen en el ámbito de su </w:t>
      </w:r>
      <w:r w:rsidRPr="007A27A5">
        <w:rPr>
          <w:rFonts w:ascii="Times New Roman" w:hAnsi="Times New Roman" w:cs="Times New Roman"/>
          <w:color w:val="000000" w:themeColor="text1"/>
          <w:sz w:val="24"/>
          <w:szCs w:val="24"/>
        </w:rPr>
        <w:t xml:space="preserve">competencia; o bien, de aquellas que pudieran resultar de diversas auditorías o revisiones </w:t>
      </w:r>
      <w:r w:rsidR="00C36F60" w:rsidRPr="007A27A5">
        <w:rPr>
          <w:rFonts w:ascii="Times New Roman" w:hAnsi="Times New Roman" w:cs="Times New Roman"/>
          <w:color w:val="000000" w:themeColor="text1"/>
          <w:sz w:val="24"/>
          <w:szCs w:val="24"/>
        </w:rPr>
        <w:t xml:space="preserve">que en </w:t>
      </w:r>
      <w:r w:rsidR="00F87E78" w:rsidRPr="007A27A5">
        <w:rPr>
          <w:rFonts w:ascii="Times New Roman" w:hAnsi="Times New Roman" w:cs="Times New Roman"/>
          <w:color w:val="000000" w:themeColor="text1"/>
          <w:sz w:val="24"/>
          <w:szCs w:val="24"/>
        </w:rPr>
        <w:t xml:space="preserve">ejercicio </w:t>
      </w:r>
      <w:r w:rsidR="001243C5" w:rsidRPr="007A27A5">
        <w:rPr>
          <w:rFonts w:ascii="Times New Roman" w:hAnsi="Times New Roman" w:cs="Times New Roman"/>
          <w:color w:val="000000" w:themeColor="text1"/>
          <w:sz w:val="24"/>
          <w:szCs w:val="24"/>
        </w:rPr>
        <w:t>de sus atribuciones realicen el órgano técnico, al mismo periodo o periodos diferentes, de conformidad con lo establecido en el artículo 74 de la Ley de Fiscalización Superior del Estado de México y otras disposiciones jurídicas aplicables.</w:t>
      </w:r>
    </w:p>
    <w:p w:rsidR="001243C5" w:rsidRPr="007A27A5" w:rsidRDefault="001243C5" w:rsidP="0052523F">
      <w:pPr>
        <w:pStyle w:val="Sinespaciado"/>
        <w:ind w:firstLine="709"/>
        <w:rPr>
          <w:color w:val="000000" w:themeColor="text1"/>
        </w:rPr>
      </w:pPr>
      <w:r w:rsidRPr="007A27A5">
        <w:rPr>
          <w:color w:val="000000" w:themeColor="text1"/>
        </w:rPr>
        <w:t>Dado en el Palacio del Poder Legislativo, en la ciudad de Toluca de Lerdo, capital del Estado de México, a los diecinueve días del mes de noviembre de dos mil veinticinco.</w:t>
      </w:r>
    </w:p>
    <w:p w:rsidR="001243C5" w:rsidRPr="007A27A5" w:rsidRDefault="001243C5" w:rsidP="0052523F">
      <w:pPr>
        <w:pStyle w:val="Sinespaciado"/>
        <w:ind w:firstLine="709"/>
        <w:rPr>
          <w:color w:val="000000" w:themeColor="text1"/>
        </w:rPr>
      </w:pPr>
      <w:r w:rsidRPr="007A27A5">
        <w:rPr>
          <w:color w:val="000000" w:themeColor="text1"/>
        </w:rPr>
        <w:t>Así lo suscriben los integrantes de la Comisión Legislativa de Vigilancia del Órgano de Fiscalización.</w:t>
      </w:r>
    </w:p>
    <w:p w:rsidR="001243C5" w:rsidRPr="007A27A5" w:rsidRDefault="001243C5" w:rsidP="0052523F">
      <w:pPr>
        <w:pStyle w:val="Sinespaciado"/>
        <w:ind w:firstLine="709"/>
        <w:rPr>
          <w:color w:val="000000" w:themeColor="text1"/>
        </w:rPr>
      </w:pPr>
      <w:r w:rsidRPr="007A27A5">
        <w:rPr>
          <w:color w:val="000000" w:themeColor="text1"/>
        </w:rPr>
        <w:t>Es cuanto Presidenta.</w:t>
      </w:r>
    </w:p>
    <w:p w:rsidR="008A0ED6" w:rsidRPr="007A27A5" w:rsidRDefault="008A0ED6" w:rsidP="001936D3">
      <w:pPr>
        <w:pStyle w:val="Sinespaciado"/>
      </w:pPr>
    </w:p>
    <w:p w:rsidR="008A0ED6" w:rsidRPr="007A27A5" w:rsidRDefault="008A0ED6" w:rsidP="001936D3">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(Se inserta documento)</w:t>
      </w:r>
    </w:p>
    <w:p w:rsidR="008A0ED6" w:rsidRPr="007A27A5" w:rsidRDefault="008A0ED6" w:rsidP="001936D3">
      <w:pPr>
        <w:spacing w:after="0" w:line="240" w:lineRule="auto"/>
        <w:jc w:val="center"/>
        <w:rPr>
          <w:rFonts w:ascii="Times New Roman" w:hAnsi="Times New Roman" w:cs="Times New Roman"/>
          <w:sz w:val="24"/>
          <w:szCs w:val="24"/>
        </w:rPr>
      </w:pP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DICTAMEN DE LA CUENTA PÚBLICA DEL EJERCICIO FISCAL DEL AÑO 2024 DE LOS MUNICIPIOS Y SUS ORGANISMOS DESCENTRALIZADOS DEL ESTADO DE MÉXICO.</w:t>
      </w: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HONORABLE ASAMBLEA</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términos de lo dispuesto en los artículos 61 fracciones XXXII, XXXIII, XXXIV y XXXV de la Constitución Política del Estado Libre y Soberano de México; 30, 31 fracción I, 35, 40, 50, 51 y 52 de la Ley de Fiscalización Superior del Estado de México; 35 y 95 de la Ley Orgánica del Poder Legislativo del Estado Libre y Soberano de México; 1, 13 A fracción XX inciso e), 78, y 148 del Reglamento del Poder Legislativo del Estado Libre y Soberano de México; la Comisión Legislativa de Vigilancia del Órgano Superior de Fiscalización somete a consideración de esta Honorable Asamblea el presente dictamen.</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ANTECEDENTES</w:t>
      </w: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Los municipios, así como sus organismos descentralizados respectivos, presentaron a la Legislatura, a través del Órgano Superior de Fiscalización del Estado de México, las Cuentas Públicas del Ejercicio Fiscal 2024, en cumplimiento al artículo 32 de la Ley de Fiscalización Superior del Estado de México, que señala que las cuentas públicas deberán presentarse conforme a lo establecido en la Ley General de Contabilidad Gubernamental, Ley de Disciplina Financiera de las Entidades Federativas y los Municipios y demás disposiciones aplicables en los primeros 15 días del mes de marzo de cada año.</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En este sentido, el Órgano Superior de Fiscalización del Estado de México recibió las Cuentas Públicas de 125 Municipios; 125 Sistemas Municipales para el Desarrollo Integral de la Familia; </w:t>
      </w:r>
      <w:r w:rsidRPr="007A27A5">
        <w:rPr>
          <w:rFonts w:ascii="Times New Roman" w:eastAsia="Aptos" w:hAnsi="Times New Roman" w:cs="Times New Roman"/>
          <w:kern w:val="2"/>
          <w:sz w:val="24"/>
          <w:szCs w:val="24"/>
          <w14:ligatures w14:val="standardContextual"/>
        </w:rPr>
        <w:lastRenderedPageBreak/>
        <w:t xml:space="preserve">49 Organismos Descentralizados Operadores de Agua; 97 Institutos Municipales de Cultura Física y Deporte; un Instituto Municipal de la Juventud de Ayapango; un Instituto Municipal de la Mujer de Toluca y un Organismo Público Descentralizado de Carácter Municipal para el Mantenimiento de Vialidades de Cuautitlán Izcalli (MAVICI).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El Órgano Superior de Fiscalización del Estado de México, dependiente de este Poder Legislativo, es el encargado de revisar y fiscalizar las cuentas públicas de las entidades fiscalizables estatales y municipales conforme a los principios de legalidad, definitividad, imparcialidad, confiabilidad y de máxima publicidad, con el objetivo de prevenir posibles actos de corrupción y promover las responsabilidades que sean procedentes.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En primer lugar, el Órgano Superior de Fiscalización del Estado de México emite el Programa Anual de Auditorías para la Fiscalización del Ejercicio Fiscal 2024, el cual contiene las entidades fiscalizables que serán objeto de auditoría y revisión de sus cuentas públicas, mismo que se publicó el </w:t>
      </w:r>
      <w:r w:rsidRPr="007A27A5">
        <w:rPr>
          <w:rFonts w:ascii="Times New Roman" w:eastAsia="Aptos" w:hAnsi="Times New Roman" w:cs="Times New Roman"/>
          <w:color w:val="000000"/>
          <w:kern w:val="2"/>
          <w:sz w:val="24"/>
          <w:szCs w:val="24"/>
          <w14:ligatures w14:val="standardContextual"/>
        </w:rPr>
        <w:t xml:space="preserve">20 de febrero de 2025 </w:t>
      </w:r>
      <w:r w:rsidRPr="007A27A5">
        <w:rPr>
          <w:rFonts w:ascii="Times New Roman" w:eastAsia="Aptos" w:hAnsi="Times New Roman" w:cs="Times New Roman"/>
          <w:kern w:val="2"/>
          <w:sz w:val="24"/>
          <w:szCs w:val="24"/>
          <w14:ligatures w14:val="standardContextual"/>
        </w:rPr>
        <w:t xml:space="preserve">a través del Periódico Oficial “Gaceta del Gobierno”.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En cabal cumplimiento al artículo 50 de la Ley de Fiscalización Superior del Estado de México, el Órgano Superior presentó el 13 de noviembre de 2025 a esta “LXII” Legislatura, a través de la Comisión Legislativa de Vigilancia del Órgano Superior de Fiscalización, el “Informe de Resultados de la Fiscalización de las Cuentas Públicas del Gobierno del Estado de México y los Municipios correspondiente al Ejercicio Fiscal 2024”, documento que contiene el resultado los actos de fiscalización descritos en el Programa Anual de Auditorías. Dado que es obligación de la Legislatura calificar anualmente las cuentas de los recursos públicos del Estado y municipios, como lo establece el artículo 61 fracciones XXXII, XXXIII, XXXIV y XXXV de la Constitución Política del Estado Libre y Soberano de México.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Por ello, nos proponemos exponer que, una vez recibidas, revisadas y fiscalizadas las Cuentas Públicas del Ejercicio Fiscal 2024 de los municipios y sus organismos descentralizados del Estado de México, analizamos la información correspondiente al ámbito municipal, así como los actos de fiscalización que comprenden 132 auditorías practicadas a las entidades fiscalizables municipales de las cuales 36 correspondieron a Cumplimiento Financiero; 24 a Inversión Física; 36 a Legalidad y 36 a Desempeño.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Una vez concluida la etapa de auditoría, las observaciones determinadas continúan con la etapa de seguimiento; a la fecha de la emisión de este dictamen, las 132 auditorías se encuentran en fase de seguimiento, en la que todas estas entidades fiscalizadas tienen el derecho de aclarar a efecto de subsanar las acciones determinadas; y, en caso de subsistir observaciones, serán turnadas a la Unidad de Investigación del Órgano Superior de Fiscalización a efecto de que califique la falta administrativa y determine a los presuntos responsables.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Asimismo, en atención a lo establecido en los artículos 31 fracción I y 50 de la Ley de Fiscalización Superior del Estado de México, la Comisión Legislativa de Vigilancia del Órgano Superior de Fiscalización llevó a cabo reuniones de trabajo con la Auditora Superior y personas servidoras públicas de la dependencia a su cargo para analizar el Informe de Resultados.</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A partir del análisis, cuyo objeto es determinar si las “Cuentas Públicas Municipales del Ejercicio Fiscal 2024” cumplieron con los criterios establecidos en el artículo 35 de la Ley de Fiscalización Superior del Estado de México sobre la revisión, fiscalización y calificación de las cuentas públicas, entre otras cosas: si los programas y su ejecución se ajustaron a los términos y montos </w:t>
      </w:r>
      <w:r w:rsidRPr="007A27A5">
        <w:rPr>
          <w:rFonts w:ascii="Times New Roman" w:eastAsia="Aptos" w:hAnsi="Times New Roman" w:cs="Times New Roman"/>
          <w:kern w:val="2"/>
          <w:sz w:val="24"/>
          <w:szCs w:val="24"/>
          <w14:ligatures w14:val="standardContextual"/>
        </w:rPr>
        <w:lastRenderedPageBreak/>
        <w:t>aprobados; si las cantidades correspondientes a los ingresos o a los egresos, se ajustan o corresponden a los conceptos y a las partidas respectivas; el cumplimiento de los programas autorizados; si los recursos provenientes del financiamiento se obtuvieron en los términos autorizados y se aplicaron con la periodicidad y forma establecidas por la Ley y demás disposiciones aplicables, y si se cumplieron los compromisos adquiridos en los actos respectivos; y la gestión financiera de las entidades fiscalizables, en sus programas y procesos concluidos, entre otros, la Comisión Legislativa de Vigilancia del Órgano Superior de Fiscalización elaboró el dictamen que da por fiscalizadas y calificadas las Cuentas Públicas Municipales, por lo que se da cuenta de las siguientes:</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CONSIDERACIONES</w:t>
      </w: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atención a lo establecido en la Ley Orgánica y el Reglamento del Poder Legislativo del Estado Libre y Soberano de México, la Comisión Legislativa de Vigilancia del Órgano Superior de Fiscalización tuvo a bien realizar el análisis y revisión del “Informe de Resultados de la Revisión y Fiscalización Superior de las Cuentas Públicas Municipales del Estado de México Ejercicio Fiscal 2024”.</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Que el Informe de Resultados cumple con lo estipulado en el artículo 51 de la Ley de Fiscalización Superior del Estado de México, por lo que, la Comisión Legislativa de Vigilancia del Órgano Superior de Fiscalización propone al Pleno de la “LXII” Legislatura la calificación de las Cuentas Públicas Municipales 2024, con base en los criterios establecidos en el artículo 35 de la Ley de Fiscalización Superior del Estado de México.</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 estructura del análisis se presenta de la siguiente manera: </w:t>
      </w: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Presupuesto ejercido.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Entidades municipales que presentaron su Cuenta Pública 2024 a la Legislatura del Estado de México en el plazo establecido en ley.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Resultados de actos de fiscalización municipales</w:t>
      </w: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 PRESUPUESTO EJERCIDO.</w:t>
      </w:r>
      <w:r w:rsidRPr="007A27A5">
        <w:rPr>
          <w:rFonts w:ascii="Times New Roman" w:eastAsia="Aptos" w:hAnsi="Times New Roman" w:cs="Times New Roman"/>
          <w:kern w:val="2"/>
          <w:sz w:val="24"/>
          <w:szCs w:val="24"/>
          <w14:ligatures w14:val="standardContextual"/>
        </w:rPr>
        <w:t xml:space="preserve">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Los recursos públicos del presupuesto total ejercido correspondieron a 112,483,079.5 miles de pesos, que se distribuyeron de la manera siguiente:</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tbl>
      <w:tblPr>
        <w:tblStyle w:val="Tablaconcuadrcula2"/>
        <w:tblW w:w="9518" w:type="dxa"/>
        <w:tblLook w:val="04A0" w:firstRow="1" w:lastRow="0" w:firstColumn="1" w:lastColumn="0" w:noHBand="0" w:noVBand="1"/>
      </w:tblPr>
      <w:tblGrid>
        <w:gridCol w:w="6567"/>
        <w:gridCol w:w="2951"/>
      </w:tblGrid>
      <w:tr w:rsidR="008A0ED6" w:rsidRPr="007A27A5" w:rsidTr="00D70DF0">
        <w:trPr>
          <w:trHeight w:val="288"/>
        </w:trPr>
        <w:tc>
          <w:tcPr>
            <w:tcW w:w="9518" w:type="dxa"/>
            <w:gridSpan w:val="2"/>
            <w:shd w:val="clear" w:color="auto" w:fill="D9D9D9"/>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PRESUPUESTO EJERCIDO</w:t>
            </w:r>
          </w:p>
        </w:tc>
      </w:tr>
      <w:tr w:rsidR="008A0ED6" w:rsidRPr="007A27A5" w:rsidTr="00D70DF0">
        <w:trPr>
          <w:trHeight w:val="577"/>
        </w:trPr>
        <w:tc>
          <w:tcPr>
            <w:tcW w:w="6567" w:type="dxa"/>
            <w:shd w:val="clear" w:color="auto" w:fill="D9D9D9"/>
            <w:vAlign w:val="center"/>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ENTIDAD</w:t>
            </w:r>
          </w:p>
        </w:tc>
        <w:tc>
          <w:tcPr>
            <w:tcW w:w="2951" w:type="dxa"/>
            <w:shd w:val="clear" w:color="auto" w:fill="D9D9D9"/>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 xml:space="preserve">MONTO EN MILES </w:t>
            </w:r>
          </w:p>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DE PESOS</w:t>
            </w:r>
          </w:p>
        </w:tc>
      </w:tr>
      <w:tr w:rsidR="008A0ED6" w:rsidRPr="007A27A5" w:rsidTr="00D70DF0">
        <w:trPr>
          <w:trHeight w:val="276"/>
        </w:trPr>
        <w:tc>
          <w:tcPr>
            <w:tcW w:w="6567"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Municipios </w:t>
            </w:r>
          </w:p>
        </w:tc>
        <w:tc>
          <w:tcPr>
            <w:tcW w:w="2951" w:type="dxa"/>
            <w:vAlign w:val="center"/>
          </w:tcPr>
          <w:p w:rsidR="008A0ED6" w:rsidRPr="007A27A5" w:rsidRDefault="008A0ED6" w:rsidP="001936D3">
            <w:pPr>
              <w:spacing w:line="240" w:lineRule="auto"/>
              <w:contextualSpacing/>
              <w:jc w:val="right"/>
              <w:rPr>
                <w:rFonts w:ascii="Times New Roman" w:eastAsia="Aptos" w:hAnsi="Times New Roman" w:cs="Times New Roman"/>
              </w:rPr>
            </w:pPr>
            <w:r w:rsidRPr="007A27A5">
              <w:rPr>
                <w:rFonts w:ascii="Times New Roman" w:eastAsia="Aptos" w:hAnsi="Times New Roman" w:cs="Times New Roman"/>
              </w:rPr>
              <w:t>89,551,050.8</w:t>
            </w:r>
          </w:p>
        </w:tc>
      </w:tr>
      <w:tr w:rsidR="008A0ED6" w:rsidRPr="007A27A5" w:rsidTr="00D70DF0">
        <w:trPr>
          <w:trHeight w:val="288"/>
        </w:trPr>
        <w:tc>
          <w:tcPr>
            <w:tcW w:w="6567"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Sistemas Municipales para el Desarrollo Integral de la Familia </w:t>
            </w:r>
          </w:p>
        </w:tc>
        <w:tc>
          <w:tcPr>
            <w:tcW w:w="2951" w:type="dxa"/>
            <w:vAlign w:val="center"/>
          </w:tcPr>
          <w:p w:rsidR="008A0ED6" w:rsidRPr="007A27A5" w:rsidRDefault="008A0ED6" w:rsidP="001936D3">
            <w:pPr>
              <w:spacing w:line="240" w:lineRule="auto"/>
              <w:contextualSpacing/>
              <w:jc w:val="right"/>
              <w:rPr>
                <w:rFonts w:ascii="Times New Roman" w:eastAsia="Aptos" w:hAnsi="Times New Roman" w:cs="Times New Roman"/>
              </w:rPr>
            </w:pPr>
            <w:r w:rsidRPr="007A27A5">
              <w:rPr>
                <w:rFonts w:ascii="Times New Roman" w:eastAsia="Aptos" w:hAnsi="Times New Roman" w:cs="Times New Roman"/>
              </w:rPr>
              <w:t>6,004,155.0</w:t>
            </w:r>
          </w:p>
        </w:tc>
      </w:tr>
      <w:tr w:rsidR="008A0ED6" w:rsidRPr="007A27A5" w:rsidTr="00D70DF0">
        <w:trPr>
          <w:trHeight w:val="129"/>
        </w:trPr>
        <w:tc>
          <w:tcPr>
            <w:tcW w:w="6567"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Organismos Descentralizados Operadores de Agua</w:t>
            </w:r>
          </w:p>
        </w:tc>
        <w:tc>
          <w:tcPr>
            <w:tcW w:w="2951" w:type="dxa"/>
            <w:vAlign w:val="center"/>
          </w:tcPr>
          <w:p w:rsidR="008A0ED6" w:rsidRPr="007A27A5" w:rsidRDefault="008A0ED6" w:rsidP="001936D3">
            <w:pPr>
              <w:spacing w:line="240" w:lineRule="auto"/>
              <w:contextualSpacing/>
              <w:jc w:val="right"/>
              <w:rPr>
                <w:rFonts w:ascii="Times New Roman" w:eastAsia="Aptos" w:hAnsi="Times New Roman" w:cs="Times New Roman"/>
              </w:rPr>
            </w:pPr>
            <w:r w:rsidRPr="007A27A5">
              <w:rPr>
                <w:rFonts w:ascii="Times New Roman" w:eastAsia="Aptos" w:hAnsi="Times New Roman" w:cs="Times New Roman"/>
              </w:rPr>
              <w:t>16,051,138.5</w:t>
            </w:r>
          </w:p>
        </w:tc>
      </w:tr>
      <w:tr w:rsidR="008A0ED6" w:rsidRPr="007A27A5" w:rsidTr="00D70DF0">
        <w:trPr>
          <w:trHeight w:val="288"/>
        </w:trPr>
        <w:tc>
          <w:tcPr>
            <w:tcW w:w="6567"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Institutos Municipales de Cultura Física y Deporte </w:t>
            </w:r>
          </w:p>
        </w:tc>
        <w:tc>
          <w:tcPr>
            <w:tcW w:w="2951" w:type="dxa"/>
            <w:vAlign w:val="center"/>
          </w:tcPr>
          <w:p w:rsidR="008A0ED6" w:rsidRPr="007A27A5" w:rsidRDefault="008A0ED6" w:rsidP="001936D3">
            <w:pPr>
              <w:spacing w:line="240" w:lineRule="auto"/>
              <w:contextualSpacing/>
              <w:jc w:val="right"/>
              <w:rPr>
                <w:rFonts w:ascii="Times New Roman" w:eastAsia="Aptos" w:hAnsi="Times New Roman" w:cs="Times New Roman"/>
              </w:rPr>
            </w:pPr>
            <w:r w:rsidRPr="007A27A5">
              <w:rPr>
                <w:rFonts w:ascii="Times New Roman" w:eastAsia="Aptos" w:hAnsi="Times New Roman" w:cs="Times New Roman"/>
              </w:rPr>
              <w:t>813,778.3</w:t>
            </w:r>
          </w:p>
        </w:tc>
      </w:tr>
      <w:tr w:rsidR="008A0ED6" w:rsidRPr="007A27A5" w:rsidTr="00D70DF0">
        <w:trPr>
          <w:trHeight w:val="288"/>
        </w:trPr>
        <w:tc>
          <w:tcPr>
            <w:tcW w:w="6567"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Instituto Municipal de la Juventud de Ayapango</w:t>
            </w:r>
          </w:p>
        </w:tc>
        <w:tc>
          <w:tcPr>
            <w:tcW w:w="2951" w:type="dxa"/>
            <w:vAlign w:val="center"/>
          </w:tcPr>
          <w:p w:rsidR="008A0ED6" w:rsidRPr="007A27A5" w:rsidRDefault="008A0ED6" w:rsidP="001936D3">
            <w:pPr>
              <w:spacing w:line="240" w:lineRule="auto"/>
              <w:contextualSpacing/>
              <w:jc w:val="right"/>
              <w:rPr>
                <w:rFonts w:ascii="Times New Roman" w:eastAsia="Aptos" w:hAnsi="Times New Roman" w:cs="Times New Roman"/>
              </w:rPr>
            </w:pPr>
            <w:r w:rsidRPr="007A27A5">
              <w:rPr>
                <w:rFonts w:ascii="Times New Roman" w:eastAsia="Aptos" w:hAnsi="Times New Roman" w:cs="Times New Roman"/>
              </w:rPr>
              <w:t>665.7</w:t>
            </w:r>
          </w:p>
        </w:tc>
      </w:tr>
      <w:tr w:rsidR="008A0ED6" w:rsidRPr="007A27A5" w:rsidTr="00D70DF0">
        <w:trPr>
          <w:trHeight w:val="288"/>
        </w:trPr>
        <w:tc>
          <w:tcPr>
            <w:tcW w:w="6567"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Instituto Municipal de la Mujer de Toluca </w:t>
            </w:r>
          </w:p>
        </w:tc>
        <w:tc>
          <w:tcPr>
            <w:tcW w:w="2951" w:type="dxa"/>
            <w:vAlign w:val="center"/>
          </w:tcPr>
          <w:p w:rsidR="008A0ED6" w:rsidRPr="007A27A5" w:rsidRDefault="008A0ED6" w:rsidP="001936D3">
            <w:pPr>
              <w:spacing w:line="240" w:lineRule="auto"/>
              <w:contextualSpacing/>
              <w:jc w:val="right"/>
              <w:rPr>
                <w:rFonts w:ascii="Times New Roman" w:eastAsia="Aptos" w:hAnsi="Times New Roman" w:cs="Times New Roman"/>
              </w:rPr>
            </w:pPr>
            <w:r w:rsidRPr="007A27A5">
              <w:rPr>
                <w:rFonts w:ascii="Times New Roman" w:eastAsia="Aptos" w:hAnsi="Times New Roman" w:cs="Times New Roman"/>
              </w:rPr>
              <w:t>29,291.5</w:t>
            </w:r>
          </w:p>
        </w:tc>
      </w:tr>
      <w:tr w:rsidR="008A0ED6" w:rsidRPr="007A27A5" w:rsidTr="00D70DF0">
        <w:trPr>
          <w:trHeight w:val="565"/>
        </w:trPr>
        <w:tc>
          <w:tcPr>
            <w:tcW w:w="6567"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Organismo Público Descentralizado de Carácter Municipal para el Mantenimiento de Vialidades de Cuautitlán Izcalli (MAVICI)</w:t>
            </w:r>
          </w:p>
        </w:tc>
        <w:tc>
          <w:tcPr>
            <w:tcW w:w="2951" w:type="dxa"/>
            <w:vAlign w:val="center"/>
          </w:tcPr>
          <w:p w:rsidR="008A0ED6" w:rsidRPr="007A27A5" w:rsidRDefault="008A0ED6" w:rsidP="001936D3">
            <w:pPr>
              <w:spacing w:line="240" w:lineRule="auto"/>
              <w:contextualSpacing/>
              <w:jc w:val="right"/>
              <w:rPr>
                <w:rFonts w:ascii="Times New Roman" w:eastAsia="Aptos" w:hAnsi="Times New Roman" w:cs="Times New Roman"/>
              </w:rPr>
            </w:pPr>
            <w:r w:rsidRPr="007A27A5">
              <w:rPr>
                <w:rFonts w:ascii="Times New Roman" w:eastAsia="Aptos" w:hAnsi="Times New Roman" w:cs="Times New Roman"/>
              </w:rPr>
              <w:t>32,999.7</w:t>
            </w:r>
          </w:p>
        </w:tc>
      </w:tr>
    </w:tbl>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ind w:right="-234"/>
        <w:contextualSpacing/>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lastRenderedPageBreak/>
        <w:t>B. ENTIDADES MUNICIPALES QUE PRESENTARON SU CUENTA PÚBLICA 2024 A LA LEGISLATURA DEL ESTADO DE MÉXICO EN EL PLAZO ESTABLECIDO EN LEY.</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 Cuenta Pública es la compilación de información anualizada (del 1° de enero al 31 de diciembre de cada año) de carácter contable, económica, patrimonial, presupuestal, programática, cualitativa y cuantitativa que muestra los resultados de la ejecución de la Ley de Ingresos y del Presupuesto de Egresos; así como un análisis cualitativo de los indicadores de la postura fiscal, establece su vínculo con los objetivos y prioridades definidas en la materia, en el programa económico anual: a) ingresos presupuestarios; b) gastos presupuestarios; c) postura fiscal; y d) deuda pública; que permite tanto a los entes públicos responsables de la operación, como a los entes fiscalizadores, académicos y ciudadanos, en general, contar con información de la evolución de los recursos públicos, para fortalecer la rendición de cuentas y la transparencia en la gestión pública.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kern w:val="2"/>
          <w:sz w:val="24"/>
          <w:szCs w:val="24"/>
          <w14:ligatures w14:val="standardContextual"/>
        </w:rPr>
        <w:t>Las Cuentas Públicas Municipales se entregaron el 18 de marzo de este año, a través del “Componente Cuenta Pública” de la Plataforma Digital del OSFEM</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highlight w:val="green"/>
          <w14:ligatures w14:val="standardContextual"/>
        </w:rPr>
      </w:pPr>
      <w:r w:rsidRPr="007A27A5">
        <w:rPr>
          <w:rFonts w:ascii="Times New Roman" w:eastAsia="Aptos" w:hAnsi="Times New Roman" w:cs="Times New Roman"/>
          <w:b/>
          <w:bCs/>
          <w:kern w:val="2"/>
          <w:sz w:val="24"/>
          <w:szCs w:val="24"/>
          <w14:ligatures w14:val="standardContextual"/>
        </w:rPr>
        <w:t>C. RESULTADOS DE ACTOS DE FISCALIZACIÓN MUNICIPALES</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highlight w:val="green"/>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Una auditoría es un proceso sistemático que permite, mediante la recolección de evidencias, determinar la confiabilidad y calidad de la ejecución de las actividades realizadas, en congruencia con los criterios de auditoría, requisitos, políticas y procedimientos establecidos en la organización, para la toma de decisiones. </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De acuerdo con las necesidades, se especializa con el fin de brindar una mayor seguridad en sus resultados, clasificándose por la procedencia del auditor, y por su área de aplicación en auditoría de desempeño, legalidad, cumplimiento financiero e inversión física.</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el Órgano Superior de Fiscalización del Estado de México, para el Ejercicio Fiscal 2024, se ejecutaron 132 auditorías: 36 de Cumplimiento Financiero; 24 de Inversión Física; 36 de Legalidad y 36 de Desempeño.</w:t>
      </w:r>
    </w:p>
    <w:p w:rsidR="008A0ED6" w:rsidRPr="007A27A5" w:rsidRDefault="008A0ED6" w:rsidP="001936D3">
      <w:pPr>
        <w:spacing w:after="0" w:line="240" w:lineRule="auto"/>
        <w:contextualSpacing/>
        <w:jc w:val="both"/>
        <w:rPr>
          <w:rFonts w:ascii="Times New Roman" w:eastAsia="Aptos" w:hAnsi="Times New Roman" w:cs="Times New Roman"/>
          <w:color w:val="EE0000"/>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Las </w:t>
      </w:r>
      <w:r w:rsidRPr="007A27A5">
        <w:rPr>
          <w:rFonts w:ascii="Times New Roman" w:eastAsia="Aptos" w:hAnsi="Times New Roman" w:cs="Times New Roman"/>
          <w:b/>
          <w:bCs/>
          <w:kern w:val="2"/>
          <w:sz w:val="24"/>
          <w:szCs w:val="24"/>
          <w14:ligatures w14:val="standardContextual"/>
        </w:rPr>
        <w:t>Auditorías de Cumplimiento Financiero</w:t>
      </w:r>
      <w:r w:rsidRPr="007A27A5">
        <w:rPr>
          <w:rFonts w:ascii="Times New Roman" w:eastAsia="Aptos" w:hAnsi="Times New Roman" w:cs="Times New Roman"/>
          <w:kern w:val="2"/>
          <w:sz w:val="24"/>
          <w:szCs w:val="24"/>
          <w14:ligatures w14:val="standardContextual"/>
        </w:rPr>
        <w:t xml:space="preserve"> fiscalizan el ejercicio de los ingresos y egresos, la custodia y aplicación a efecto de comprobar que su recaudación y administración se apegue a las disposiciones legales administrativas presupuestales y financieras aplicables. El número de observaciones por entidad fiscalizable derivado de las auditorías de cumplimiento financiero fue el que se desglosa a continuación:</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77"/>
        <w:gridCol w:w="2910"/>
        <w:gridCol w:w="1729"/>
        <w:gridCol w:w="2830"/>
      </w:tblGrid>
      <w:tr w:rsidR="008A0ED6" w:rsidRPr="007A27A5" w:rsidTr="00D70DF0">
        <w:trPr>
          <w:trHeight w:val="316"/>
        </w:trPr>
        <w:tc>
          <w:tcPr>
            <w:tcW w:w="9346" w:type="dxa"/>
            <w:gridSpan w:val="4"/>
            <w:shd w:val="clear" w:color="auto" w:fill="D9D9D9"/>
            <w:noWrap/>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AUDITORÍAS DE CUMPLIMIENTO FINANCIERO</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Tipo de Entidad</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Entidad</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No. Auditoría</w:t>
            </w:r>
          </w:p>
        </w:tc>
        <w:tc>
          <w:tcPr>
            <w:tcW w:w="2829" w:type="dxa"/>
            <w:noWrap/>
            <w:vAlign w:val="center"/>
            <w:hideMark/>
          </w:tcPr>
          <w:p w:rsidR="008A0ED6" w:rsidRPr="007A27A5" w:rsidRDefault="00D70DF0"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Número</w:t>
            </w:r>
            <w:r w:rsidR="008A0ED6" w:rsidRPr="007A27A5">
              <w:rPr>
                <w:rFonts w:ascii="Times New Roman" w:eastAsia="Aptos" w:hAnsi="Times New Roman" w:cs="Times New Roman"/>
                <w:kern w:val="2"/>
                <w:sz w:val="24"/>
                <w:szCs w:val="24"/>
                <w14:ligatures w14:val="standardContextual"/>
              </w:rPr>
              <w:t xml:space="preserve"> de observaciones</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Toluca</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ACF-094</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157</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La Paz</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ACF-048</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112</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ODAS</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La Paz</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ACF-123</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106</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Ecatepec de Morelos</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ACF-029</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96</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DIF</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Toluca</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ACF-116</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89</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Chicoloapan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ACF-021</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84</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ODAS</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Tlalnepantla de Baz</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ACF-128</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80</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Tepotzotlán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ACF-087</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79</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lastRenderedPageBreak/>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Temascaltepec</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ACF-078</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69</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DIF</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Huixquilucan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ACF-109</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60</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DIF</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Tecámac</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ACF-114</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58</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DIF</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Tlalnepantla de Baz</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ACF-115</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56</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Tepetlaoxtoc</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ACF-085</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56</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Calimaya</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ACF-016</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55</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DIF</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Lerma</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ACF-111</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54</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Almoloya de Juárez</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ACF-004</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53</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Huehuetoca</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ACF-033</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51</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Valle de Bravo</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ACF-098</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50</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Acolman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ACF-002</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49</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Atizapán de Zaragoza</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ACF-011</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49</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Cuautitlán Izcalli</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ACF-028</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48</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Ocuilan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ACF-062</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46</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Cuautitlán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ACF-027</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45</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Coacalco de Berriozábal</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ACF-024</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43</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Naucalpan de Juárez</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ACF-056</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41</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Metepec</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ACF-053</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37</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Ocoyoacac</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ACF-061</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37</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Tlalnepantla de Baz</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ACF-093</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36</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Valle de Chalco Solidaridad</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ACF-100</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34</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Zacazonapan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ACF-104</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33</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DIF</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Chimalhuacán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ACF-108</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33</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Amanalco</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ACF-006</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32</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Huixquilucan</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ACF-035</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31</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DIF</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Atizapán de Zaragoza</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ACF-107</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31</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DIF</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Naucalpan de Juárez</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ACF-113</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23</w:t>
            </w:r>
          </w:p>
        </w:tc>
      </w:tr>
      <w:tr w:rsidR="008A0ED6" w:rsidRPr="007A27A5" w:rsidTr="00D70DF0">
        <w:trPr>
          <w:trHeight w:val="316"/>
        </w:trPr>
        <w:tc>
          <w:tcPr>
            <w:tcW w:w="1877"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Ayuntamiento</w:t>
            </w:r>
          </w:p>
        </w:tc>
        <w:tc>
          <w:tcPr>
            <w:tcW w:w="2910"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Zumpango</w:t>
            </w:r>
          </w:p>
        </w:tc>
        <w:tc>
          <w:tcPr>
            <w:tcW w:w="17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ACF-106</w:t>
            </w:r>
          </w:p>
        </w:tc>
        <w:tc>
          <w:tcPr>
            <w:tcW w:w="2829" w:type="dxa"/>
            <w:noWrap/>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13</w:t>
            </w:r>
          </w:p>
        </w:tc>
      </w:tr>
      <w:tr w:rsidR="008A0ED6" w:rsidRPr="007A27A5" w:rsidTr="00D70DF0">
        <w:trPr>
          <w:trHeight w:val="301"/>
        </w:trPr>
        <w:tc>
          <w:tcPr>
            <w:tcW w:w="1877" w:type="dxa"/>
            <w:noWrap/>
            <w:vAlign w:val="bottom"/>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p>
        </w:tc>
        <w:tc>
          <w:tcPr>
            <w:tcW w:w="2910" w:type="dxa"/>
            <w:noWrap/>
            <w:vAlign w:val="bottom"/>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p>
        </w:tc>
        <w:tc>
          <w:tcPr>
            <w:tcW w:w="1729" w:type="dxa"/>
            <w:noWrap/>
            <w:vAlign w:val="bottom"/>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p>
        </w:tc>
        <w:tc>
          <w:tcPr>
            <w:tcW w:w="2829" w:type="dxa"/>
            <w:noWrap/>
            <w:vAlign w:val="bottom"/>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2026</w:t>
            </w:r>
          </w:p>
        </w:tc>
      </w:tr>
    </w:tbl>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El Órgano Superior de Fiscalización notifica a la Entidad Fiscalizada las acciones determinadas para iniciar el procedimiento de aclaración en cumplimiento a establecido en los artículos 53, 53 bis, 54 y 54 bis de la Ley de Fiscalización Superior del Estado de México.</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Las </w:t>
      </w:r>
      <w:r w:rsidRPr="007A27A5">
        <w:rPr>
          <w:rFonts w:ascii="Times New Roman" w:eastAsia="Aptos" w:hAnsi="Times New Roman" w:cs="Times New Roman"/>
          <w:b/>
          <w:bCs/>
          <w:kern w:val="2"/>
          <w:sz w:val="24"/>
          <w:szCs w:val="24"/>
          <w14:ligatures w14:val="standardContextual"/>
        </w:rPr>
        <w:t>Auditorías de Inversión Física</w:t>
      </w:r>
      <w:r w:rsidRPr="007A27A5">
        <w:rPr>
          <w:rFonts w:ascii="Times New Roman" w:eastAsia="Aptos" w:hAnsi="Times New Roman" w:cs="Times New Roman"/>
          <w:kern w:val="2"/>
          <w:sz w:val="24"/>
          <w:szCs w:val="24"/>
          <w14:ligatures w14:val="standardContextual"/>
        </w:rPr>
        <w:t xml:space="preserve"> fiscalizan los procesos de adquisición y contratación, desarrollo de las obras públicas y los servicios relacionados con las mismas, la justificación de las inversiones, el cumplimiento de los estándares de calidad previstos en tiempo y forma. El número de observaciones por entidad fiscalizable derivado de las auditorías de inversión física fue el que se desglosa a continuación:</w:t>
      </w: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p>
    <w:tbl>
      <w:tblPr>
        <w:tblStyle w:val="Tablaconcuadrcula2"/>
        <w:tblW w:w="9469" w:type="dxa"/>
        <w:tblLayout w:type="fixed"/>
        <w:tblLook w:val="04A0" w:firstRow="1" w:lastRow="0" w:firstColumn="1" w:lastColumn="0" w:noHBand="0" w:noVBand="1"/>
      </w:tblPr>
      <w:tblGrid>
        <w:gridCol w:w="2025"/>
        <w:gridCol w:w="3248"/>
        <w:gridCol w:w="2029"/>
        <w:gridCol w:w="2167"/>
      </w:tblGrid>
      <w:tr w:rsidR="008A0ED6" w:rsidRPr="007A27A5" w:rsidTr="00D70DF0">
        <w:trPr>
          <w:trHeight w:val="126"/>
        </w:trPr>
        <w:tc>
          <w:tcPr>
            <w:tcW w:w="9469" w:type="dxa"/>
            <w:gridSpan w:val="4"/>
            <w:shd w:val="clear" w:color="auto" w:fill="BFBFBF"/>
          </w:tcPr>
          <w:p w:rsidR="008A0ED6" w:rsidRPr="007A27A5" w:rsidRDefault="008A0ED6" w:rsidP="001936D3">
            <w:pPr>
              <w:spacing w:line="240" w:lineRule="auto"/>
              <w:jc w:val="center"/>
              <w:rPr>
                <w:rFonts w:ascii="Times New Roman" w:eastAsia="Times New Roman" w:hAnsi="Times New Roman" w:cs="Times New Roman"/>
                <w:b/>
                <w:bCs/>
                <w:color w:val="000000"/>
                <w:lang w:eastAsia="es-MX"/>
              </w:rPr>
            </w:pPr>
            <w:bookmarkStart w:id="2" w:name="_Hlk213170288"/>
            <w:r w:rsidRPr="007A27A5">
              <w:rPr>
                <w:rFonts w:ascii="Times New Roman" w:eastAsia="Aptos" w:hAnsi="Times New Roman" w:cs="Times New Roman"/>
                <w:b/>
                <w:bCs/>
                <w:color w:val="FFFFFF"/>
              </w:rPr>
              <w:t>AUDITORÍAS DE INVERSIÓN FÍSICA</w:t>
            </w:r>
          </w:p>
        </w:tc>
      </w:tr>
      <w:bookmarkEnd w:id="2"/>
      <w:tr w:rsidR="008A0ED6" w:rsidRPr="007A27A5" w:rsidTr="00D70DF0">
        <w:trPr>
          <w:trHeight w:val="295"/>
        </w:trPr>
        <w:tc>
          <w:tcPr>
            <w:tcW w:w="2025" w:type="dxa"/>
            <w:vAlign w:val="center"/>
            <w:hideMark/>
          </w:tcPr>
          <w:p w:rsidR="008A0ED6" w:rsidRPr="007A27A5" w:rsidRDefault="008A0ED6" w:rsidP="001936D3">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Tipo de Entidad</w:t>
            </w:r>
          </w:p>
        </w:tc>
        <w:tc>
          <w:tcPr>
            <w:tcW w:w="3248" w:type="dxa"/>
            <w:vAlign w:val="center"/>
            <w:hideMark/>
          </w:tcPr>
          <w:p w:rsidR="008A0ED6" w:rsidRPr="007A27A5" w:rsidRDefault="008A0ED6" w:rsidP="001936D3">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Entidad</w:t>
            </w:r>
          </w:p>
        </w:tc>
        <w:tc>
          <w:tcPr>
            <w:tcW w:w="2029" w:type="dxa"/>
            <w:vAlign w:val="center"/>
            <w:hideMark/>
          </w:tcPr>
          <w:p w:rsidR="008A0ED6" w:rsidRPr="007A27A5" w:rsidRDefault="008A0ED6" w:rsidP="001936D3">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No. Auditoría</w:t>
            </w:r>
          </w:p>
        </w:tc>
        <w:tc>
          <w:tcPr>
            <w:tcW w:w="2165" w:type="dxa"/>
            <w:vAlign w:val="center"/>
            <w:hideMark/>
          </w:tcPr>
          <w:p w:rsidR="008A0ED6" w:rsidRPr="007A27A5" w:rsidRDefault="00D70DF0" w:rsidP="001936D3">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Número</w:t>
            </w:r>
            <w:r w:rsidR="008A0ED6" w:rsidRPr="007A27A5">
              <w:rPr>
                <w:rFonts w:ascii="Times New Roman" w:eastAsia="Times New Roman" w:hAnsi="Times New Roman" w:cs="Times New Roman"/>
                <w:b/>
                <w:bCs/>
                <w:color w:val="000000"/>
                <w:lang w:eastAsia="es-MX"/>
              </w:rPr>
              <w:t xml:space="preserve"> de observaciones</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lastRenderedPageBreak/>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Ecatepec de Morelos</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AIF-121</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300</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Lerma</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AIF-050</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273</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Ecatepec de Morelos</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AIF-030</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231</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Tultitlán</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AIF-130</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219</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Coacalco de Berriozábal</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AIF-119</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166</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Tultitlán</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AIF-097</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146</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Toluca</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AIF-129</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139</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Chimalhuacán</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AIF-118</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133</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Tecámac</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AIF-075</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110</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Atizapán de Zaragoza</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AIF-117</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108</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Ixtlahuaca</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AIF-040</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88</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Valle de Chalco Solidaridad</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AIF-099</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78</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La Paz</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AIF-049</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75</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Zinacantepec</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AIF-105</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70</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Huixquilucan</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AIF-122</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66</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Jiquipilco</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AIF-044</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56</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Cuautitlán Izcalli</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AIF-120</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54</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Chalco</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AIF-018</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43</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Nicolás Romero</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AIF-059</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43</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Chimalhuacán</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AIF-023</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41</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Metepec</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AIF-124</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40</w:t>
            </w:r>
          </w:p>
        </w:tc>
      </w:tr>
      <w:tr w:rsidR="008A0ED6" w:rsidRPr="007A27A5" w:rsidTr="00D70DF0">
        <w:trPr>
          <w:trHeight w:val="98"/>
        </w:trPr>
        <w:tc>
          <w:tcPr>
            <w:tcW w:w="202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Atlacomulco</w:t>
            </w:r>
          </w:p>
        </w:tc>
        <w:tc>
          <w:tcPr>
            <w:tcW w:w="2029"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AIF-012</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35</w:t>
            </w:r>
          </w:p>
        </w:tc>
      </w:tr>
      <w:tr w:rsidR="008A0ED6" w:rsidRPr="007A27A5" w:rsidTr="00D70DF0">
        <w:trPr>
          <w:trHeight w:val="98"/>
        </w:trPr>
        <w:tc>
          <w:tcPr>
            <w:tcW w:w="2025" w:type="dxa"/>
            <w:tcBorders>
              <w:bottom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Ayuntamiento</w:t>
            </w:r>
          </w:p>
        </w:tc>
        <w:tc>
          <w:tcPr>
            <w:tcW w:w="3248" w:type="dxa"/>
            <w:tcBorders>
              <w:bottom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Ixtapaluca</w:t>
            </w:r>
          </w:p>
        </w:tc>
        <w:tc>
          <w:tcPr>
            <w:tcW w:w="2029" w:type="dxa"/>
            <w:tcBorders>
              <w:bottom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AIF-037</w:t>
            </w:r>
          </w:p>
        </w:tc>
        <w:tc>
          <w:tcPr>
            <w:tcW w:w="2165" w:type="dxa"/>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21</w:t>
            </w:r>
          </w:p>
        </w:tc>
      </w:tr>
      <w:tr w:rsidR="008A0ED6" w:rsidRPr="007A27A5" w:rsidTr="00D70DF0">
        <w:trPr>
          <w:trHeight w:val="98"/>
        </w:trPr>
        <w:tc>
          <w:tcPr>
            <w:tcW w:w="2025" w:type="dxa"/>
            <w:tcBorders>
              <w:bottom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ODAS</w:t>
            </w:r>
          </w:p>
        </w:tc>
        <w:tc>
          <w:tcPr>
            <w:tcW w:w="3248" w:type="dxa"/>
            <w:tcBorders>
              <w:bottom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Naucalpan de Juárez</w:t>
            </w:r>
          </w:p>
        </w:tc>
        <w:tc>
          <w:tcPr>
            <w:tcW w:w="2029" w:type="dxa"/>
            <w:tcBorders>
              <w:bottom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AIF-125</w:t>
            </w:r>
          </w:p>
        </w:tc>
        <w:tc>
          <w:tcPr>
            <w:tcW w:w="2165" w:type="dxa"/>
            <w:tcBorders>
              <w:bottom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r w:rsidRPr="007A27A5">
              <w:rPr>
                <w:rFonts w:ascii="Times New Roman" w:eastAsia="Times New Roman" w:hAnsi="Times New Roman" w:cs="Times New Roman"/>
                <w:color w:val="000000"/>
                <w:lang w:eastAsia="es-MX"/>
              </w:rPr>
              <w:t>18</w:t>
            </w:r>
          </w:p>
        </w:tc>
      </w:tr>
      <w:tr w:rsidR="008A0ED6" w:rsidRPr="007A27A5" w:rsidTr="00D70DF0">
        <w:trPr>
          <w:trHeight w:val="98"/>
        </w:trPr>
        <w:tc>
          <w:tcPr>
            <w:tcW w:w="2025" w:type="dxa"/>
            <w:tcBorders>
              <w:top w:val="single" w:sz="4" w:space="0" w:color="auto"/>
              <w:left w:val="nil"/>
              <w:bottom w:val="nil"/>
              <w:right w:val="nil"/>
            </w:tcBorders>
            <w:noWrap/>
            <w:hideMark/>
          </w:tcPr>
          <w:p w:rsidR="008A0ED6" w:rsidRPr="007A27A5" w:rsidRDefault="008A0ED6" w:rsidP="001936D3">
            <w:pPr>
              <w:spacing w:line="240" w:lineRule="auto"/>
              <w:jc w:val="center"/>
              <w:rPr>
                <w:rFonts w:ascii="Times New Roman" w:eastAsia="Times New Roman" w:hAnsi="Times New Roman" w:cs="Times New Roman"/>
                <w:color w:val="000000"/>
                <w:lang w:eastAsia="es-MX"/>
              </w:rPr>
            </w:pPr>
          </w:p>
        </w:tc>
        <w:tc>
          <w:tcPr>
            <w:tcW w:w="3248" w:type="dxa"/>
            <w:tcBorders>
              <w:top w:val="single" w:sz="4" w:space="0" w:color="auto"/>
              <w:left w:val="nil"/>
              <w:bottom w:val="nil"/>
              <w:right w:val="nil"/>
            </w:tcBorders>
            <w:noWrap/>
            <w:hideMark/>
          </w:tcPr>
          <w:p w:rsidR="008A0ED6" w:rsidRPr="007A27A5" w:rsidRDefault="008A0ED6" w:rsidP="001936D3">
            <w:pPr>
              <w:spacing w:line="240" w:lineRule="auto"/>
              <w:jc w:val="center"/>
              <w:rPr>
                <w:rFonts w:ascii="Times New Roman" w:eastAsia="Times New Roman" w:hAnsi="Times New Roman" w:cs="Times New Roman"/>
                <w:lang w:eastAsia="es-MX"/>
              </w:rPr>
            </w:pPr>
          </w:p>
        </w:tc>
        <w:tc>
          <w:tcPr>
            <w:tcW w:w="2029" w:type="dxa"/>
            <w:tcBorders>
              <w:top w:val="single" w:sz="4" w:space="0" w:color="auto"/>
              <w:left w:val="nil"/>
              <w:bottom w:val="nil"/>
              <w:right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lang w:eastAsia="es-MX"/>
              </w:rPr>
            </w:pPr>
          </w:p>
        </w:tc>
        <w:tc>
          <w:tcPr>
            <w:tcW w:w="2165" w:type="dxa"/>
            <w:tcBorders>
              <w:left w:val="single" w:sz="4" w:space="0" w:color="auto"/>
            </w:tcBorders>
            <w:noWrap/>
            <w:hideMark/>
          </w:tcPr>
          <w:p w:rsidR="008A0ED6" w:rsidRPr="007A27A5" w:rsidRDefault="008A0ED6" w:rsidP="001936D3">
            <w:pPr>
              <w:spacing w:line="240" w:lineRule="auto"/>
              <w:jc w:val="center"/>
              <w:rPr>
                <w:rFonts w:ascii="Times New Roman" w:eastAsia="Times New Roman" w:hAnsi="Times New Roman" w:cs="Times New Roman"/>
                <w:b/>
                <w:bCs/>
                <w:color w:val="000000"/>
                <w:lang w:eastAsia="es-MX"/>
              </w:rPr>
            </w:pPr>
            <w:r w:rsidRPr="007A27A5">
              <w:rPr>
                <w:rFonts w:ascii="Times New Roman" w:eastAsia="Times New Roman" w:hAnsi="Times New Roman" w:cs="Times New Roman"/>
                <w:b/>
                <w:bCs/>
                <w:color w:val="000000"/>
                <w:lang w:eastAsia="es-MX"/>
              </w:rPr>
              <w:t>2553</w:t>
            </w:r>
          </w:p>
        </w:tc>
      </w:tr>
    </w:tbl>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El Órgano Superior de Fiscalización notifica a la Entidad Fiscalizada las acciones determinadas para iniciar el procedimiento de aclaración en cumplimiento a establecido en los artículos 53, 53 bis, 54 y 54 bis de la Ley de Fiscalización Superior del Estado de México.</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Las </w:t>
      </w:r>
      <w:r w:rsidRPr="007A27A5">
        <w:rPr>
          <w:rFonts w:ascii="Times New Roman" w:eastAsia="Aptos" w:hAnsi="Times New Roman" w:cs="Times New Roman"/>
          <w:b/>
          <w:bCs/>
          <w:kern w:val="2"/>
          <w:sz w:val="24"/>
          <w:szCs w:val="24"/>
          <w14:ligatures w14:val="standardContextual"/>
        </w:rPr>
        <w:t>Auditorías de Legalidad,</w:t>
      </w:r>
      <w:r w:rsidRPr="007A27A5">
        <w:rPr>
          <w:rFonts w:ascii="Times New Roman" w:eastAsia="Aptos" w:hAnsi="Times New Roman" w:cs="Times New Roman"/>
          <w:kern w:val="2"/>
          <w:sz w:val="24"/>
          <w:szCs w:val="24"/>
          <w14:ligatures w14:val="standardContextual"/>
        </w:rPr>
        <w:t xml:space="preserve"> examinan la observancia de los ordenamientos legales que rigen los procesos operativos y programáticos para el cumplimiento del objeto de la entidad fiscalizada. El número de observaciones por entidad fiscalizable derivado de las auditorías de legalidad fue el que se desglosa a continuación:</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tbl>
      <w:tblPr>
        <w:tblStyle w:val="Tablaconcuadrcula2"/>
        <w:tblW w:w="9495" w:type="dxa"/>
        <w:tblLook w:val="04A0" w:firstRow="1" w:lastRow="0" w:firstColumn="1" w:lastColumn="0" w:noHBand="0" w:noVBand="1"/>
      </w:tblPr>
      <w:tblGrid>
        <w:gridCol w:w="6016"/>
        <w:gridCol w:w="1471"/>
        <w:gridCol w:w="2008"/>
      </w:tblGrid>
      <w:tr w:rsidR="008A0ED6" w:rsidRPr="007A27A5" w:rsidTr="00D70DF0">
        <w:trPr>
          <w:trHeight w:val="278"/>
        </w:trPr>
        <w:tc>
          <w:tcPr>
            <w:tcW w:w="9495" w:type="dxa"/>
            <w:gridSpan w:val="3"/>
            <w:shd w:val="clear" w:color="auto" w:fill="D9D9D9"/>
            <w:vAlign w:val="center"/>
          </w:tcPr>
          <w:p w:rsidR="008A0ED6" w:rsidRPr="007A27A5" w:rsidRDefault="008A0ED6" w:rsidP="001936D3">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color w:val="FFFFFF"/>
              </w:rPr>
              <w:t>AUDITORÍAS DE LEGALIDAD</w:t>
            </w:r>
          </w:p>
        </w:tc>
      </w:tr>
      <w:tr w:rsidR="008A0ED6" w:rsidRPr="007A27A5" w:rsidTr="00D70DF0">
        <w:trPr>
          <w:trHeight w:val="558"/>
        </w:trPr>
        <w:tc>
          <w:tcPr>
            <w:tcW w:w="6016" w:type="dxa"/>
            <w:shd w:val="clear" w:color="auto" w:fill="D9D9D9"/>
            <w:vAlign w:val="center"/>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ENTIDAD</w:t>
            </w:r>
          </w:p>
        </w:tc>
        <w:tc>
          <w:tcPr>
            <w:tcW w:w="1471" w:type="dxa"/>
            <w:shd w:val="clear" w:color="auto" w:fill="D9D9D9"/>
            <w:vAlign w:val="center"/>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NÚM.</w:t>
            </w:r>
          </w:p>
        </w:tc>
        <w:tc>
          <w:tcPr>
            <w:tcW w:w="2007" w:type="dxa"/>
            <w:shd w:val="clear" w:color="auto" w:fill="D9D9D9"/>
            <w:vAlign w:val="center"/>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RESULTADOS FINALES</w:t>
            </w:r>
          </w:p>
        </w:tc>
      </w:tr>
      <w:tr w:rsidR="008A0ED6" w:rsidRPr="007A27A5" w:rsidTr="00D70DF0">
        <w:trPr>
          <w:trHeight w:val="267"/>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Acambay de Ruiz Castañeda </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AL-001</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11</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Aculco </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AL-003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10</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Atenco</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AL-009</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Atizapán </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AL-010</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14</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Cocotitlán </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AL-025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11</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Hueypoxtla</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AL-034</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10</w:t>
            </w:r>
          </w:p>
        </w:tc>
      </w:tr>
      <w:tr w:rsidR="008A0ED6" w:rsidRPr="007A27A5" w:rsidTr="00D70DF0">
        <w:trPr>
          <w:trHeight w:val="267"/>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Ixtapan de la Sal </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AL-038</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Jilotepec</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AL-042</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Jilotzingo </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AL-043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lastRenderedPageBreak/>
              <w:t xml:space="preserve">Jocotitlán </w:t>
            </w:r>
          </w:p>
        </w:tc>
        <w:tc>
          <w:tcPr>
            <w:tcW w:w="1471"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AL-045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11</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Melchor Ocampo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AL-052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8A0ED6" w:rsidRPr="007A27A5" w:rsidTr="00D70DF0">
        <w:trPr>
          <w:trHeight w:val="267"/>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Morelos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AL-055</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Otzolotepec</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AL-065</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San Antonio la Isla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AL-069</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San Felipe del Progreso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AL-070</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San José del Rincón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AL-071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San Martín de las Pirámides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AL-072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8A0ED6" w:rsidRPr="007A27A5" w:rsidTr="00D70DF0">
        <w:trPr>
          <w:trHeight w:val="267"/>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San Mateo Atenco</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AL-073</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Soyaniquilpan de Juárez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AL-074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13</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Temascalapa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AL-076</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6</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Temascalcingo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AL-077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Temoaya</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AL-079</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6</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Tenango del Valle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AL-082</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8A0ED6" w:rsidRPr="007A27A5" w:rsidTr="00D70DF0">
        <w:trPr>
          <w:trHeight w:val="267"/>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Teoloyucan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AL-083</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Teotihuacán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AL-084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11</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Texcoco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AL-088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Tianguistenco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AL-090</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Timilpan</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AL-091</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8A0ED6" w:rsidRPr="007A27A5" w:rsidTr="00D70DF0">
        <w:trPr>
          <w:trHeight w:val="267"/>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Tonanitla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AL-095</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12</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Tultepec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 xml:space="preserve">AL-096 </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13</w:t>
            </w:r>
          </w:p>
        </w:tc>
      </w:tr>
      <w:tr w:rsidR="008A0ED6" w:rsidRPr="007A27A5" w:rsidTr="00D70DF0">
        <w:trPr>
          <w:trHeight w:val="278"/>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SMDIF Ixtapaluca</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AL-110</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267"/>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SMDIF Metepec</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AL-112</w:t>
            </w:r>
          </w:p>
        </w:tc>
        <w:tc>
          <w:tcPr>
            <w:tcW w:w="2007" w:type="dxa"/>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836"/>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Organismo Público Descentralizado para la Prestación de los Servicios de Agua Potable, Alcantarillado y Saneamiento del Municipio de Nezahualcóyotl</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AL-126</w:t>
            </w:r>
          </w:p>
        </w:tc>
        <w:tc>
          <w:tcPr>
            <w:tcW w:w="2007"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6</w:t>
            </w:r>
          </w:p>
        </w:tc>
      </w:tr>
      <w:tr w:rsidR="008A0ED6" w:rsidRPr="007A27A5" w:rsidTr="00D70DF0">
        <w:trPr>
          <w:trHeight w:val="836"/>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Organismo Público Descentralizado para la Prestación de los Servicios de Agua Potable, Alcantarillado y Saneamiento del Municipio de Tecámac</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AL-127</w:t>
            </w:r>
          </w:p>
        </w:tc>
        <w:tc>
          <w:tcPr>
            <w:tcW w:w="2007"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6</w:t>
            </w:r>
          </w:p>
        </w:tc>
      </w:tr>
      <w:tr w:rsidR="008A0ED6" w:rsidRPr="007A27A5" w:rsidTr="00D70DF0">
        <w:trPr>
          <w:trHeight w:val="836"/>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 xml:space="preserve">Organismo Público Descentralizado para la Prestación de los Servicios de Agua Potable, Alcantarillado y Saneamiento del Municipio de Valle de Chalco Solidaridad </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AL-131</w:t>
            </w:r>
          </w:p>
        </w:tc>
        <w:tc>
          <w:tcPr>
            <w:tcW w:w="2007"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5</w:t>
            </w:r>
          </w:p>
        </w:tc>
      </w:tr>
      <w:tr w:rsidR="008A0ED6" w:rsidRPr="007A27A5" w:rsidTr="00D70DF0">
        <w:trPr>
          <w:trHeight w:val="825"/>
        </w:trPr>
        <w:tc>
          <w:tcPr>
            <w:tcW w:w="6016" w:type="dxa"/>
          </w:tcPr>
          <w:p w:rsidR="008A0ED6" w:rsidRPr="007A27A5" w:rsidRDefault="008A0ED6" w:rsidP="001936D3">
            <w:pPr>
              <w:spacing w:line="240" w:lineRule="auto"/>
              <w:contextualSpacing/>
              <w:jc w:val="both"/>
              <w:rPr>
                <w:rFonts w:ascii="Times New Roman" w:eastAsia="Aptos" w:hAnsi="Times New Roman" w:cs="Times New Roman"/>
              </w:rPr>
            </w:pPr>
            <w:r w:rsidRPr="007A27A5">
              <w:rPr>
                <w:rFonts w:ascii="Times New Roman" w:eastAsia="Aptos" w:hAnsi="Times New Roman" w:cs="Times New Roman"/>
              </w:rPr>
              <w:t>Organismo Público Descentralizado para la Prestación de los Servicios de Agua Potable, Alcantarillado y Saneamiento del Municipio de Zinacantepec</w:t>
            </w:r>
          </w:p>
        </w:tc>
        <w:tc>
          <w:tcPr>
            <w:tcW w:w="1471"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AL-132</w:t>
            </w:r>
          </w:p>
        </w:tc>
        <w:tc>
          <w:tcPr>
            <w:tcW w:w="2007" w:type="dxa"/>
            <w:vAlign w:val="center"/>
          </w:tcPr>
          <w:p w:rsidR="008A0ED6" w:rsidRPr="007A27A5" w:rsidRDefault="008A0ED6" w:rsidP="001936D3">
            <w:pPr>
              <w:spacing w:line="240" w:lineRule="auto"/>
              <w:contextualSpacing/>
              <w:jc w:val="center"/>
              <w:rPr>
                <w:rFonts w:ascii="Times New Roman" w:eastAsia="Aptos" w:hAnsi="Times New Roman" w:cs="Times New Roman"/>
              </w:rPr>
            </w:pPr>
            <w:r w:rsidRPr="007A27A5">
              <w:rPr>
                <w:rFonts w:ascii="Times New Roman" w:eastAsia="Aptos" w:hAnsi="Times New Roman" w:cs="Times New Roman"/>
              </w:rPr>
              <w:t>4</w:t>
            </w:r>
          </w:p>
        </w:tc>
      </w:tr>
      <w:tr w:rsidR="008A0ED6" w:rsidRPr="007A27A5" w:rsidTr="00D70DF0">
        <w:trPr>
          <w:trHeight w:val="278"/>
        </w:trPr>
        <w:tc>
          <w:tcPr>
            <w:tcW w:w="6016" w:type="dxa"/>
            <w:tcBorders>
              <w:top w:val="single" w:sz="4" w:space="0" w:color="auto"/>
              <w:left w:val="nil"/>
              <w:bottom w:val="nil"/>
              <w:right w:val="nil"/>
            </w:tcBorders>
          </w:tcPr>
          <w:p w:rsidR="008A0ED6" w:rsidRPr="007A27A5" w:rsidRDefault="008A0ED6" w:rsidP="001936D3">
            <w:pPr>
              <w:spacing w:line="240" w:lineRule="auto"/>
              <w:contextualSpacing/>
              <w:jc w:val="both"/>
              <w:rPr>
                <w:rFonts w:ascii="Times New Roman" w:eastAsia="Aptos" w:hAnsi="Times New Roman" w:cs="Times New Roman"/>
              </w:rPr>
            </w:pPr>
          </w:p>
        </w:tc>
        <w:tc>
          <w:tcPr>
            <w:tcW w:w="1471" w:type="dxa"/>
            <w:tcBorders>
              <w:top w:val="single" w:sz="4" w:space="0" w:color="auto"/>
              <w:left w:val="nil"/>
              <w:bottom w:val="nil"/>
              <w:right w:val="single" w:sz="4" w:space="0" w:color="auto"/>
            </w:tcBorders>
          </w:tcPr>
          <w:p w:rsidR="008A0ED6" w:rsidRPr="007A27A5" w:rsidRDefault="008A0ED6" w:rsidP="001936D3">
            <w:pPr>
              <w:spacing w:line="240" w:lineRule="auto"/>
              <w:contextualSpacing/>
              <w:jc w:val="center"/>
              <w:rPr>
                <w:rFonts w:ascii="Times New Roman" w:eastAsia="Aptos" w:hAnsi="Times New Roman" w:cs="Times New Roman"/>
              </w:rPr>
            </w:pPr>
          </w:p>
        </w:tc>
        <w:tc>
          <w:tcPr>
            <w:tcW w:w="2007" w:type="dxa"/>
            <w:tcBorders>
              <w:top w:val="single" w:sz="4" w:space="0" w:color="auto"/>
              <w:left w:val="single" w:sz="4" w:space="0" w:color="auto"/>
            </w:tcBorders>
          </w:tcPr>
          <w:p w:rsidR="008A0ED6" w:rsidRPr="007A27A5" w:rsidRDefault="008A0ED6" w:rsidP="001936D3">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286</w:t>
            </w:r>
          </w:p>
        </w:tc>
      </w:tr>
    </w:tbl>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El Órgano Superior de Fiscalización notifica a la Entidad Fiscalizada las recomendaciones y el plazo para iniciar el procedimiento de atención en cumplimiento a establecido en los artículos 53, 53 bis, 54 y 54 bis de la Ley de Fiscalización Superior del Estado de México.</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Las </w:t>
      </w:r>
      <w:r w:rsidRPr="007A27A5">
        <w:rPr>
          <w:rFonts w:ascii="Times New Roman" w:eastAsia="Aptos" w:hAnsi="Times New Roman" w:cs="Times New Roman"/>
          <w:b/>
          <w:bCs/>
          <w:kern w:val="2"/>
          <w:sz w:val="24"/>
          <w:szCs w:val="24"/>
          <w14:ligatures w14:val="standardContextual"/>
        </w:rPr>
        <w:t>Auditorías de Desempeño</w:t>
      </w:r>
      <w:r w:rsidRPr="007A27A5">
        <w:rPr>
          <w:rFonts w:ascii="Times New Roman" w:eastAsia="Aptos" w:hAnsi="Times New Roman" w:cs="Times New Roman"/>
          <w:kern w:val="2"/>
          <w:sz w:val="24"/>
          <w:szCs w:val="24"/>
          <w14:ligatures w14:val="standardContextual"/>
        </w:rPr>
        <w:t xml:space="preserve"> permiten conocer si las políticas públicas operan bajo principios de eficacia, eficiencia y economía y, sobre todo, verifica el impacto social para la ciudadanía. El número de observaciones por entidad fiscalizable derivado de las auditorías de desempeño fue el que se desglosa a continuación:</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07"/>
        <w:gridCol w:w="1873"/>
        <w:gridCol w:w="3115"/>
      </w:tblGrid>
      <w:tr w:rsidR="008A0ED6" w:rsidRPr="007A27A5" w:rsidTr="008A0ED6">
        <w:trPr>
          <w:trHeight w:val="20"/>
        </w:trPr>
        <w:tc>
          <w:tcPr>
            <w:tcW w:w="5000" w:type="pct"/>
            <w:gridSpan w:val="3"/>
            <w:shd w:val="clear" w:color="000000" w:fill="D9D9D9"/>
            <w:vAlign w:val="center"/>
            <w:hideMark/>
          </w:tcPr>
          <w:p w:rsidR="008A0ED6" w:rsidRPr="007A27A5" w:rsidRDefault="008A0ED6" w:rsidP="001936D3">
            <w:pPr>
              <w:spacing w:after="0" w:line="240" w:lineRule="auto"/>
              <w:jc w:val="center"/>
              <w:rPr>
                <w:rFonts w:ascii="Times New Roman" w:eastAsia="Times New Roman" w:hAnsi="Times New Roman" w:cs="Times New Roman"/>
                <w:b/>
                <w:bCs/>
                <w:color w:val="FFFFFF"/>
                <w:sz w:val="24"/>
                <w:szCs w:val="24"/>
                <w:lang w:eastAsia="es-MX"/>
              </w:rPr>
            </w:pPr>
            <w:r w:rsidRPr="007A27A5">
              <w:rPr>
                <w:rFonts w:ascii="Times New Roman" w:eastAsia="Times New Roman" w:hAnsi="Times New Roman" w:cs="Times New Roman"/>
                <w:b/>
                <w:bCs/>
                <w:color w:val="FFFFFF"/>
                <w:sz w:val="24"/>
                <w:szCs w:val="24"/>
                <w:lang w:eastAsia="es-MX"/>
              </w:rPr>
              <w:t>AUDITORÍAS DE DESEMPEÑO</w:t>
            </w:r>
          </w:p>
        </w:tc>
      </w:tr>
      <w:tr w:rsidR="008A0ED6" w:rsidRPr="007A27A5" w:rsidTr="008A0ED6">
        <w:trPr>
          <w:trHeight w:val="20"/>
        </w:trPr>
        <w:tc>
          <w:tcPr>
            <w:tcW w:w="2345" w:type="pct"/>
            <w:shd w:val="clear" w:color="000000" w:fill="D9D9D9"/>
            <w:vAlign w:val="center"/>
            <w:hideMark/>
          </w:tcPr>
          <w:p w:rsidR="008A0ED6" w:rsidRPr="007A27A5" w:rsidRDefault="008A0ED6" w:rsidP="001936D3">
            <w:pPr>
              <w:spacing w:after="0" w:line="240" w:lineRule="auto"/>
              <w:jc w:val="center"/>
              <w:rPr>
                <w:rFonts w:ascii="Times New Roman" w:eastAsia="Times New Roman" w:hAnsi="Times New Roman" w:cs="Times New Roman"/>
                <w:b/>
                <w:bCs/>
                <w:color w:val="FFFFFF"/>
                <w:sz w:val="24"/>
                <w:szCs w:val="24"/>
                <w:lang w:eastAsia="es-MX"/>
              </w:rPr>
            </w:pPr>
            <w:r w:rsidRPr="007A27A5">
              <w:rPr>
                <w:rFonts w:ascii="Times New Roman" w:eastAsia="Times New Roman" w:hAnsi="Times New Roman" w:cs="Times New Roman"/>
                <w:b/>
                <w:bCs/>
                <w:color w:val="FFFFFF"/>
                <w:sz w:val="24"/>
                <w:szCs w:val="24"/>
                <w:lang w:eastAsia="es-MX"/>
              </w:rPr>
              <w:lastRenderedPageBreak/>
              <w:t>ENTIDAD</w:t>
            </w:r>
          </w:p>
        </w:tc>
        <w:tc>
          <w:tcPr>
            <w:tcW w:w="997" w:type="pct"/>
            <w:shd w:val="clear" w:color="000000" w:fill="D9D9D9"/>
            <w:vAlign w:val="center"/>
            <w:hideMark/>
          </w:tcPr>
          <w:p w:rsidR="008A0ED6" w:rsidRPr="007A27A5" w:rsidRDefault="008A0ED6" w:rsidP="001936D3">
            <w:pPr>
              <w:spacing w:after="0" w:line="240" w:lineRule="auto"/>
              <w:jc w:val="center"/>
              <w:rPr>
                <w:rFonts w:ascii="Times New Roman" w:eastAsia="Times New Roman" w:hAnsi="Times New Roman" w:cs="Times New Roman"/>
                <w:b/>
                <w:bCs/>
                <w:color w:val="FFFFFF"/>
                <w:sz w:val="24"/>
                <w:szCs w:val="24"/>
                <w:lang w:eastAsia="es-MX"/>
              </w:rPr>
            </w:pPr>
            <w:r w:rsidRPr="007A27A5">
              <w:rPr>
                <w:rFonts w:ascii="Times New Roman" w:eastAsia="Times New Roman" w:hAnsi="Times New Roman" w:cs="Times New Roman"/>
                <w:b/>
                <w:bCs/>
                <w:color w:val="FFFFFF"/>
                <w:sz w:val="24"/>
                <w:szCs w:val="24"/>
                <w:lang w:eastAsia="es-MX"/>
              </w:rPr>
              <w:t>NÚM.</w:t>
            </w:r>
          </w:p>
        </w:tc>
        <w:tc>
          <w:tcPr>
            <w:tcW w:w="1658" w:type="pct"/>
            <w:shd w:val="clear" w:color="000000" w:fill="D9D9D9"/>
            <w:vAlign w:val="center"/>
            <w:hideMark/>
          </w:tcPr>
          <w:p w:rsidR="008A0ED6" w:rsidRPr="007A27A5" w:rsidRDefault="008A0ED6" w:rsidP="001936D3">
            <w:pPr>
              <w:spacing w:after="0" w:line="240" w:lineRule="auto"/>
              <w:jc w:val="center"/>
              <w:rPr>
                <w:rFonts w:ascii="Times New Roman" w:eastAsia="Times New Roman" w:hAnsi="Times New Roman" w:cs="Times New Roman"/>
                <w:b/>
                <w:bCs/>
                <w:color w:val="FFFFFF"/>
                <w:sz w:val="24"/>
                <w:szCs w:val="24"/>
                <w:lang w:eastAsia="es-MX"/>
              </w:rPr>
            </w:pPr>
            <w:r w:rsidRPr="007A27A5">
              <w:rPr>
                <w:rFonts w:ascii="Times New Roman" w:eastAsia="Times New Roman" w:hAnsi="Times New Roman" w:cs="Times New Roman"/>
                <w:b/>
                <w:bCs/>
                <w:color w:val="FFFFFF"/>
                <w:sz w:val="24"/>
                <w:szCs w:val="24"/>
                <w:lang w:eastAsia="es-MX"/>
              </w:rPr>
              <w:t>RESULTADOS FINALES</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Almoloya del Río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AD-005</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Amecameca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AD-007</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Apaxco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AD-008</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Atlautla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AD-013</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Axapusco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AD-014</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Ayapango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AD-015</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Capulhuac</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AD-017</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shd w:val="clear" w:color="000000" w:fill="FFFFFF"/>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Chapa de Mota</w:t>
            </w:r>
          </w:p>
        </w:tc>
        <w:tc>
          <w:tcPr>
            <w:tcW w:w="997" w:type="pct"/>
            <w:shd w:val="clear" w:color="000000" w:fill="FFFFFF"/>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AD-019</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11</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Chiautla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AD-020</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Chiconcuac</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AD-022</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Coyotepec</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AD-026</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Ecatzingo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AD-031</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11</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El Oro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AD-032</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Isidro Fabela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AD-036</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9</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Ixtapan del Oro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AD-039</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11</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Jaltenco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AD-041</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Joquicingo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AD-046</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Juchitepec</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AD-047</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Malinalco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AD-051</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11</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Mexicaltzingo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AD-054</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9</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Nextlalpan</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AD-057</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Nezahualcóyotl</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AD-058</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Nopaltepec</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AD-060</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Otumba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AD-063</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8</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Otzoloapan</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AD-064</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Ozumba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AD-066</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Papalotla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AD-067</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9</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Polotitlán</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AD-068</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7</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Tenancingo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AD-080</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6</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Tenango del Aire</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AD-081</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Tepetlixpa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AD-086</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Tezoyuca</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AD-089</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11</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Tlalmanalco</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AD-092</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Villa del Carbón</w:t>
            </w:r>
          </w:p>
        </w:tc>
        <w:tc>
          <w:tcPr>
            <w:tcW w:w="997"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AD-101</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tcBorders>
              <w:bottom w:val="single" w:sz="4" w:space="0" w:color="auto"/>
            </w:tcBorders>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Xalatlaco</w:t>
            </w:r>
          </w:p>
        </w:tc>
        <w:tc>
          <w:tcPr>
            <w:tcW w:w="997" w:type="pct"/>
            <w:tcBorders>
              <w:bottom w:val="single" w:sz="4" w:space="0" w:color="auto"/>
            </w:tcBorders>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AD-102</w:t>
            </w:r>
          </w:p>
        </w:tc>
        <w:tc>
          <w:tcPr>
            <w:tcW w:w="1658" w:type="pct"/>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9</w:t>
            </w:r>
          </w:p>
        </w:tc>
      </w:tr>
      <w:tr w:rsidR="008A0ED6" w:rsidRPr="007A27A5" w:rsidTr="008A0ED6">
        <w:trPr>
          <w:trHeight w:val="20"/>
        </w:trPr>
        <w:tc>
          <w:tcPr>
            <w:tcW w:w="2345" w:type="pct"/>
            <w:tcBorders>
              <w:bottom w:val="single" w:sz="4" w:space="0" w:color="auto"/>
            </w:tcBorders>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Xonacatlán</w:t>
            </w:r>
          </w:p>
        </w:tc>
        <w:tc>
          <w:tcPr>
            <w:tcW w:w="997" w:type="pct"/>
            <w:tcBorders>
              <w:bottom w:val="single" w:sz="4" w:space="0" w:color="auto"/>
            </w:tcBorders>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AD-103</w:t>
            </w:r>
          </w:p>
        </w:tc>
        <w:tc>
          <w:tcPr>
            <w:tcW w:w="1658" w:type="pct"/>
            <w:tcBorders>
              <w:bottom w:val="single" w:sz="4" w:space="0" w:color="auto"/>
            </w:tcBorders>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10</w:t>
            </w:r>
          </w:p>
        </w:tc>
      </w:tr>
      <w:tr w:rsidR="008A0ED6" w:rsidRPr="007A27A5" w:rsidTr="008A0ED6">
        <w:trPr>
          <w:trHeight w:val="20"/>
        </w:trPr>
        <w:tc>
          <w:tcPr>
            <w:tcW w:w="2345" w:type="pct"/>
            <w:tcBorders>
              <w:top w:val="single" w:sz="4" w:space="0" w:color="auto"/>
              <w:left w:val="nil"/>
              <w:bottom w:val="nil"/>
              <w:right w:val="nil"/>
            </w:tcBorders>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w:t>
            </w:r>
          </w:p>
        </w:tc>
        <w:tc>
          <w:tcPr>
            <w:tcW w:w="997" w:type="pct"/>
            <w:tcBorders>
              <w:top w:val="single" w:sz="4" w:space="0" w:color="auto"/>
              <w:left w:val="nil"/>
              <w:bottom w:val="nil"/>
              <w:right w:val="single" w:sz="4" w:space="0" w:color="auto"/>
            </w:tcBorders>
            <w:vAlign w:val="center"/>
            <w:hideMark/>
          </w:tcPr>
          <w:p w:rsidR="008A0ED6" w:rsidRPr="007A27A5" w:rsidRDefault="008A0ED6" w:rsidP="001936D3">
            <w:pPr>
              <w:spacing w:after="0" w:line="240" w:lineRule="auto"/>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w:t>
            </w:r>
          </w:p>
        </w:tc>
        <w:tc>
          <w:tcPr>
            <w:tcW w:w="1658" w:type="pct"/>
            <w:tcBorders>
              <w:left w:val="single" w:sz="4" w:space="0" w:color="auto"/>
            </w:tcBorders>
            <w:vAlign w:val="center"/>
            <w:hideMark/>
          </w:tcPr>
          <w:p w:rsidR="008A0ED6" w:rsidRPr="007A27A5" w:rsidRDefault="008A0ED6" w:rsidP="001936D3">
            <w:pPr>
              <w:spacing w:after="0" w:line="240" w:lineRule="auto"/>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308</w:t>
            </w:r>
          </w:p>
        </w:tc>
      </w:tr>
    </w:tbl>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El Órgano Superior de Fiscalización notifica a la Entidad Fiscalizada las recomendaciones y el plazo para iniciar el procedimiento de atención en cumplimiento a establecido en los artículos 53, 53 bis, 54 y 54 bis de la Ley de Fiscalización Superior del Estado de México.</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El proceso de fiscalización no concluye con el informe de las auditorias; a partir de su conclusión, inicia un periodo de aclaración que desahogará la Unidad de Seguimiento para su eventual </w:t>
      </w:r>
      <w:proofErr w:type="spellStart"/>
      <w:r w:rsidRPr="007A27A5">
        <w:rPr>
          <w:rFonts w:ascii="Times New Roman" w:eastAsia="Aptos" w:hAnsi="Times New Roman" w:cs="Times New Roman"/>
          <w:kern w:val="2"/>
          <w:sz w:val="24"/>
          <w:szCs w:val="24"/>
          <w14:ligatures w14:val="standardContextual"/>
        </w:rPr>
        <w:t>solventación</w:t>
      </w:r>
      <w:proofErr w:type="spellEnd"/>
      <w:r w:rsidRPr="007A27A5">
        <w:rPr>
          <w:rFonts w:ascii="Times New Roman" w:eastAsia="Aptos" w:hAnsi="Times New Roman" w:cs="Times New Roman"/>
          <w:kern w:val="2"/>
          <w:sz w:val="24"/>
          <w:szCs w:val="24"/>
          <w14:ligatures w14:val="standardContextual"/>
        </w:rPr>
        <w:t xml:space="preserve"> parcial o total de los pliegos de observación derivados de los resultados finales </w:t>
      </w:r>
      <w:r w:rsidRPr="007A27A5">
        <w:rPr>
          <w:rFonts w:ascii="Times New Roman" w:eastAsia="Aptos" w:hAnsi="Times New Roman" w:cs="Times New Roman"/>
          <w:kern w:val="2"/>
          <w:sz w:val="24"/>
          <w:szCs w:val="24"/>
          <w14:ligatures w14:val="standardContextual"/>
        </w:rPr>
        <w:lastRenderedPageBreak/>
        <w:t>obtenidos o, en su caso, dar pauta para iniciar las investigaciones correspondientes hasta el envío al Tribunal de Justicia Administrativa del Estado de México como autoridad resolutora.</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NÚMERO DE RESULTADOS POR ENTIDAD FISCALIZABLE </w:t>
      </w: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DERIVADO DE LAS REVISIONES</w:t>
      </w: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p>
    <w:tbl>
      <w:tblPr>
        <w:tblStyle w:val="Tablaconcuadrcula2"/>
        <w:tblW w:w="9420" w:type="dxa"/>
        <w:tblInd w:w="-5" w:type="dxa"/>
        <w:tblLook w:val="04A0" w:firstRow="1" w:lastRow="0" w:firstColumn="1" w:lastColumn="0" w:noHBand="0" w:noVBand="1"/>
      </w:tblPr>
      <w:tblGrid>
        <w:gridCol w:w="6976"/>
        <w:gridCol w:w="2444"/>
      </w:tblGrid>
      <w:tr w:rsidR="008A0ED6" w:rsidRPr="007A27A5" w:rsidTr="00D70DF0">
        <w:trPr>
          <w:trHeight w:val="287"/>
        </w:trPr>
        <w:tc>
          <w:tcPr>
            <w:tcW w:w="9420" w:type="dxa"/>
            <w:gridSpan w:val="2"/>
            <w:shd w:val="clear" w:color="auto" w:fill="D9D9D9"/>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REVISIÓN A LA CUENTA PÚBLICA</w:t>
            </w:r>
          </w:p>
        </w:tc>
      </w:tr>
      <w:tr w:rsidR="008A0ED6" w:rsidRPr="007A27A5" w:rsidTr="00D70DF0">
        <w:trPr>
          <w:trHeight w:val="575"/>
        </w:trPr>
        <w:tc>
          <w:tcPr>
            <w:tcW w:w="7031" w:type="dxa"/>
            <w:shd w:val="clear" w:color="auto" w:fill="D9D9D9"/>
            <w:vAlign w:val="center"/>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ENTIDAD</w:t>
            </w:r>
          </w:p>
        </w:tc>
        <w:tc>
          <w:tcPr>
            <w:tcW w:w="2388" w:type="dxa"/>
            <w:shd w:val="clear" w:color="auto" w:fill="D9D9D9"/>
            <w:vAlign w:val="center"/>
          </w:tcPr>
          <w:p w:rsidR="008A0ED6" w:rsidRPr="007A27A5" w:rsidRDefault="008A0ED6" w:rsidP="001936D3">
            <w:pPr>
              <w:spacing w:line="240" w:lineRule="auto"/>
              <w:contextualSpacing/>
              <w:jc w:val="center"/>
              <w:rPr>
                <w:rFonts w:ascii="Times New Roman" w:eastAsia="Aptos" w:hAnsi="Times New Roman" w:cs="Times New Roman"/>
                <w:b/>
                <w:bCs/>
                <w:color w:val="FFFFFF"/>
              </w:rPr>
            </w:pPr>
            <w:r w:rsidRPr="007A27A5">
              <w:rPr>
                <w:rFonts w:ascii="Times New Roman" w:eastAsia="Aptos" w:hAnsi="Times New Roman" w:cs="Times New Roman"/>
                <w:b/>
                <w:bCs/>
                <w:color w:val="FFFFFF"/>
              </w:rPr>
              <w:t>NÚMERO DE INCONSISTENCIAS</w:t>
            </w:r>
          </w:p>
        </w:tc>
      </w:tr>
      <w:tr w:rsidR="008A0ED6" w:rsidRPr="007A27A5" w:rsidTr="00D70DF0">
        <w:trPr>
          <w:trHeight w:val="275"/>
        </w:trPr>
        <w:tc>
          <w:tcPr>
            <w:tcW w:w="7031" w:type="dxa"/>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Municipios</w:t>
            </w:r>
          </w:p>
        </w:tc>
        <w:tc>
          <w:tcPr>
            <w:tcW w:w="2388" w:type="dxa"/>
            <w:vAlign w:val="center"/>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250</w:t>
            </w:r>
          </w:p>
        </w:tc>
      </w:tr>
      <w:tr w:rsidR="008A0ED6" w:rsidRPr="007A27A5" w:rsidTr="00D70DF0">
        <w:trPr>
          <w:trHeight w:val="287"/>
        </w:trPr>
        <w:tc>
          <w:tcPr>
            <w:tcW w:w="7031" w:type="dxa"/>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Sistemas Municipales para el Desarrollo Integral de la Familia</w:t>
            </w:r>
          </w:p>
        </w:tc>
        <w:tc>
          <w:tcPr>
            <w:tcW w:w="2388" w:type="dxa"/>
            <w:vAlign w:val="center"/>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765</w:t>
            </w:r>
          </w:p>
        </w:tc>
      </w:tr>
      <w:tr w:rsidR="008A0ED6" w:rsidRPr="007A27A5" w:rsidTr="00D70DF0">
        <w:trPr>
          <w:trHeight w:val="287"/>
        </w:trPr>
        <w:tc>
          <w:tcPr>
            <w:tcW w:w="7031" w:type="dxa"/>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Organismos Descentralizados Operadores de Agua</w:t>
            </w:r>
          </w:p>
        </w:tc>
        <w:tc>
          <w:tcPr>
            <w:tcW w:w="2388" w:type="dxa"/>
            <w:vAlign w:val="center"/>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266</w:t>
            </w:r>
          </w:p>
        </w:tc>
      </w:tr>
      <w:tr w:rsidR="008A0ED6" w:rsidRPr="007A27A5" w:rsidTr="00D70DF0">
        <w:trPr>
          <w:trHeight w:val="287"/>
        </w:trPr>
        <w:tc>
          <w:tcPr>
            <w:tcW w:w="7031" w:type="dxa"/>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Institutos Municipales de Cultura Física y Deporte</w:t>
            </w:r>
          </w:p>
        </w:tc>
        <w:tc>
          <w:tcPr>
            <w:tcW w:w="2388" w:type="dxa"/>
            <w:vAlign w:val="center"/>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489</w:t>
            </w:r>
          </w:p>
        </w:tc>
      </w:tr>
      <w:tr w:rsidR="008A0ED6" w:rsidRPr="007A27A5" w:rsidTr="00D70DF0">
        <w:trPr>
          <w:trHeight w:val="287"/>
        </w:trPr>
        <w:tc>
          <w:tcPr>
            <w:tcW w:w="7031" w:type="dxa"/>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Instituto Municipal de la Juventud de Ayapango</w:t>
            </w:r>
          </w:p>
        </w:tc>
        <w:tc>
          <w:tcPr>
            <w:tcW w:w="2388" w:type="dxa"/>
            <w:vAlign w:val="center"/>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4</w:t>
            </w:r>
          </w:p>
        </w:tc>
      </w:tr>
      <w:tr w:rsidR="008A0ED6" w:rsidRPr="007A27A5" w:rsidTr="00D70DF0">
        <w:trPr>
          <w:trHeight w:val="287"/>
        </w:trPr>
        <w:tc>
          <w:tcPr>
            <w:tcW w:w="7031" w:type="dxa"/>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Instituto Municipal de la Mujer de Toluca</w:t>
            </w:r>
          </w:p>
        </w:tc>
        <w:tc>
          <w:tcPr>
            <w:tcW w:w="2388" w:type="dxa"/>
            <w:vAlign w:val="center"/>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7</w:t>
            </w:r>
          </w:p>
        </w:tc>
      </w:tr>
      <w:tr w:rsidR="008A0ED6" w:rsidRPr="007A27A5" w:rsidTr="00D70DF0">
        <w:trPr>
          <w:trHeight w:val="562"/>
        </w:trPr>
        <w:tc>
          <w:tcPr>
            <w:tcW w:w="7031" w:type="dxa"/>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Organismo Público Descentralizado de Carácter Municipal para el Mantenimiento de Vialidades de Cuautitlán Izcalli (MAVICI)</w:t>
            </w:r>
          </w:p>
        </w:tc>
        <w:tc>
          <w:tcPr>
            <w:tcW w:w="2388" w:type="dxa"/>
            <w:vAlign w:val="center"/>
          </w:tcPr>
          <w:p w:rsidR="008A0ED6" w:rsidRPr="007A27A5" w:rsidRDefault="008A0ED6" w:rsidP="001936D3">
            <w:pPr>
              <w:spacing w:line="240" w:lineRule="auto"/>
              <w:jc w:val="center"/>
              <w:rPr>
                <w:rFonts w:ascii="Times New Roman" w:eastAsia="Aptos" w:hAnsi="Times New Roman" w:cs="Times New Roman"/>
              </w:rPr>
            </w:pPr>
            <w:r w:rsidRPr="007A27A5">
              <w:rPr>
                <w:rFonts w:ascii="Times New Roman" w:eastAsia="Aptos" w:hAnsi="Times New Roman" w:cs="Times New Roman"/>
              </w:rPr>
              <w:t>7</w:t>
            </w:r>
          </w:p>
        </w:tc>
      </w:tr>
      <w:tr w:rsidR="008A0ED6" w:rsidRPr="007A27A5" w:rsidTr="00D70DF0">
        <w:trPr>
          <w:trHeight w:val="287"/>
        </w:trPr>
        <w:tc>
          <w:tcPr>
            <w:tcW w:w="7031" w:type="dxa"/>
            <w:tcBorders>
              <w:left w:val="nil"/>
              <w:bottom w:val="nil"/>
            </w:tcBorders>
          </w:tcPr>
          <w:p w:rsidR="008A0ED6" w:rsidRPr="007A27A5" w:rsidRDefault="008A0ED6" w:rsidP="001936D3">
            <w:pPr>
              <w:spacing w:line="240" w:lineRule="auto"/>
              <w:contextualSpacing/>
              <w:jc w:val="center"/>
              <w:rPr>
                <w:rFonts w:ascii="Times New Roman" w:eastAsia="Aptos" w:hAnsi="Times New Roman" w:cs="Times New Roman"/>
              </w:rPr>
            </w:pPr>
          </w:p>
        </w:tc>
        <w:tc>
          <w:tcPr>
            <w:tcW w:w="2388" w:type="dxa"/>
          </w:tcPr>
          <w:p w:rsidR="008A0ED6" w:rsidRPr="007A27A5" w:rsidRDefault="008A0ED6" w:rsidP="001936D3">
            <w:pPr>
              <w:spacing w:line="240" w:lineRule="auto"/>
              <w:contextualSpacing/>
              <w:jc w:val="center"/>
              <w:rPr>
                <w:rFonts w:ascii="Times New Roman" w:eastAsia="Aptos" w:hAnsi="Times New Roman" w:cs="Times New Roman"/>
                <w:b/>
                <w:bCs/>
              </w:rPr>
            </w:pPr>
            <w:r w:rsidRPr="007A27A5">
              <w:rPr>
                <w:rFonts w:ascii="Times New Roman" w:eastAsia="Aptos" w:hAnsi="Times New Roman" w:cs="Times New Roman"/>
                <w:b/>
                <w:bCs/>
              </w:rPr>
              <w:t>1,788</w:t>
            </w:r>
          </w:p>
        </w:tc>
      </w:tr>
    </w:tbl>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Para las revisiones se realizó el análisis por apartado de la Cuenta Pública (Información Presupuestaria, Información Programática, Información Financiera, Información Complementaria, Análisis de Remuneraciones y Análisis de Deuda Pública).</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En los Aspectos Generales se especificó territorio, población, información socioeconómica, estructura de gobierno y los organismos descentralizados con los que cuenta el municipio.</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Por lo anteriormente expuesto, los integrantes de la Comisión Legislativa de Vigilancia del Órgano Superior de Fiscalización nos permitimos emitir los siguientes:</w:t>
      </w: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RESOLUTIVOS</w:t>
      </w: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PRIMERO.</w:t>
      </w:r>
      <w:r w:rsidRPr="007A27A5">
        <w:rPr>
          <w:rFonts w:ascii="Times New Roman" w:eastAsia="Aptos" w:hAnsi="Times New Roman" w:cs="Times New Roman"/>
          <w:kern w:val="2"/>
          <w:sz w:val="24"/>
          <w:szCs w:val="24"/>
          <w14:ligatures w14:val="standardContextual"/>
        </w:rPr>
        <w:t xml:space="preserve"> La Cuenta Pública del Ejercicio Fiscal del año 2024 de los municipios y sus organismos descentralizados se presentaron en cumplimiento de los mandatos constitucionales y legales aplicables.</w:t>
      </w: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SEGUNDO.</w:t>
      </w:r>
      <w:r w:rsidRPr="007A27A5">
        <w:rPr>
          <w:rFonts w:ascii="Times New Roman" w:eastAsia="Aptos" w:hAnsi="Times New Roman" w:cs="Times New Roman"/>
          <w:kern w:val="2"/>
          <w:sz w:val="24"/>
          <w:szCs w:val="24"/>
          <w14:ligatures w14:val="standardContextual"/>
        </w:rPr>
        <w:t xml:space="preserve"> El Órgano Superior de Fiscalización del Estado de México deberá informar a la Comisión de Vigilancia del Órgano Superior de Fiscalización, los resultados de la etapa de aclaración, contemplada en el artículo 54 de la Ley de Fiscalización Superior del Estado de México.</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TERCERO.</w:t>
      </w:r>
      <w:r w:rsidRPr="007A27A5">
        <w:rPr>
          <w:rFonts w:ascii="Times New Roman" w:eastAsia="Aptos" w:hAnsi="Times New Roman" w:cs="Times New Roman"/>
          <w:kern w:val="2"/>
          <w:sz w:val="24"/>
          <w:szCs w:val="24"/>
          <w14:ligatures w14:val="standardContextual"/>
        </w:rPr>
        <w:t xml:space="preserve"> La Cuenta Pública del Ejercicio Fiscal del año 2024, de los municipios y sus organismos descentralizados, se tienen por fiscalizadas y revisadas por el Órgano Superior de Fiscalización del Estado de México y analizadas por la Comisión de Vigilancia del Órgano Superior de Fiscalización. </w:t>
      </w: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CUARTO.</w:t>
      </w:r>
      <w:r w:rsidRPr="007A27A5">
        <w:rPr>
          <w:rFonts w:ascii="Times New Roman" w:eastAsia="Aptos" w:hAnsi="Times New Roman" w:cs="Times New Roman"/>
          <w:kern w:val="2"/>
          <w:sz w:val="24"/>
          <w:szCs w:val="24"/>
          <w14:ligatures w14:val="standardContextual"/>
        </w:rPr>
        <w:t xml:space="preserve"> La Comisión de Vigilancia del Órgano Superior de Fiscalización recomienda al Pleno calificar y aprobar, en lo general y en lo particular, las Cuentas Públicas del Ejercicio Fiscal del año 2024 de los municipios y sus organismos descentralizados. La aprobación </w:t>
      </w:r>
      <w:r w:rsidRPr="007A27A5">
        <w:rPr>
          <w:rFonts w:ascii="Times New Roman" w:eastAsia="Aptos" w:hAnsi="Times New Roman" w:cs="Times New Roman"/>
          <w:kern w:val="2"/>
          <w:sz w:val="24"/>
          <w:szCs w:val="24"/>
          <w14:ligatures w14:val="standardContextual"/>
        </w:rPr>
        <w:lastRenderedPageBreak/>
        <w:t xml:space="preserve">de las Cuentas no suspende el trámite de las acciones promovidas por el Órgano Superior de Fiscalización del Estado de México. </w:t>
      </w:r>
    </w:p>
    <w:p w:rsidR="008A0ED6" w:rsidRPr="007A27A5" w:rsidRDefault="008A0ED6" w:rsidP="001936D3">
      <w:pPr>
        <w:spacing w:after="0" w:line="240" w:lineRule="auto"/>
        <w:contextualSpacing/>
        <w:jc w:val="both"/>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QUINTO.</w:t>
      </w:r>
      <w:r w:rsidRPr="007A27A5">
        <w:rPr>
          <w:rFonts w:ascii="Times New Roman" w:eastAsia="Aptos" w:hAnsi="Times New Roman" w:cs="Times New Roman"/>
          <w:kern w:val="2"/>
          <w:sz w:val="24"/>
          <w:szCs w:val="24"/>
          <w14:ligatures w14:val="standardContextual"/>
        </w:rPr>
        <w:t xml:space="preserve"> La revisión, fiscalización y calificación de las Cuentas Públicas del Ejercicio Fiscal del año 2024 de los municipios y sus organismos descentralizados no implica liberación de responsabilidades que pudieran llegarse a determinar con posterioridad por las autoridades de control y/o fiscalización federales o estatales que efectúen en el ámbito de su competencia; o bien, de aquellas que pudieran resultar de diversas auditorías o revisiones que en ejercicio de sus atribuciones realice el órgano técnico, al mismo período o períodos diferentes, de conformidad con lo establecido en el artículo 74 de la Ley de Fiscalización Superior del Estado de México y otras disposiciones jurídicas aplicables.</w:t>
      </w:r>
    </w:p>
    <w:p w:rsidR="008A0ED6" w:rsidRPr="007A27A5" w:rsidRDefault="008A0ED6"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Dado en el Palacio del Poder Legislativo, en la ciudad de Toluca de Lerdo, Capital del Estado de México, a los dieciocho días del mes de noviembre del dos mil veinticinco.</w:t>
      </w:r>
    </w:p>
    <w:p w:rsidR="00603E6D" w:rsidRPr="007A27A5" w:rsidRDefault="00603E6D" w:rsidP="001936D3">
      <w:pPr>
        <w:spacing w:after="0" w:line="240" w:lineRule="auto"/>
        <w:contextualSpacing/>
        <w:rPr>
          <w:rFonts w:ascii="Times New Roman" w:eastAsia="Aptos" w:hAnsi="Times New Roman" w:cs="Times New Roman"/>
          <w:kern w:val="2"/>
          <w:sz w:val="24"/>
          <w:szCs w:val="24"/>
          <w14:ligatures w14:val="standardContextual"/>
        </w:rPr>
      </w:pPr>
    </w:p>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LISTA DE VOTACIÓN</w:t>
      </w:r>
    </w:p>
    <w:p w:rsidR="008A0ED6" w:rsidRPr="007A27A5" w:rsidRDefault="008A0ED6" w:rsidP="001936D3">
      <w:pPr>
        <w:spacing w:after="0" w:line="240" w:lineRule="auto"/>
        <w:contextualSpacing/>
        <w:rPr>
          <w:rFonts w:ascii="Times New Roman" w:eastAsia="Aptos" w:hAnsi="Times New Roman" w:cs="Times New Roman"/>
          <w:b/>
          <w:kern w:val="2"/>
          <w:sz w:val="24"/>
          <w:szCs w:val="24"/>
          <w14:ligatures w14:val="standardContextual"/>
        </w:rPr>
      </w:pPr>
    </w:p>
    <w:p w:rsidR="008A0ED6" w:rsidRPr="007A27A5" w:rsidRDefault="008A0ED6" w:rsidP="001936D3">
      <w:pPr>
        <w:spacing w:after="0" w:line="240" w:lineRule="auto"/>
        <w:contextualSpacing/>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FECHA: </w:t>
      </w:r>
      <w:r w:rsidRPr="007A27A5">
        <w:rPr>
          <w:rFonts w:ascii="Times New Roman" w:eastAsia="Aptos" w:hAnsi="Times New Roman" w:cs="Times New Roman"/>
          <w:kern w:val="2"/>
          <w:sz w:val="24"/>
          <w:szCs w:val="24"/>
          <w14:ligatures w14:val="standardContextual"/>
        </w:rPr>
        <w:t>18/NOVIEMBRE/2025</w:t>
      </w:r>
    </w:p>
    <w:p w:rsidR="008A0ED6" w:rsidRPr="007A27A5" w:rsidRDefault="008A0ED6" w:rsidP="001936D3">
      <w:pPr>
        <w:spacing w:after="0" w:line="240" w:lineRule="auto"/>
        <w:contextualSpacing/>
        <w:jc w:val="both"/>
        <w:rPr>
          <w:rFonts w:ascii="Times New Roman" w:eastAsia="Aptos" w:hAnsi="Times New Roman" w:cs="Times New Roman"/>
          <w:bCs/>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ASUNTO:</w:t>
      </w:r>
      <w:r w:rsidRPr="007A27A5">
        <w:rPr>
          <w:rFonts w:ascii="Times New Roman" w:eastAsia="Aptos" w:hAnsi="Times New Roman" w:cs="Times New Roman"/>
          <w:kern w:val="2"/>
          <w:sz w:val="24"/>
          <w:szCs w:val="24"/>
          <w14:ligatures w14:val="standardContextual"/>
        </w:rPr>
        <w:t xml:space="preserve"> </w:t>
      </w:r>
      <w:r w:rsidRPr="007A27A5">
        <w:rPr>
          <w:rFonts w:ascii="Times New Roman" w:eastAsia="Aptos" w:hAnsi="Times New Roman" w:cs="Times New Roman"/>
          <w:bCs/>
          <w:kern w:val="2"/>
          <w:sz w:val="24"/>
          <w:szCs w:val="24"/>
          <w14:ligatures w14:val="standardContextual"/>
        </w:rPr>
        <w:t>DICTAMEN DE LA CUENTA PÚBLICA DEL EJERCICIO FISCAL DEL AÑO 2024 DE LOS MUNICIPIOS Y SUS ORGANISMOS DESCENTRALIZADOS DEL ESTADO DE MÉXICO.</w:t>
      </w:r>
    </w:p>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COMISIÓN LEGISLATIVA DE</w:t>
      </w:r>
    </w:p>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VIGILANCIA DEL ÓRGANO SUPERIOR DE FISCALIZACIÓN </w:t>
      </w:r>
    </w:p>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bl>
      <w:tblPr>
        <w:tblW w:w="9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7"/>
        <w:gridCol w:w="2924"/>
        <w:gridCol w:w="1994"/>
        <w:gridCol w:w="1863"/>
      </w:tblGrid>
      <w:tr w:rsidR="008A0ED6" w:rsidRPr="007A27A5" w:rsidTr="00603E6D">
        <w:trPr>
          <w:trHeight w:val="19"/>
          <w:tblHeader/>
          <w:jc w:val="center"/>
        </w:trPr>
        <w:tc>
          <w:tcPr>
            <w:tcW w:w="265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DIPUTADA(O)</w:t>
            </w:r>
          </w:p>
        </w:tc>
        <w:tc>
          <w:tcPr>
            <w:tcW w:w="6781" w:type="dxa"/>
            <w:gridSpan w:val="3"/>
            <w:tcBorders>
              <w:top w:val="single" w:sz="4" w:space="0" w:color="auto"/>
              <w:left w:val="single" w:sz="4" w:space="0" w:color="auto"/>
              <w:bottom w:val="single" w:sz="4" w:space="0" w:color="auto"/>
              <w:right w:val="single" w:sz="4" w:space="0" w:color="auto"/>
            </w:tcBorders>
            <w:shd w:val="clear" w:color="auto" w:fill="D9D9D9"/>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FIRMA</w:t>
            </w:r>
          </w:p>
        </w:tc>
      </w:tr>
      <w:tr w:rsidR="008A0ED6" w:rsidRPr="007A27A5" w:rsidTr="00603E6D">
        <w:trPr>
          <w:trHeight w:val="19"/>
          <w:tblHeader/>
          <w:jc w:val="center"/>
        </w:trPr>
        <w:tc>
          <w:tcPr>
            <w:tcW w:w="2657" w:type="dxa"/>
            <w:vMerge/>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rPr>
                <w:rFonts w:ascii="Times New Roman" w:eastAsia="Aptos" w:hAnsi="Times New Roman" w:cs="Times New Roman"/>
                <w:b/>
                <w:kern w:val="2"/>
                <w:sz w:val="24"/>
                <w:szCs w:val="24"/>
                <w14:ligatures w14:val="standardContextual"/>
              </w:rPr>
            </w:pPr>
          </w:p>
        </w:tc>
        <w:tc>
          <w:tcPr>
            <w:tcW w:w="2924" w:type="dxa"/>
            <w:tcBorders>
              <w:top w:val="single" w:sz="4" w:space="0" w:color="auto"/>
              <w:left w:val="single" w:sz="4" w:space="0" w:color="auto"/>
              <w:bottom w:val="single" w:sz="4" w:space="0" w:color="auto"/>
              <w:right w:val="single" w:sz="4" w:space="0" w:color="auto"/>
            </w:tcBorders>
            <w:shd w:val="clear" w:color="auto" w:fill="D9D9D9"/>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A FAVOR</w:t>
            </w:r>
          </w:p>
        </w:tc>
        <w:tc>
          <w:tcPr>
            <w:tcW w:w="1994" w:type="dxa"/>
            <w:tcBorders>
              <w:top w:val="single" w:sz="4" w:space="0" w:color="auto"/>
              <w:left w:val="single" w:sz="4" w:space="0" w:color="auto"/>
              <w:bottom w:val="single" w:sz="4" w:space="0" w:color="auto"/>
              <w:right w:val="single" w:sz="4" w:space="0" w:color="auto"/>
            </w:tcBorders>
            <w:shd w:val="clear" w:color="auto" w:fill="D9D9D9"/>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EN CONTRA</w:t>
            </w:r>
          </w:p>
        </w:tc>
        <w:tc>
          <w:tcPr>
            <w:tcW w:w="1862" w:type="dxa"/>
            <w:tcBorders>
              <w:top w:val="single" w:sz="4" w:space="0" w:color="auto"/>
              <w:left w:val="single" w:sz="4" w:space="0" w:color="auto"/>
              <w:bottom w:val="single" w:sz="4" w:space="0" w:color="auto"/>
              <w:right w:val="single" w:sz="4" w:space="0" w:color="auto"/>
            </w:tcBorders>
            <w:shd w:val="clear" w:color="auto" w:fill="D9D9D9"/>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ABSTENCIÓN</w:t>
            </w: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Presidenta</w:t>
            </w:r>
          </w:p>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kern w:val="2"/>
                <w:sz w:val="24"/>
                <w:szCs w:val="24"/>
                <w14:ligatures w14:val="standardContextual"/>
              </w:rPr>
              <w:t>Dip. Arleth Stephanie Grimaldo Osorio</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Secretario</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Héctor Raúl </w:t>
            </w:r>
          </w:p>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kern w:val="2"/>
                <w:sz w:val="24"/>
                <w:szCs w:val="24"/>
                <w14:ligatures w14:val="standardContextual"/>
              </w:rPr>
              <w:t>García González</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lang w:eastAsia="es-MX"/>
                <w14:ligatures w14:val="standardContextual"/>
              </w:rPr>
            </w:pPr>
            <w:r w:rsidRPr="007A27A5">
              <w:rPr>
                <w:rFonts w:ascii="Times New Roman" w:eastAsia="Aptos" w:hAnsi="Times New Roman" w:cs="Times New Roman"/>
                <w:b/>
                <w:kern w:val="2"/>
                <w:sz w:val="24"/>
                <w:szCs w:val="24"/>
                <w14:ligatures w14:val="standardContextual"/>
              </w:rPr>
              <w:t>Prosecretaria</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Sofía </w:t>
            </w:r>
          </w:p>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kern w:val="2"/>
                <w:sz w:val="24"/>
                <w:szCs w:val="24"/>
                <w14:ligatures w14:val="standardContextual"/>
              </w:rPr>
              <w:t>Martínez Molina</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kern w:val="2"/>
                <w:sz w:val="24"/>
                <w:szCs w:val="24"/>
                <w14:ligatures w14:val="standardContextual"/>
              </w:rPr>
              <w:t>Dip. Carlos Antonio Martínez Zurita Trejo</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Vladimir </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Hernández Villegas</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Samuel </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Hernández Cruz</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Dip. Itzel Daniela Ballesteros Lule</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Gerardo </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Pliego Santana</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Dip. Héctor Karim Carvallo Delfín</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lastRenderedPageBreak/>
              <w:t xml:space="preserve">Dip. Alejandro </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Castro Hernández</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Anuar Roberto </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Azar Figueroa</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Ruth </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Salinas Reyes</w:t>
            </w:r>
          </w:p>
        </w:tc>
        <w:tc>
          <w:tcPr>
            <w:tcW w:w="292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r w:rsidR="008A0ED6" w:rsidRPr="007A27A5" w:rsidTr="00603E6D">
        <w:trPr>
          <w:trHeight w:val="19"/>
          <w:jc w:val="center"/>
        </w:trPr>
        <w:tc>
          <w:tcPr>
            <w:tcW w:w="2657"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 xml:space="preserve">Dip. Araceli </w:t>
            </w:r>
          </w:p>
          <w:p w:rsidR="008A0ED6" w:rsidRPr="007A27A5" w:rsidRDefault="008A0ED6" w:rsidP="001936D3">
            <w:pPr>
              <w:spacing w:after="0" w:line="240" w:lineRule="auto"/>
              <w:contextualSpacing/>
              <w:jc w:val="center"/>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Casasola Salazar</w:t>
            </w:r>
          </w:p>
        </w:tc>
        <w:tc>
          <w:tcPr>
            <w:tcW w:w="2924" w:type="dxa"/>
            <w:tcBorders>
              <w:top w:val="single" w:sz="4" w:space="0" w:color="auto"/>
              <w:left w:val="single" w:sz="4" w:space="0" w:color="auto"/>
              <w:bottom w:val="single" w:sz="4" w:space="0" w:color="auto"/>
              <w:right w:val="single" w:sz="4" w:space="0" w:color="auto"/>
            </w:tcBorders>
            <w:vAlign w:val="center"/>
            <w:hideMark/>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w:t>
            </w:r>
          </w:p>
        </w:tc>
        <w:tc>
          <w:tcPr>
            <w:tcW w:w="1994"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c>
          <w:tcPr>
            <w:tcW w:w="1862" w:type="dxa"/>
            <w:tcBorders>
              <w:top w:val="single" w:sz="4" w:space="0" w:color="auto"/>
              <w:left w:val="single" w:sz="4" w:space="0" w:color="auto"/>
              <w:bottom w:val="single" w:sz="4" w:space="0" w:color="auto"/>
              <w:right w:val="single" w:sz="4" w:space="0" w:color="auto"/>
            </w:tcBorders>
            <w:vAlign w:val="center"/>
          </w:tcPr>
          <w:p w:rsidR="008A0ED6" w:rsidRPr="007A27A5" w:rsidRDefault="008A0ED6" w:rsidP="001936D3">
            <w:pPr>
              <w:spacing w:after="0" w:line="240" w:lineRule="auto"/>
              <w:contextualSpacing/>
              <w:jc w:val="center"/>
              <w:rPr>
                <w:rFonts w:ascii="Times New Roman" w:eastAsia="Aptos" w:hAnsi="Times New Roman" w:cs="Times New Roman"/>
                <w:b/>
                <w:kern w:val="2"/>
                <w:sz w:val="24"/>
                <w:szCs w:val="24"/>
                <w14:ligatures w14:val="standardContextual"/>
              </w:rPr>
            </w:pPr>
          </w:p>
        </w:tc>
      </w:tr>
    </w:tbl>
    <w:p w:rsidR="008A0ED6" w:rsidRPr="007A27A5" w:rsidRDefault="008A0ED6" w:rsidP="001936D3">
      <w:pPr>
        <w:spacing w:after="0" w:line="240" w:lineRule="auto"/>
        <w:rPr>
          <w:rFonts w:ascii="Times New Roman" w:eastAsia="Aptos" w:hAnsi="Times New Roman" w:cs="Times New Roman"/>
          <w:b/>
          <w:bCs/>
          <w:kern w:val="2"/>
          <w:sz w:val="24"/>
          <w:szCs w:val="24"/>
          <w14:ligatures w14:val="standardContextual"/>
        </w:rPr>
      </w:pPr>
    </w:p>
    <w:p w:rsidR="008A0ED6" w:rsidRPr="007A27A5" w:rsidRDefault="008A0ED6" w:rsidP="001936D3">
      <w:pPr>
        <w:spacing w:after="0" w:line="240" w:lineRule="auto"/>
        <w:rPr>
          <w:rFonts w:ascii="Times New Roman" w:eastAsia="Aptos" w:hAnsi="Times New Roman" w:cs="Times New Roman"/>
          <w:b/>
          <w:bCs/>
          <w:kern w:val="2"/>
          <w:sz w:val="24"/>
          <w:szCs w:val="24"/>
          <w14:ligatures w14:val="standardContextual"/>
        </w:rPr>
      </w:pPr>
    </w:p>
    <w:p w:rsidR="00603E6D" w:rsidRPr="007A27A5" w:rsidRDefault="00603E6D" w:rsidP="001936D3">
      <w:pPr>
        <w:spacing w:after="0" w:line="240" w:lineRule="auto"/>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DECRETO NÚMERO</w:t>
      </w:r>
    </w:p>
    <w:p w:rsidR="00603E6D" w:rsidRPr="007A27A5" w:rsidRDefault="00603E6D" w:rsidP="001936D3">
      <w:pPr>
        <w:spacing w:after="0" w:line="240" w:lineRule="auto"/>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LA H. “LXII” LEGISLATURA </w:t>
      </w:r>
    </w:p>
    <w:p w:rsidR="00603E6D" w:rsidRPr="007A27A5" w:rsidRDefault="00603E6D" w:rsidP="001936D3">
      <w:pPr>
        <w:spacing w:after="0" w:line="240" w:lineRule="auto"/>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DEL ESTADO DE MÉXICO</w:t>
      </w:r>
    </w:p>
    <w:p w:rsidR="00603E6D" w:rsidRPr="007A27A5" w:rsidRDefault="00603E6D" w:rsidP="001936D3">
      <w:pPr>
        <w:spacing w:after="0" w:line="240" w:lineRule="auto"/>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DECRETA:</w:t>
      </w:r>
    </w:p>
    <w:p w:rsidR="00603E6D" w:rsidRPr="007A27A5" w:rsidRDefault="00603E6D" w:rsidP="001936D3">
      <w:pPr>
        <w:spacing w:after="0" w:line="240" w:lineRule="auto"/>
        <w:contextualSpacing/>
        <w:jc w:val="both"/>
        <w:rPr>
          <w:rFonts w:ascii="Times New Roman" w:eastAsia="Aptos" w:hAnsi="Times New Roman" w:cs="Times New Roman"/>
          <w:b/>
          <w:bCs/>
          <w:kern w:val="2"/>
          <w:sz w:val="24"/>
          <w:szCs w:val="24"/>
          <w14:ligatures w14:val="standardContextual"/>
        </w:rPr>
      </w:pP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PRIMERO.</w:t>
      </w:r>
      <w:r w:rsidRPr="007A27A5">
        <w:rPr>
          <w:rFonts w:ascii="Times New Roman" w:eastAsia="Aptos" w:hAnsi="Times New Roman" w:cs="Times New Roman"/>
          <w:kern w:val="2"/>
          <w:sz w:val="24"/>
          <w:szCs w:val="24"/>
          <w14:ligatures w14:val="standardContextual"/>
        </w:rPr>
        <w:t xml:space="preserve"> Las Cuentas Públicas del Ejercicio Fiscal del </w:t>
      </w:r>
      <w:r w:rsidRPr="007A27A5">
        <w:rPr>
          <w:rFonts w:ascii="Times New Roman" w:eastAsia="Aptos" w:hAnsi="Times New Roman" w:cs="Times New Roman"/>
          <w:color w:val="000000"/>
          <w:kern w:val="2"/>
          <w:sz w:val="24"/>
          <w:szCs w:val="24"/>
          <w14:ligatures w14:val="standardContextual"/>
        </w:rPr>
        <w:t xml:space="preserve">año 2024 de los </w:t>
      </w:r>
      <w:r w:rsidRPr="007A27A5">
        <w:rPr>
          <w:rFonts w:ascii="Times New Roman" w:eastAsia="Aptos" w:hAnsi="Times New Roman" w:cs="Times New Roman"/>
          <w:kern w:val="2"/>
          <w:sz w:val="24"/>
          <w:szCs w:val="24"/>
          <w14:ligatures w14:val="standardContextual"/>
        </w:rPr>
        <w:t>municipios y sus organismos descentralizados se presentaron en cumplimiento de los mandatos constitucionales y legales aplicables.</w:t>
      </w: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SEGUNDO.</w:t>
      </w:r>
      <w:r w:rsidRPr="007A27A5">
        <w:rPr>
          <w:rFonts w:ascii="Times New Roman" w:eastAsia="Aptos" w:hAnsi="Times New Roman" w:cs="Times New Roman"/>
          <w:kern w:val="2"/>
          <w:sz w:val="24"/>
          <w:szCs w:val="24"/>
          <w14:ligatures w14:val="standardContextual"/>
        </w:rPr>
        <w:t xml:space="preserve"> El Órgano Superior de Fiscalización del Estado de México deberá informar a la Comisión Legislativa de Vigilancia del Órgano Superior de Fiscalización, los resultados de la etapa de aclaración, contemplada en el artículo 54 de la Ley de Fiscalización Superior del Estado de México.</w:t>
      </w: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TERCERO.</w:t>
      </w:r>
      <w:r w:rsidRPr="007A27A5">
        <w:rPr>
          <w:rFonts w:ascii="Times New Roman" w:eastAsia="Aptos" w:hAnsi="Times New Roman" w:cs="Times New Roman"/>
          <w:kern w:val="2"/>
          <w:sz w:val="24"/>
          <w:szCs w:val="24"/>
          <w14:ligatures w14:val="standardContextual"/>
        </w:rPr>
        <w:t xml:space="preserve"> Las Cuentas Públicas del Ejercicio Fiscal del año 2024, de los municipios y sus organismos descentralizados, se tienen por fiscalizadas y revisadas por el Órgano Superior de Fiscalización del Estado de México y analizadas por la Comisión Legislativa de Vigilancia del Órgano Superior de Fiscalización. </w:t>
      </w: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CUARTO.</w:t>
      </w:r>
      <w:r w:rsidRPr="007A27A5">
        <w:rPr>
          <w:rFonts w:ascii="Times New Roman" w:eastAsia="Aptos" w:hAnsi="Times New Roman" w:cs="Times New Roman"/>
          <w:kern w:val="2"/>
          <w:sz w:val="24"/>
          <w:szCs w:val="24"/>
          <w14:ligatures w14:val="standardContextual"/>
        </w:rPr>
        <w:t xml:space="preserve"> La Comisión Legislativa de Vigilancia del Órgano Superior de Fiscalización recomienda al Pleno calificar y aprobar, en lo general y en lo particular, la Cuenta Pública del Ejercicio Fiscal del año 2024 de los municipios y sus organismos descentralizados. La aprobación de las Cuentas no suspende el trámite de las acciones promovidas por el Órgano Superior de Fiscalización del Estado de México.</w:t>
      </w: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QUINTO.</w:t>
      </w:r>
      <w:r w:rsidRPr="007A27A5">
        <w:rPr>
          <w:rFonts w:ascii="Times New Roman" w:eastAsia="Aptos" w:hAnsi="Times New Roman" w:cs="Times New Roman"/>
          <w:kern w:val="2"/>
          <w:sz w:val="24"/>
          <w:szCs w:val="24"/>
          <w14:ligatures w14:val="standardContextual"/>
        </w:rPr>
        <w:t xml:space="preserve"> La revisión, fiscalización y calificación de las Cuentas Públicas del Ejercicio Fiscal del año 2024 de los municipios y sus organismos descentralizados no implica liberación de responsabilidades que pudieran llegarse a determinar con posterioridad por las autoridades de control y/o fiscalización federales o estatales que efectúen en el ámbito de su competencia; o bien, de aquellas que pudieran resultar de diversas auditorías o revisiones que en ejercicio de sus atribuciones realice el órgano técnico, al mismo período o períodos diferentes, de conformidad con lo establecido en el artículo 74 de la Ley de Fiscalización Superior del Estado de México y otras disposiciones jurídicas aplicables.</w:t>
      </w: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603E6D" w:rsidRPr="007A27A5" w:rsidRDefault="00603E6D" w:rsidP="001936D3">
      <w:pPr>
        <w:spacing w:after="0" w:line="240" w:lineRule="auto"/>
        <w:contextualSpacing/>
        <w:jc w:val="center"/>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T R A N S I T O R I O S</w:t>
      </w:r>
    </w:p>
    <w:p w:rsidR="00603E6D" w:rsidRPr="007A27A5" w:rsidRDefault="00603E6D" w:rsidP="001936D3">
      <w:pPr>
        <w:spacing w:after="0" w:line="240" w:lineRule="auto"/>
        <w:contextualSpacing/>
        <w:jc w:val="center"/>
        <w:rPr>
          <w:rFonts w:ascii="Times New Roman" w:eastAsia="Aptos" w:hAnsi="Times New Roman" w:cs="Times New Roman"/>
          <w:b/>
          <w:bCs/>
          <w:kern w:val="2"/>
          <w:sz w:val="24"/>
          <w:szCs w:val="24"/>
          <w14:ligatures w14:val="standardContextual"/>
        </w:rPr>
      </w:pP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lastRenderedPageBreak/>
        <w:t xml:space="preserve">ARTÍCULO PRIMERO.- </w:t>
      </w:r>
      <w:r w:rsidRPr="007A27A5">
        <w:rPr>
          <w:rFonts w:ascii="Times New Roman" w:eastAsia="Aptos" w:hAnsi="Times New Roman" w:cs="Times New Roman"/>
          <w:kern w:val="2"/>
          <w:sz w:val="24"/>
          <w:szCs w:val="24"/>
          <w14:ligatures w14:val="standardContextual"/>
        </w:rPr>
        <w:t>Publíquese el presente Decreto en el Periódico Oficial "Gaceta del Gobierno".</w:t>
      </w: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ARTÍCULO SEGUNDO.-</w:t>
      </w:r>
      <w:r w:rsidRPr="007A27A5">
        <w:rPr>
          <w:rFonts w:ascii="Times New Roman" w:eastAsia="Aptos" w:hAnsi="Times New Roman" w:cs="Times New Roman"/>
          <w:kern w:val="2"/>
          <w:sz w:val="24"/>
          <w:szCs w:val="24"/>
          <w14:ligatures w14:val="standardContextual"/>
        </w:rPr>
        <w:t xml:space="preserve"> El presente Decreto entrará en vigor al día hábil siguiente de su publicación en el Periódico Oficial "Gaceta del Gobierno".</w:t>
      </w:r>
    </w:p>
    <w:p w:rsidR="00603E6D" w:rsidRPr="007A27A5" w:rsidRDefault="00603E6D" w:rsidP="001936D3">
      <w:pPr>
        <w:spacing w:after="0" w:line="240" w:lineRule="auto"/>
        <w:contextualSpacing/>
        <w:jc w:val="both"/>
        <w:rPr>
          <w:rFonts w:ascii="Times New Roman" w:eastAsia="Aptos" w:hAnsi="Times New Roman" w:cs="Times New Roman"/>
          <w:kern w:val="2"/>
          <w:sz w:val="24"/>
          <w:szCs w:val="24"/>
          <w14:ligatures w14:val="standardContextual"/>
        </w:rPr>
      </w:pPr>
    </w:p>
    <w:p w:rsidR="00603E6D" w:rsidRPr="007A27A5" w:rsidRDefault="00603E6D" w:rsidP="001936D3">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Lo tendrá entendido la Gobernadora del Estado, haciendo que se publique y se cumpla.</w:t>
      </w:r>
    </w:p>
    <w:p w:rsidR="00603E6D" w:rsidRPr="007A27A5" w:rsidRDefault="00603E6D" w:rsidP="001936D3">
      <w:pPr>
        <w:spacing w:after="0" w:line="240" w:lineRule="auto"/>
        <w:jc w:val="both"/>
        <w:rPr>
          <w:rFonts w:ascii="Times New Roman" w:eastAsia="Aptos" w:hAnsi="Times New Roman" w:cs="Times New Roman"/>
          <w:b/>
          <w:bCs/>
          <w:kern w:val="2"/>
          <w:sz w:val="24"/>
          <w:szCs w:val="24"/>
          <w14:ligatures w14:val="standardContextual"/>
        </w:rPr>
      </w:pPr>
    </w:p>
    <w:p w:rsidR="00603E6D" w:rsidRPr="007A27A5" w:rsidRDefault="00603E6D" w:rsidP="001936D3">
      <w:pPr>
        <w:spacing w:after="0" w:line="240" w:lineRule="auto"/>
        <w:jc w:val="both"/>
        <w:rPr>
          <w:rFonts w:ascii="Times New Roman" w:eastAsia="Aptos" w:hAnsi="Times New Roman" w:cs="Times New Roman"/>
          <w:bCs/>
          <w:kern w:val="2"/>
          <w:sz w:val="24"/>
          <w:szCs w:val="24"/>
          <w14:ligatures w14:val="standardContextual"/>
        </w:rPr>
      </w:pPr>
      <w:r w:rsidRPr="007A27A5">
        <w:rPr>
          <w:rFonts w:ascii="Times New Roman" w:eastAsia="Aptos" w:hAnsi="Times New Roman" w:cs="Times New Roman"/>
          <w:bCs/>
          <w:kern w:val="2"/>
          <w:sz w:val="24"/>
          <w:szCs w:val="24"/>
          <w14:ligatures w14:val="standardContextual"/>
        </w:rPr>
        <w:t>Dado en el Palacio del Poder Legislativo, en la ciudad de Toluca de Lerdo, Capital del Estado de México, a los diecinueve días del mes de noviembre del dos mil veinticinco.</w:t>
      </w: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PRESIDENTA</w:t>
      </w: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DIP. MARTHA AZUCENA CAMACHO REYNOSO </w:t>
      </w: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SECRETARIAS</w:t>
      </w: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DIP. BRENDA COLETTE MIRANDA VARGAS</w:t>
      </w:r>
    </w:p>
    <w:tbl>
      <w:tblPr>
        <w:tblW w:w="0" w:type="auto"/>
        <w:jc w:val="center"/>
        <w:tblLook w:val="04A0" w:firstRow="1" w:lastRow="0" w:firstColumn="1" w:lastColumn="0" w:noHBand="0" w:noVBand="1"/>
      </w:tblPr>
      <w:tblGrid>
        <w:gridCol w:w="4862"/>
        <w:gridCol w:w="4543"/>
      </w:tblGrid>
      <w:tr w:rsidR="00603E6D" w:rsidRPr="007A27A5" w:rsidTr="001936D3">
        <w:trPr>
          <w:jc w:val="center"/>
        </w:trPr>
        <w:tc>
          <w:tcPr>
            <w:tcW w:w="4862" w:type="dxa"/>
            <w:shd w:val="clear" w:color="auto" w:fill="auto"/>
          </w:tcPr>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DIP. EMMA LAURA </w:t>
            </w: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ALVAREZ VILLAVICENCIO </w:t>
            </w: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p>
        </w:tc>
        <w:tc>
          <w:tcPr>
            <w:tcW w:w="4543" w:type="dxa"/>
            <w:shd w:val="clear" w:color="auto" w:fill="auto"/>
          </w:tcPr>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DIP. MARICELA </w:t>
            </w: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 xml:space="preserve">BELTRÁN SÁNCHEZ </w:t>
            </w:r>
          </w:p>
          <w:p w:rsidR="00603E6D" w:rsidRPr="007A27A5" w:rsidRDefault="00603E6D" w:rsidP="001936D3">
            <w:pPr>
              <w:spacing w:after="0" w:line="240" w:lineRule="auto"/>
              <w:jc w:val="center"/>
              <w:rPr>
                <w:rFonts w:ascii="Times New Roman" w:eastAsia="Aptos" w:hAnsi="Times New Roman" w:cs="Times New Roman"/>
                <w:b/>
                <w:kern w:val="2"/>
                <w:sz w:val="24"/>
                <w:szCs w:val="24"/>
                <w14:ligatures w14:val="standardContextual"/>
              </w:rPr>
            </w:pPr>
          </w:p>
        </w:tc>
      </w:tr>
    </w:tbl>
    <w:p w:rsidR="008A0ED6" w:rsidRPr="007A27A5" w:rsidRDefault="008A0ED6" w:rsidP="001936D3">
      <w:pPr>
        <w:spacing w:after="0" w:line="240" w:lineRule="auto"/>
        <w:jc w:val="center"/>
        <w:rPr>
          <w:rFonts w:ascii="Times New Roman" w:hAnsi="Times New Roman" w:cs="Times New Roman"/>
          <w:sz w:val="24"/>
          <w:szCs w:val="24"/>
        </w:rPr>
      </w:pPr>
    </w:p>
    <w:p w:rsidR="008A0ED6" w:rsidRPr="007A27A5" w:rsidRDefault="008A0ED6" w:rsidP="001936D3">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(Fin del documento)</w:t>
      </w:r>
    </w:p>
    <w:p w:rsidR="008A0ED6" w:rsidRPr="007A27A5" w:rsidRDefault="008A0ED6" w:rsidP="001936D3">
      <w:pPr>
        <w:spacing w:after="0" w:line="240" w:lineRule="auto"/>
        <w:jc w:val="center"/>
        <w:rPr>
          <w:rFonts w:ascii="Times New Roman" w:hAnsi="Times New Roman" w:cs="Times New Roman"/>
          <w:sz w:val="24"/>
          <w:szCs w:val="24"/>
        </w:rPr>
      </w:pPr>
    </w:p>
    <w:p w:rsidR="001243C5" w:rsidRPr="007A27A5" w:rsidRDefault="001243C5" w:rsidP="00B54AF5">
      <w:pPr>
        <w:pStyle w:val="Sinespaciado"/>
        <w:rPr>
          <w:color w:val="000000" w:themeColor="text1"/>
        </w:rPr>
      </w:pPr>
      <w:r w:rsidRPr="007A27A5">
        <w:rPr>
          <w:color w:val="000000" w:themeColor="text1"/>
        </w:rPr>
        <w:t>PRESIDENTA DIP. MARTHA AZUCENA CAMACHO REYNOSO. Leído el dictamen con sus antecedentes, pido a quienes estén por su turno a discusión, se sirva levantar la mano. SECRETARIA DIP. BRENDA COLETTE MIRANDA VARGAS. La propuesta ha sido aprobada por unanimidad de votos.</w:t>
      </w:r>
    </w:p>
    <w:p w:rsidR="005E683F" w:rsidRPr="007A27A5" w:rsidRDefault="001243C5" w:rsidP="00B54AF5">
      <w:pPr>
        <w:pStyle w:val="Sinespaciado"/>
        <w:rPr>
          <w:color w:val="000000" w:themeColor="text1"/>
        </w:rPr>
      </w:pPr>
      <w:r w:rsidRPr="007A27A5">
        <w:rPr>
          <w:color w:val="000000" w:themeColor="text1"/>
        </w:rPr>
        <w:t>PRESIDENTA DIP. MARTHA AZUCENA CAMACHO REYNOSO. Gracias.</w:t>
      </w:r>
    </w:p>
    <w:p w:rsidR="005E683F" w:rsidRPr="007A27A5" w:rsidRDefault="001243C5" w:rsidP="00163EE4">
      <w:pPr>
        <w:pStyle w:val="Sinespaciado"/>
        <w:ind w:firstLine="709"/>
        <w:rPr>
          <w:color w:val="000000" w:themeColor="text1"/>
        </w:rPr>
      </w:pPr>
      <w:r w:rsidRPr="007A27A5">
        <w:rPr>
          <w:color w:val="000000" w:themeColor="text1"/>
        </w:rPr>
        <w:t>Abro la discusión en lo general y pregunto a las diputadas y los diputados y le diputade si desean hacer uso de la palabra.</w:t>
      </w:r>
    </w:p>
    <w:p w:rsidR="001243C5" w:rsidRPr="007A27A5" w:rsidRDefault="001243C5" w:rsidP="00163EE4">
      <w:pPr>
        <w:pStyle w:val="Sinespaciado"/>
        <w:ind w:firstLine="709"/>
        <w:rPr>
          <w:color w:val="000000" w:themeColor="text1"/>
        </w:rPr>
      </w:pPr>
      <w:r w:rsidRPr="007A27A5">
        <w:rPr>
          <w:color w:val="000000" w:themeColor="text1"/>
        </w:rPr>
        <w:t>Para recabar la votación en lo general, pido a la Secretaría abra el sistema de votación hasta por dos minutos, si alguien desea separar algún artículo en lo particular, sírvase comentarlo.</w:t>
      </w:r>
    </w:p>
    <w:p w:rsidR="001243C5" w:rsidRPr="007A27A5" w:rsidRDefault="001243C5" w:rsidP="00B54AF5">
      <w:pPr>
        <w:pStyle w:val="Sinespaciado"/>
        <w:rPr>
          <w:color w:val="000000" w:themeColor="text1"/>
        </w:rPr>
      </w:pPr>
      <w:r w:rsidRPr="007A27A5">
        <w:rPr>
          <w:color w:val="000000" w:themeColor="text1"/>
        </w:rPr>
        <w:t>SECRETARIA DIP. BRENDA COLETTE MIRANDA VARGAS. Ábrase el sistema de votación hasta por dos minutos.</w:t>
      </w:r>
    </w:p>
    <w:p w:rsidR="001243C5" w:rsidRPr="007A27A5" w:rsidRDefault="001243C5" w:rsidP="00B54AF5">
      <w:pPr>
        <w:pStyle w:val="Sinespaciado"/>
        <w:jc w:val="center"/>
        <w:rPr>
          <w:i/>
          <w:color w:val="000000" w:themeColor="text1"/>
        </w:rPr>
      </w:pPr>
      <w:r w:rsidRPr="007A27A5">
        <w:rPr>
          <w:i/>
          <w:color w:val="000000" w:themeColor="text1"/>
        </w:rPr>
        <w:t>(Votación nominal)</w:t>
      </w:r>
    </w:p>
    <w:p w:rsidR="001243C5" w:rsidRPr="007A27A5" w:rsidRDefault="001243C5" w:rsidP="00B54AF5">
      <w:pPr>
        <w:pStyle w:val="Sinespaciado"/>
        <w:rPr>
          <w:color w:val="000000" w:themeColor="text1"/>
        </w:rPr>
      </w:pPr>
      <w:r w:rsidRPr="007A27A5">
        <w:rPr>
          <w:color w:val="000000" w:themeColor="text1"/>
        </w:rPr>
        <w:t>SECRETARIA DIP. BRENDA COLETTE MIRANDA VARGAS. Pregunto a esta Legislatura si alguno falta por emitir su voto.</w:t>
      </w:r>
    </w:p>
    <w:p w:rsidR="001243C5" w:rsidRPr="007A27A5" w:rsidRDefault="001243C5" w:rsidP="00163EE4">
      <w:pPr>
        <w:pStyle w:val="Sinespaciado"/>
        <w:ind w:firstLine="709"/>
        <w:rPr>
          <w:color w:val="000000" w:themeColor="text1"/>
        </w:rPr>
      </w:pPr>
      <w:r w:rsidRPr="007A27A5">
        <w:rPr>
          <w:color w:val="000000" w:themeColor="text1"/>
        </w:rPr>
        <w:t xml:space="preserve">El </w:t>
      </w:r>
      <w:r w:rsidR="005D3F2B" w:rsidRPr="007A27A5">
        <w:rPr>
          <w:color w:val="000000" w:themeColor="text1"/>
        </w:rPr>
        <w:t xml:space="preserve">Dictamen </w:t>
      </w:r>
      <w:r w:rsidRPr="007A27A5">
        <w:rPr>
          <w:color w:val="000000" w:themeColor="text1"/>
        </w:rPr>
        <w:t xml:space="preserve">y el </w:t>
      </w:r>
      <w:r w:rsidR="005D3F2B" w:rsidRPr="007A27A5">
        <w:rPr>
          <w:color w:val="000000" w:themeColor="text1"/>
        </w:rPr>
        <w:t xml:space="preserve">Proyecto </w:t>
      </w:r>
      <w:r w:rsidRPr="007A27A5">
        <w:rPr>
          <w:color w:val="000000" w:themeColor="text1"/>
        </w:rPr>
        <w:t xml:space="preserve">de </w:t>
      </w:r>
      <w:r w:rsidR="005D3F2B" w:rsidRPr="007A27A5">
        <w:rPr>
          <w:color w:val="000000" w:themeColor="text1"/>
        </w:rPr>
        <w:t xml:space="preserve">Decreto </w:t>
      </w:r>
      <w:r w:rsidRPr="007A27A5">
        <w:rPr>
          <w:color w:val="000000" w:themeColor="text1"/>
        </w:rPr>
        <w:t>han sido aprobados en lo general por unanimidad de votos.</w:t>
      </w:r>
    </w:p>
    <w:p w:rsidR="00E108C6" w:rsidRPr="007A27A5" w:rsidRDefault="001243C5" w:rsidP="00B54AF5">
      <w:pPr>
        <w:pStyle w:val="Sinespaciado"/>
        <w:rPr>
          <w:color w:val="000000" w:themeColor="text1"/>
        </w:rPr>
      </w:pPr>
      <w:r w:rsidRPr="007A27A5">
        <w:rPr>
          <w:color w:val="000000" w:themeColor="text1"/>
        </w:rPr>
        <w:t>PRESIDENTA DIP. MARTHA AZUCENA CAMACHO REYNOSO. Gracias.</w:t>
      </w:r>
    </w:p>
    <w:p w:rsidR="001243C5" w:rsidRPr="007A27A5" w:rsidRDefault="001243C5" w:rsidP="00163EE4">
      <w:pPr>
        <w:pStyle w:val="Sinespaciado"/>
        <w:ind w:firstLine="709"/>
        <w:rPr>
          <w:color w:val="000000" w:themeColor="text1"/>
        </w:rPr>
      </w:pPr>
      <w:r w:rsidRPr="007A27A5">
        <w:rPr>
          <w:color w:val="000000" w:themeColor="text1"/>
        </w:rPr>
        <w:t xml:space="preserve">Se tienen por aprobados en lo general el </w:t>
      </w:r>
      <w:r w:rsidR="00E108C6" w:rsidRPr="007A27A5">
        <w:rPr>
          <w:color w:val="000000" w:themeColor="text1"/>
        </w:rPr>
        <w:t xml:space="preserve">Dictamen </w:t>
      </w:r>
      <w:r w:rsidRPr="007A27A5">
        <w:rPr>
          <w:color w:val="000000" w:themeColor="text1"/>
        </w:rPr>
        <w:t xml:space="preserve">y el </w:t>
      </w:r>
      <w:r w:rsidR="00E108C6" w:rsidRPr="007A27A5">
        <w:rPr>
          <w:color w:val="000000" w:themeColor="text1"/>
        </w:rPr>
        <w:t xml:space="preserve">Proyecto </w:t>
      </w:r>
      <w:r w:rsidRPr="007A27A5">
        <w:rPr>
          <w:color w:val="000000" w:themeColor="text1"/>
        </w:rPr>
        <w:t xml:space="preserve">de </w:t>
      </w:r>
      <w:r w:rsidR="00E108C6" w:rsidRPr="007A27A5">
        <w:rPr>
          <w:color w:val="000000" w:themeColor="text1"/>
        </w:rPr>
        <w:t>Decreto, s</w:t>
      </w:r>
      <w:r w:rsidRPr="007A27A5">
        <w:rPr>
          <w:color w:val="000000" w:themeColor="text1"/>
        </w:rPr>
        <w:t>e declara también su aprobación en lo particular.</w:t>
      </w:r>
    </w:p>
    <w:p w:rsidR="001243C5" w:rsidRPr="007A27A5" w:rsidRDefault="001243C5" w:rsidP="00163EE4">
      <w:pPr>
        <w:pStyle w:val="Sinespaciado"/>
        <w:ind w:firstLine="709"/>
        <w:rPr>
          <w:color w:val="000000" w:themeColor="text1"/>
        </w:rPr>
      </w:pPr>
      <w:r w:rsidRPr="007A27A5">
        <w:rPr>
          <w:color w:val="000000" w:themeColor="text1"/>
        </w:rPr>
        <w:t xml:space="preserve">En cuanto al punto número 4, la diputada Nelly </w:t>
      </w:r>
      <w:r w:rsidR="00E860CD" w:rsidRPr="007A27A5">
        <w:rPr>
          <w:color w:val="000000" w:themeColor="text1"/>
        </w:rPr>
        <w:t>Brígida</w:t>
      </w:r>
      <w:r w:rsidRPr="007A27A5">
        <w:rPr>
          <w:color w:val="000000" w:themeColor="text1"/>
        </w:rPr>
        <w:t xml:space="preserve"> Rivera Sánchez leerá el </w:t>
      </w:r>
      <w:r w:rsidR="00E108C6" w:rsidRPr="007A27A5">
        <w:rPr>
          <w:color w:val="000000" w:themeColor="text1"/>
        </w:rPr>
        <w:t xml:space="preserve">Dictamen </w:t>
      </w:r>
      <w:r w:rsidRPr="007A27A5">
        <w:rPr>
          <w:color w:val="000000" w:themeColor="text1"/>
        </w:rPr>
        <w:t xml:space="preserve">de la </w:t>
      </w:r>
      <w:r w:rsidR="00E108C6" w:rsidRPr="007A27A5">
        <w:rPr>
          <w:color w:val="000000" w:themeColor="text1"/>
        </w:rPr>
        <w:t xml:space="preserve">Iniciativa </w:t>
      </w:r>
      <w:r w:rsidRPr="007A27A5">
        <w:rPr>
          <w:color w:val="000000" w:themeColor="text1"/>
        </w:rPr>
        <w:t xml:space="preserve">con </w:t>
      </w:r>
      <w:r w:rsidR="00E108C6" w:rsidRPr="007A27A5">
        <w:rPr>
          <w:color w:val="000000" w:themeColor="text1"/>
        </w:rPr>
        <w:t xml:space="preserve">Proyecto </w:t>
      </w:r>
      <w:r w:rsidRPr="007A27A5">
        <w:rPr>
          <w:color w:val="000000" w:themeColor="text1"/>
        </w:rPr>
        <w:t xml:space="preserve">de </w:t>
      </w:r>
      <w:r w:rsidR="00E108C6" w:rsidRPr="007A27A5">
        <w:rPr>
          <w:color w:val="000000" w:themeColor="text1"/>
        </w:rPr>
        <w:t xml:space="preserve">Decreto </w:t>
      </w:r>
      <w:r w:rsidRPr="007A27A5">
        <w:rPr>
          <w:color w:val="000000" w:themeColor="text1"/>
        </w:rPr>
        <w:t>por el que se reforman y adicionan diversas disposiciones de la Ley de Seguridad del Estado de México y de la Ley Orgánica Municipal del Estado de México, en nombre del Grupo Parlamentario del Partido morena, formulada por las Comisiones Unidas de Seguridad Pública y Tránsito y de Legislación y Administración Municipal.</w:t>
      </w:r>
    </w:p>
    <w:p w:rsidR="001243C5" w:rsidRPr="007A27A5" w:rsidRDefault="001243C5" w:rsidP="00B54AF5">
      <w:pPr>
        <w:pStyle w:val="Sinespaciado"/>
        <w:rPr>
          <w:color w:val="000000" w:themeColor="text1"/>
        </w:rPr>
      </w:pPr>
      <w:r w:rsidRPr="007A27A5">
        <w:rPr>
          <w:color w:val="000000" w:themeColor="text1"/>
        </w:rPr>
        <w:t>DIP. NELLY BRÍGIDA RIVERA SÁNCHEZ. Muy buenas tardes</w:t>
      </w:r>
      <w:r w:rsidR="00E108C6" w:rsidRPr="007A27A5">
        <w:rPr>
          <w:color w:val="000000" w:themeColor="text1"/>
        </w:rPr>
        <w:t>, c</w:t>
      </w:r>
      <w:r w:rsidRPr="007A27A5">
        <w:rPr>
          <w:color w:val="000000" w:themeColor="text1"/>
        </w:rPr>
        <w:t>on el permiso de la Mesa.</w:t>
      </w:r>
    </w:p>
    <w:p w:rsidR="001243C5" w:rsidRPr="007A27A5" w:rsidRDefault="001243C5" w:rsidP="00163EE4">
      <w:pPr>
        <w:pStyle w:val="Sinespaciado"/>
        <w:ind w:firstLine="709"/>
        <w:rPr>
          <w:color w:val="000000" w:themeColor="text1"/>
        </w:rPr>
      </w:pPr>
      <w:r w:rsidRPr="007A27A5">
        <w:rPr>
          <w:color w:val="000000" w:themeColor="text1"/>
        </w:rPr>
        <w:t>HONORABLE ASAMBLEA.</w:t>
      </w:r>
    </w:p>
    <w:p w:rsidR="001243C5" w:rsidRPr="007A27A5" w:rsidRDefault="001243C5" w:rsidP="00163EE4">
      <w:pPr>
        <w:pStyle w:val="Sinespaciado"/>
        <w:ind w:firstLine="709"/>
        <w:rPr>
          <w:color w:val="000000" w:themeColor="text1"/>
        </w:rPr>
      </w:pPr>
      <w:r w:rsidRPr="007A27A5">
        <w:rPr>
          <w:color w:val="000000" w:themeColor="text1"/>
        </w:rPr>
        <w:lastRenderedPageBreak/>
        <w:t xml:space="preserve">La Presidencia de la LXII Legislatura encomendó a las Comisiones Legislativas de Seguridad Pública y Tránsito y de Legislación y Administración Municipal, el estudio y el </w:t>
      </w:r>
      <w:r w:rsidR="00605F7C" w:rsidRPr="007A27A5">
        <w:rPr>
          <w:color w:val="000000" w:themeColor="text1"/>
        </w:rPr>
        <w:t xml:space="preserve">Dictamen </w:t>
      </w:r>
      <w:r w:rsidRPr="007A27A5">
        <w:rPr>
          <w:color w:val="000000" w:themeColor="text1"/>
        </w:rPr>
        <w:t xml:space="preserve">de la </w:t>
      </w:r>
      <w:r w:rsidR="00605F7C" w:rsidRPr="007A27A5">
        <w:rPr>
          <w:color w:val="000000" w:themeColor="text1"/>
        </w:rPr>
        <w:t xml:space="preserve">Iniciativa </w:t>
      </w:r>
      <w:r w:rsidRPr="007A27A5">
        <w:rPr>
          <w:color w:val="000000" w:themeColor="text1"/>
        </w:rPr>
        <w:t xml:space="preserve">con </w:t>
      </w:r>
      <w:r w:rsidR="00605F7C" w:rsidRPr="007A27A5">
        <w:rPr>
          <w:color w:val="000000" w:themeColor="text1"/>
        </w:rPr>
        <w:t xml:space="preserve">Proyecto </w:t>
      </w:r>
      <w:r w:rsidRPr="007A27A5">
        <w:rPr>
          <w:color w:val="000000" w:themeColor="text1"/>
        </w:rPr>
        <w:t xml:space="preserve">de </w:t>
      </w:r>
      <w:r w:rsidR="00605F7C" w:rsidRPr="007A27A5">
        <w:rPr>
          <w:color w:val="000000" w:themeColor="text1"/>
        </w:rPr>
        <w:t xml:space="preserve">Decreto </w:t>
      </w:r>
      <w:r w:rsidRPr="007A27A5">
        <w:rPr>
          <w:color w:val="000000" w:themeColor="text1"/>
        </w:rPr>
        <w:t xml:space="preserve">por el que se reforma y adicionan diversas disposiciones de la Ley de Seguridad del Estado de México y de la Ley Orgánica Municipal del Estado de México, presentada por la diputada la de la voz, en nombre del Grupo Parlamentario del Partido de </w:t>
      </w:r>
      <w:r w:rsidR="00605F7C" w:rsidRPr="007A27A5">
        <w:rPr>
          <w:color w:val="000000" w:themeColor="text1"/>
        </w:rPr>
        <w:t>morena</w:t>
      </w:r>
      <w:r w:rsidRPr="007A27A5">
        <w:rPr>
          <w:color w:val="000000" w:themeColor="text1"/>
        </w:rPr>
        <w:t xml:space="preserve">. </w:t>
      </w:r>
    </w:p>
    <w:p w:rsidR="002649A4" w:rsidRPr="007A27A5" w:rsidRDefault="001243C5" w:rsidP="00163EE4">
      <w:pPr>
        <w:pStyle w:val="Sinespaciado"/>
        <w:ind w:firstLine="709"/>
        <w:rPr>
          <w:color w:val="000000" w:themeColor="text1"/>
        </w:rPr>
      </w:pPr>
      <w:r w:rsidRPr="007A27A5">
        <w:rPr>
          <w:color w:val="000000" w:themeColor="text1"/>
        </w:rPr>
        <w:t>Desarrollado el estudio de la iniciativa y suficientemente discutido en las comisiones</w:t>
      </w:r>
      <w:r w:rsidR="00E469F0" w:rsidRPr="007A27A5">
        <w:rPr>
          <w:color w:val="000000" w:themeColor="text1"/>
        </w:rPr>
        <w:t xml:space="preserve"> legislativas nos permitimos con sustento en lo establecido en los artículos 68, 70 y 82 de la Ley Orgánica del Poder Legislativo, en relación con lo previsto en los artículos 13 </w:t>
      </w:r>
      <w:r w:rsidR="00394401" w:rsidRPr="007A27A5">
        <w:rPr>
          <w:color w:val="000000" w:themeColor="text1"/>
        </w:rPr>
        <w:t>A</w:t>
      </w:r>
      <w:r w:rsidR="00E469F0" w:rsidRPr="007A27A5">
        <w:rPr>
          <w:color w:val="000000" w:themeColor="text1"/>
        </w:rPr>
        <w:t>, 70, 73, 75, 78, 79 y 80 del Reglamento del Poder Legislativo emitir el siguiente</w:t>
      </w:r>
      <w:r w:rsidR="002649A4" w:rsidRPr="007A27A5">
        <w:rPr>
          <w:color w:val="000000" w:themeColor="text1"/>
        </w:rPr>
        <w:t>:</w:t>
      </w:r>
    </w:p>
    <w:p w:rsidR="00E469F0" w:rsidRPr="007A27A5" w:rsidRDefault="002649A4" w:rsidP="00596B97">
      <w:pPr>
        <w:pStyle w:val="Sinespaciado"/>
        <w:jc w:val="center"/>
        <w:rPr>
          <w:color w:val="000000" w:themeColor="text1"/>
        </w:rPr>
      </w:pPr>
      <w:r w:rsidRPr="007A27A5">
        <w:rPr>
          <w:color w:val="000000" w:themeColor="text1"/>
        </w:rPr>
        <w:t>DICTAMEN</w:t>
      </w:r>
    </w:p>
    <w:p w:rsidR="00E469F0" w:rsidRPr="007A27A5" w:rsidRDefault="00E469F0" w:rsidP="002649A4">
      <w:pPr>
        <w:pStyle w:val="Sinespaciado"/>
        <w:rPr>
          <w:color w:val="000000" w:themeColor="text1"/>
        </w:rPr>
      </w:pPr>
      <w:r w:rsidRPr="007A27A5">
        <w:rPr>
          <w:color w:val="000000" w:themeColor="text1"/>
        </w:rPr>
        <w:t>ANTECEDENTES</w:t>
      </w:r>
      <w:r w:rsidR="002649A4" w:rsidRPr="007A27A5">
        <w:rPr>
          <w:color w:val="000000" w:themeColor="text1"/>
        </w:rPr>
        <w:t>:</w:t>
      </w:r>
    </w:p>
    <w:p w:rsidR="00E469F0" w:rsidRPr="007A27A5" w:rsidRDefault="00E469F0" w:rsidP="00B54AF5">
      <w:pPr>
        <w:pStyle w:val="Sinespaciado"/>
        <w:rPr>
          <w:color w:val="000000" w:themeColor="text1"/>
        </w:rPr>
      </w:pPr>
      <w:r w:rsidRPr="007A27A5">
        <w:rPr>
          <w:color w:val="000000" w:themeColor="text1"/>
        </w:rPr>
        <w:tab/>
        <w:t>En la sesión de la LXII Legislatura, realizada el día 30 de abril de 2025, la de la voz, integrante del Grupo Parlamentario del Partido morena, en ejercicio del Derecho de Iniciativa Legislativa y de conformidad con lo previsto en los artículos 51, fracción II, 56, 57 y 61 fracción I, de la Constitución Política del Estado Libre y Soberano de México, en los artículos 28, fracción I</w:t>
      </w:r>
      <w:r w:rsidR="00620AC0" w:rsidRPr="007A27A5">
        <w:rPr>
          <w:color w:val="000000" w:themeColor="text1"/>
        </w:rPr>
        <w:t>;</w:t>
      </w:r>
      <w:r w:rsidRPr="007A27A5">
        <w:rPr>
          <w:color w:val="000000" w:themeColor="text1"/>
        </w:rPr>
        <w:t xml:space="preserve"> 30, primer párrafo</w:t>
      </w:r>
      <w:r w:rsidR="00620AC0" w:rsidRPr="007A27A5">
        <w:rPr>
          <w:color w:val="000000" w:themeColor="text1"/>
        </w:rPr>
        <w:t>;</w:t>
      </w:r>
      <w:r w:rsidRPr="007A27A5">
        <w:rPr>
          <w:color w:val="000000" w:themeColor="text1"/>
        </w:rPr>
        <w:t xml:space="preserve"> 38, 78, primer párrafo</w:t>
      </w:r>
      <w:r w:rsidR="00620AC0" w:rsidRPr="007A27A5">
        <w:rPr>
          <w:color w:val="000000" w:themeColor="text1"/>
        </w:rPr>
        <w:t>;</w:t>
      </w:r>
      <w:r w:rsidRPr="007A27A5">
        <w:rPr>
          <w:color w:val="000000" w:themeColor="text1"/>
        </w:rPr>
        <w:t xml:space="preserve"> 79 y 81 de la Ley Orgánica del Poder Legislativo, del Estado Libre y Soberano de México</w:t>
      </w:r>
      <w:r w:rsidR="00620AC0" w:rsidRPr="007A27A5">
        <w:rPr>
          <w:color w:val="000000" w:themeColor="text1"/>
        </w:rPr>
        <w:t>;</w:t>
      </w:r>
      <w:r w:rsidRPr="007A27A5">
        <w:rPr>
          <w:color w:val="000000" w:themeColor="text1"/>
        </w:rPr>
        <w:t xml:space="preserve"> así como en los artículos 68 y 70 del Reglamento del Poder Legislativo del Estado Libre y Soberano de México, presento a las consideraciones de la Soberanía Popular la Iniciativa con Proyecto de Decreto por el que se reforman y adicionan diversas disposiciones de la Ley de Seguridad del Estado de México y de la Ley Orgánica Municipal del Estado de México. </w:t>
      </w:r>
    </w:p>
    <w:p w:rsidR="0019220B" w:rsidRPr="007A27A5" w:rsidRDefault="00E469F0" w:rsidP="00B54AF5">
      <w:pPr>
        <w:pStyle w:val="Sinespaciado"/>
        <w:rPr>
          <w:color w:val="000000" w:themeColor="text1"/>
        </w:rPr>
      </w:pPr>
      <w:r w:rsidRPr="007A27A5">
        <w:rPr>
          <w:color w:val="00B050"/>
        </w:rPr>
        <w:tab/>
      </w:r>
      <w:r w:rsidRPr="007A27A5">
        <w:rPr>
          <w:color w:val="000000" w:themeColor="text1"/>
        </w:rPr>
        <w:t xml:space="preserve">Con base en el estudio realizado, encontramos que la iniciativa propone establecer criterios y estándares uniformes sobre la imagen institucional de las corporaciones policiales del Estado de México. </w:t>
      </w:r>
    </w:p>
    <w:p w:rsidR="00E469F0" w:rsidRPr="007A27A5" w:rsidRDefault="00E469F0" w:rsidP="00163EE4">
      <w:pPr>
        <w:pStyle w:val="Sinespaciado"/>
        <w:ind w:firstLine="709"/>
        <w:rPr>
          <w:color w:val="000000" w:themeColor="text1"/>
        </w:rPr>
      </w:pPr>
      <w:r w:rsidRPr="007A27A5">
        <w:rPr>
          <w:color w:val="000000" w:themeColor="text1"/>
        </w:rPr>
        <w:t xml:space="preserve">El día </w:t>
      </w:r>
      <w:r w:rsidR="002649A4" w:rsidRPr="007A27A5">
        <w:rPr>
          <w:color w:val="000000" w:themeColor="text1"/>
        </w:rPr>
        <w:t>veintiocho</w:t>
      </w:r>
      <w:r w:rsidRPr="007A27A5">
        <w:rPr>
          <w:color w:val="000000" w:themeColor="text1"/>
        </w:rPr>
        <w:t xml:space="preserve"> de octubre de </w:t>
      </w:r>
      <w:r w:rsidR="002649A4" w:rsidRPr="007A27A5">
        <w:rPr>
          <w:color w:val="000000" w:themeColor="text1"/>
        </w:rPr>
        <w:t>dos mil veinticinco</w:t>
      </w:r>
      <w:r w:rsidRPr="007A27A5">
        <w:rPr>
          <w:color w:val="000000" w:themeColor="text1"/>
        </w:rPr>
        <w:t xml:space="preserve">, las Comisiones Legislativas de Seguridad Pública y Tránsito y de Legislación y Administración Municipal, celebraron reunión de estudio con la presencia y participación de la diputada la de la voz, integrante de la Comisión Legislativa de Seguridad Pública y Tránsito y promovente de la iniciativa, quien en apoyo de los trabajos aportó elementos relevantes sobre el contenido y el alcance de la propuesta legislativa. </w:t>
      </w:r>
    </w:p>
    <w:p w:rsidR="00F97A19" w:rsidRPr="007A27A5" w:rsidRDefault="00E469F0" w:rsidP="00B54AF5">
      <w:pPr>
        <w:pStyle w:val="Sinespaciado"/>
        <w:rPr>
          <w:color w:val="000000" w:themeColor="text1"/>
        </w:rPr>
      </w:pPr>
      <w:r w:rsidRPr="007A27A5">
        <w:rPr>
          <w:color w:val="00B050"/>
        </w:rPr>
        <w:tab/>
      </w:r>
      <w:r w:rsidRPr="007A27A5">
        <w:rPr>
          <w:color w:val="000000" w:themeColor="text1"/>
        </w:rPr>
        <w:t xml:space="preserve">En reunión desarrollada el día </w:t>
      </w:r>
      <w:r w:rsidR="00F97A19" w:rsidRPr="007A27A5">
        <w:rPr>
          <w:color w:val="000000" w:themeColor="text1"/>
        </w:rPr>
        <w:t>diecinueve</w:t>
      </w:r>
      <w:r w:rsidRPr="007A27A5">
        <w:rPr>
          <w:color w:val="000000" w:themeColor="text1"/>
        </w:rPr>
        <w:t xml:space="preserve"> de noviembre de </w:t>
      </w:r>
      <w:r w:rsidR="00F97A19" w:rsidRPr="007A27A5">
        <w:rPr>
          <w:color w:val="000000" w:themeColor="text1"/>
        </w:rPr>
        <w:t>dos mil veinticinco</w:t>
      </w:r>
      <w:r w:rsidRPr="007A27A5">
        <w:rPr>
          <w:color w:val="000000" w:themeColor="text1"/>
        </w:rPr>
        <w:t>, las comisiones legislativas dictaminaron la Iniciativa con Proyecto de Decreto</w:t>
      </w:r>
      <w:r w:rsidR="00F97A19" w:rsidRPr="007A27A5">
        <w:rPr>
          <w:color w:val="000000" w:themeColor="text1"/>
        </w:rPr>
        <w:t>.</w:t>
      </w:r>
    </w:p>
    <w:p w:rsidR="00E469F0" w:rsidRPr="007A27A5" w:rsidRDefault="00F97A19" w:rsidP="00B54AF5">
      <w:pPr>
        <w:pStyle w:val="Sinespaciado"/>
        <w:rPr>
          <w:color w:val="000000" w:themeColor="text1"/>
        </w:rPr>
      </w:pPr>
      <w:r w:rsidRPr="007A27A5">
        <w:rPr>
          <w:color w:val="000000" w:themeColor="text1"/>
        </w:rPr>
        <w:t>E</w:t>
      </w:r>
      <w:r w:rsidR="00E469F0" w:rsidRPr="007A27A5">
        <w:rPr>
          <w:color w:val="000000" w:themeColor="text1"/>
        </w:rPr>
        <w:t xml:space="preserve">n términos de Estudio realizado, advertimos que la iniciativa es consecuente de la Ley General del Sistema Nacional de Seguridad Pública y busca garantizar una imagen institucional homogénea que favorezca la legitimidad y confianza en los cuerpos policiales y fortalecer la seguridad pública. </w:t>
      </w:r>
    </w:p>
    <w:p w:rsidR="00E469F0" w:rsidRPr="007A27A5" w:rsidRDefault="00E469F0" w:rsidP="00B54AF5">
      <w:pPr>
        <w:pStyle w:val="Sinespaciado"/>
        <w:rPr>
          <w:color w:val="000000" w:themeColor="text1"/>
        </w:rPr>
      </w:pPr>
      <w:r w:rsidRPr="007A27A5">
        <w:rPr>
          <w:color w:val="000000" w:themeColor="text1"/>
        </w:rPr>
        <w:tab/>
      </w:r>
      <w:r w:rsidR="006E73CB" w:rsidRPr="007A27A5">
        <w:rPr>
          <w:color w:val="000000" w:themeColor="text1"/>
        </w:rPr>
        <w:t>Por lo tanto, en atención al estudio realizado y con la importante participación de integrantes de los distintos Grupos Parlamentarios conformamos un Proyecto de Decreto y en tal sentido, es procedente reformar las fracciones XIII y XIV del artículo 8, la fracción XXXIX del artículo 16, las fracciones VIII y IX del artículo 20 y la fracción XVIII del artículo 61; y adicionar la fracción XV al artículo 8, la fracción XL al artículo 16, la fracción X al artículo 20 y la fracción XIX al artículo 61, todos de la Ley de Seguridad del Estado de México; y adicionar el artículo 143 Bis a la Ley Orgánica Municipal del Estado de México.</w:t>
      </w:r>
    </w:p>
    <w:p w:rsidR="00E469F0" w:rsidRPr="007A27A5" w:rsidRDefault="00E469F0" w:rsidP="00B54AF5">
      <w:pPr>
        <w:pStyle w:val="Sinespaciado"/>
        <w:jc w:val="center"/>
        <w:rPr>
          <w:color w:val="000000" w:themeColor="text1"/>
        </w:rPr>
      </w:pPr>
      <w:r w:rsidRPr="007A27A5">
        <w:rPr>
          <w:color w:val="000000" w:themeColor="text1"/>
        </w:rPr>
        <w:t>RESOLUTIVOS</w:t>
      </w:r>
    </w:p>
    <w:p w:rsidR="001531E2" w:rsidRPr="007A27A5" w:rsidRDefault="00E469F0" w:rsidP="00B54AF5">
      <w:pPr>
        <w:pStyle w:val="Sinespaciado"/>
        <w:rPr>
          <w:color w:val="000000" w:themeColor="text1"/>
        </w:rPr>
      </w:pPr>
      <w:r w:rsidRPr="007A27A5">
        <w:rPr>
          <w:color w:val="000000" w:themeColor="text1"/>
        </w:rPr>
        <w:tab/>
        <w:t>PRIMERO. Son de aprobarse en lo conducente conforme al proyecto de decreto que ha sido integrado la Iniciativa con Proyecto de Decreto por el que se reforman y adicionan diversas disposiciones de la Ley de Seguridad del Estado de México y de la Ley Orgánica Municipal del Estado de México, presentada por la diputada la de la voz, Nelly Brígida Rivera Sánchez, en nombre del Grupo Parlamentario</w:t>
      </w:r>
      <w:r w:rsidR="005E6D33" w:rsidRPr="007A27A5">
        <w:rPr>
          <w:color w:val="000000" w:themeColor="text1"/>
        </w:rPr>
        <w:t xml:space="preserve"> de</w:t>
      </w:r>
      <w:r w:rsidR="001531E2" w:rsidRPr="007A27A5">
        <w:rPr>
          <w:color w:val="000000" w:themeColor="text1"/>
        </w:rPr>
        <w:t xml:space="preserve"> morena. </w:t>
      </w:r>
    </w:p>
    <w:p w:rsidR="001531E2" w:rsidRPr="007A27A5" w:rsidRDefault="001531E2" w:rsidP="00163EE4">
      <w:pPr>
        <w:pStyle w:val="Sinespaciado"/>
        <w:ind w:firstLine="709"/>
        <w:rPr>
          <w:color w:val="000000" w:themeColor="text1"/>
        </w:rPr>
      </w:pPr>
      <w:r w:rsidRPr="007A27A5">
        <w:rPr>
          <w:color w:val="000000" w:themeColor="text1"/>
        </w:rPr>
        <w:lastRenderedPageBreak/>
        <w:t xml:space="preserve">SEGUNDO. Por lo tanto, es procedente reformar las fracciones XIII, XIV del artículo 8, la fracción XXXIX del artículo 16, la fracción VIII y IX del artículo 20 y la fracción XVIII del artículo 61, y adicional, la fracción XV del artículo 8, la fracción </w:t>
      </w:r>
      <w:r w:rsidR="001C648F" w:rsidRPr="007A27A5">
        <w:rPr>
          <w:color w:val="000000" w:themeColor="text1"/>
        </w:rPr>
        <w:t>XL</w:t>
      </w:r>
      <w:r w:rsidRPr="007A27A5">
        <w:rPr>
          <w:color w:val="000000" w:themeColor="text1"/>
        </w:rPr>
        <w:t xml:space="preserve"> del artículo 16, la fracción X al artículo 20 y la fracción XIX al artículo 61, todos de la Ley de Seguridad del Estado de México, de conformidad con el </w:t>
      </w:r>
      <w:r w:rsidR="001C648F" w:rsidRPr="007A27A5">
        <w:rPr>
          <w:color w:val="000000" w:themeColor="text1"/>
        </w:rPr>
        <w:t xml:space="preserve">Proyecto </w:t>
      </w:r>
      <w:r w:rsidRPr="007A27A5">
        <w:rPr>
          <w:color w:val="000000" w:themeColor="text1"/>
        </w:rPr>
        <w:t xml:space="preserve">de </w:t>
      </w:r>
      <w:r w:rsidR="001C648F" w:rsidRPr="007A27A5">
        <w:rPr>
          <w:color w:val="000000" w:themeColor="text1"/>
        </w:rPr>
        <w:t xml:space="preserve">Decreto </w:t>
      </w:r>
      <w:r w:rsidRPr="007A27A5">
        <w:rPr>
          <w:color w:val="000000" w:themeColor="text1"/>
        </w:rPr>
        <w:t xml:space="preserve">que se adjunta. </w:t>
      </w:r>
    </w:p>
    <w:p w:rsidR="001531E2" w:rsidRPr="007A27A5" w:rsidRDefault="001531E2" w:rsidP="00163EE4">
      <w:pPr>
        <w:pStyle w:val="Sinespaciado"/>
        <w:ind w:firstLine="709"/>
        <w:rPr>
          <w:color w:val="000000" w:themeColor="text1"/>
        </w:rPr>
      </w:pPr>
      <w:r w:rsidRPr="007A27A5">
        <w:rPr>
          <w:color w:val="000000" w:themeColor="text1"/>
        </w:rPr>
        <w:t>TERCERO. Previa discusión y aprobación por la Legislatura en pleno, remítase a la persona Titular del Ejecutivo Estatal para los efectos procedentes.</w:t>
      </w:r>
    </w:p>
    <w:p w:rsidR="001531E2" w:rsidRPr="007A27A5" w:rsidRDefault="001531E2" w:rsidP="00B54AF5">
      <w:pPr>
        <w:pStyle w:val="Sinespaciado"/>
        <w:rPr>
          <w:color w:val="000000" w:themeColor="text1"/>
        </w:rPr>
      </w:pPr>
      <w:r w:rsidRPr="007A27A5">
        <w:rPr>
          <w:color w:val="C45911" w:themeColor="accent2" w:themeShade="BF"/>
        </w:rPr>
        <w:tab/>
      </w:r>
      <w:r w:rsidRPr="007A27A5">
        <w:rPr>
          <w:color w:val="000000" w:themeColor="text1"/>
        </w:rPr>
        <w:t>Dado en el Palacio del Poder Legislativo, en la ciudad de Toluca de Lerdo, capital del Estado de México, a diecinueve días del mes de noviembre de dos mil veinticinco.</w:t>
      </w:r>
    </w:p>
    <w:p w:rsidR="001C648F" w:rsidRPr="007A27A5" w:rsidRDefault="001531E2" w:rsidP="00B54AF5">
      <w:pPr>
        <w:pStyle w:val="Sinespaciado"/>
        <w:rPr>
          <w:color w:val="000000" w:themeColor="text1"/>
        </w:rPr>
      </w:pPr>
      <w:r w:rsidRPr="007A27A5">
        <w:rPr>
          <w:color w:val="000000" w:themeColor="text1"/>
        </w:rPr>
        <w:tab/>
        <w:t xml:space="preserve">Comisiones Legislativas de Seguridad Pública y Tránsito. Comisión Legislativa de Legislación y Administración Municipal y agradecer el apoyo a todos los grupos parlamentarios en apoyo a esta iniciativa. </w:t>
      </w:r>
    </w:p>
    <w:p w:rsidR="001531E2" w:rsidRPr="007A27A5" w:rsidRDefault="001531E2" w:rsidP="00163EE4">
      <w:pPr>
        <w:pStyle w:val="Sinespaciado"/>
        <w:ind w:firstLine="709"/>
        <w:rPr>
          <w:color w:val="000000" w:themeColor="text1"/>
        </w:rPr>
      </w:pPr>
      <w:r w:rsidRPr="007A27A5">
        <w:rPr>
          <w:color w:val="000000" w:themeColor="text1"/>
        </w:rPr>
        <w:t>Sería cuanto, Presidenta.</w:t>
      </w:r>
    </w:p>
    <w:p w:rsidR="00AD5D12" w:rsidRPr="007A27A5" w:rsidRDefault="00AD5D12" w:rsidP="001A03F6">
      <w:pPr>
        <w:pStyle w:val="Sinespaciado"/>
      </w:pPr>
    </w:p>
    <w:p w:rsidR="00AD5D12" w:rsidRPr="007A27A5" w:rsidRDefault="00AD5D12" w:rsidP="00CB0E3F">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(Se inserta documento)</w:t>
      </w:r>
    </w:p>
    <w:p w:rsidR="00AD5D12" w:rsidRPr="007A27A5" w:rsidRDefault="00AD5D12" w:rsidP="00CB0E3F">
      <w:pPr>
        <w:spacing w:after="0" w:line="240" w:lineRule="auto"/>
        <w:jc w:val="center"/>
        <w:rPr>
          <w:rFonts w:ascii="Times New Roman"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bookmarkStart w:id="3" w:name="_Hlk164223724"/>
      <w:r w:rsidRPr="007A27A5">
        <w:rPr>
          <w:rFonts w:ascii="Times New Roman" w:eastAsia="Calibri" w:hAnsi="Times New Roman" w:cs="Times New Roman"/>
          <w:b/>
          <w:sz w:val="24"/>
          <w:szCs w:val="24"/>
        </w:rPr>
        <w:t>DICTAMEN FORMULADO A LA</w:t>
      </w:r>
      <w:bookmarkEnd w:id="3"/>
      <w:r w:rsidRPr="007A27A5">
        <w:rPr>
          <w:rFonts w:ascii="Times New Roman" w:eastAsia="Calibri" w:hAnsi="Times New Roman" w:cs="Times New Roman"/>
          <w:b/>
          <w:sz w:val="24"/>
          <w:szCs w:val="24"/>
        </w:rPr>
        <w:t xml:space="preserve"> INICIATIVA CON PROYECTO DE DECRETO POR EL QUE SE REFORMAN Y ADICIONAN DIVERSAS DISPOSICIONES DE LA LEY DE SEGURIDAD DEL ESTADO DE MÉXICO Y DE LA LEY ORGÁNICA MUNICIPAL DEL ESTADO DE MÉXICO, PRESENTADA POR LA DIPUTADA NELLY BRÍGIDA RIVERA SÁNCHEZ, EN NOMBRE DEL GRUPO PARLAMENTARIO DEL PARTIDO MORENA.</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HONORABLE ASAMBLEA:</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La Presidencia de la "LXII" Legislatura encomendó a las comisiones legislativas de Seguridad Pública y Tránsito y de Legislación y Administración Municipal, el estudio y Dictamen, de la </w:t>
      </w:r>
      <w:bookmarkStart w:id="4" w:name="_Hlk196493743"/>
      <w:bookmarkStart w:id="5" w:name="_Hlk189608637"/>
      <w:bookmarkStart w:id="6" w:name="_Hlk181982337"/>
      <w:r w:rsidRPr="007A27A5">
        <w:rPr>
          <w:rFonts w:ascii="Times New Roman" w:eastAsia="Calibri" w:hAnsi="Times New Roman" w:cs="Times New Roman"/>
          <w:sz w:val="24"/>
          <w:szCs w:val="24"/>
        </w:rPr>
        <w:t>Iniciativa con Proyecto de Decreto por el que se reforman y adicionan diversas disposiciones de la Ley de Seguridad del Estado de México y de la Ley Orgánica Municipal del Estado de México, presentada por la Diputada Nelly Brígida Rivera Sánchez, en nombre del Grupo Parlamentario del Partido morena.</w:t>
      </w:r>
    </w:p>
    <w:bookmarkEnd w:id="4"/>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bookmarkEnd w:id="5"/>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Desarrollado el estudio de la Iniciativa y suficientemente discutido en las comisiones legislativas, nos permitimos, con sustento en lo establecido en los artículos 68, 70 y 82 de la Ley Orgánica del Poder Legislativo, en relación con lo previsto en los artículos 13 A, 70, 73, 75, 78, 79 y 80 del Reglamento del Poder Legislativo, emitir el siguiente:</w:t>
      </w: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p>
    <w:bookmarkEnd w:id="6"/>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DICTAMEN</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ANTECEDENTES.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En Sesión de la “LXII” Legislatura realizada el día treinta de abril de dos mil veinticinco, la Diputada Nelly Brígida Rivera Sánchez, integrante del Grupo Parlamentario del Partido morena, en ejercicio del derecho de Iniciativa Legislativa y de conformidad con lo previsto en los artículos 51 fracción II, 56, 57 y 61 fracción I de la Constitución Política del Estado Libre y Soberano de México; en los artículos 28 fracción I, 30 primer párrafo, 38, 78 primer párrafo, 79 y 81 de la Ley Orgánica del Poder Legislativo del Estado Libre y Soberano de México; así como en los artículos 68 y 70 del Reglamento del Poder Legislativo del Estado Libre y Soberano de México, presentó a la consideración de la Soberanía Popular la Iniciativa con Proyecto de Decreto por el que se </w:t>
      </w:r>
      <w:r w:rsidRPr="007A27A5">
        <w:rPr>
          <w:rFonts w:ascii="Times New Roman" w:eastAsia="Calibri" w:hAnsi="Times New Roman" w:cs="Times New Roman"/>
          <w:sz w:val="24"/>
          <w:szCs w:val="24"/>
        </w:rPr>
        <w:lastRenderedPageBreak/>
        <w:t>reforman y adicionan diversas disposiciones de la Ley de Seguridad del Estado de México y de la Ley Orgánica Municipal del Estado de México.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Con base en el estudio realizado encontramos que la Iniciativa propone establecer criterios y estándares uniformes sobre la imagen institucional de las corporaciones policiales del Estado de México.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El día veintiocho de octubre de dos mil veinticinco, las comisiones legislativas de Seguridad Pública y Tránsito y de Legislación Administración Municipal, celebraron reunión de estudio, con la presencia y participación de la Diputada Nelly Brígida Rivera Sánchez, integrante de la Comisión Legislativa de Seguridad Pública y Tránsito y promovente de la Iniciativa, quien en apoyo de los trabajos aportó elementos relevantes sobre el contenido y alcances de la propuesta legislativa. </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En reunión desarrollada el día diecinueve de noviembre de dos mil veinticinco, las comisiones legislativas dictaminaron la Iniciativa con proyecto de decreto.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En términos del estudio realizado advertimos que la Iniciativa es consecuente con la Ley General del Sistema Nacional de Seguridad Pública y busca garantizar una imagen institucional, homogénea que favorezca la legitimidad y confianza en los cuerpos policiales, y fortalezca la seguridad pública.</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Por lo tanto, en atención al estudio realizado y con la importante participación de integrantes de los distintos Grupos Parlamentarios conformamos un Proyecto de Decreto y en tal sentido, es procedente </w:t>
      </w:r>
      <w:r w:rsidRPr="007A27A5">
        <w:rPr>
          <w:rFonts w:ascii="Times New Roman" w:eastAsia="Calibri" w:hAnsi="Times New Roman" w:cs="Times New Roman"/>
          <w:b/>
          <w:bCs/>
          <w:sz w:val="24"/>
          <w:szCs w:val="24"/>
        </w:rPr>
        <w:t>reformar</w:t>
      </w:r>
      <w:r w:rsidRPr="007A27A5">
        <w:rPr>
          <w:rFonts w:ascii="Times New Roman" w:eastAsia="Calibri" w:hAnsi="Times New Roman" w:cs="Times New Roman"/>
          <w:bCs/>
          <w:sz w:val="24"/>
          <w:szCs w:val="24"/>
        </w:rPr>
        <w:t xml:space="preserve"> las fracciones XIII y XIV del artículo 8, la fracción XXXIX del artículo 16, las fracciones VIII y IX del artículo 20 y las fracciones XVII y XVIII del artículo 61; y se </w:t>
      </w:r>
      <w:r w:rsidRPr="007A27A5">
        <w:rPr>
          <w:rFonts w:ascii="Times New Roman" w:eastAsia="Calibri" w:hAnsi="Times New Roman" w:cs="Times New Roman"/>
          <w:b/>
          <w:bCs/>
          <w:sz w:val="24"/>
          <w:szCs w:val="24"/>
        </w:rPr>
        <w:t>adicionar</w:t>
      </w:r>
      <w:r w:rsidRPr="007A27A5">
        <w:rPr>
          <w:rFonts w:ascii="Times New Roman" w:eastAsia="Calibri" w:hAnsi="Times New Roman" w:cs="Times New Roman"/>
          <w:bCs/>
          <w:sz w:val="24"/>
          <w:szCs w:val="24"/>
        </w:rPr>
        <w:t xml:space="preserve"> la fracción XV al artículo 8, la fracción XL al artículo 16, la fracción X al artículo 20 y la fracción XIX al artículo 61 de la Ley de Seguridad del Estado de México</w:t>
      </w:r>
      <w:r w:rsidRPr="007A27A5">
        <w:rPr>
          <w:rFonts w:ascii="Times New Roman" w:eastAsia="Calibri" w:hAnsi="Times New Roman" w:cs="Times New Roman"/>
          <w:sz w:val="24"/>
          <w:szCs w:val="24"/>
        </w:rPr>
        <w:t>; y adicionar el artículo 143 Bis a la Ley Orgánica Municipal del Estado de México.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CONSIDERACIONES.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Es competente la “LXII” Legislatura para conocer y resolver la Iniciativa de Decreto, con sujeción de lo previsto en el artículo 61 fracción I de la Constitución Política del Estado Libre y Soberano de México, que la faculta a expedir leyes, decretos o acuerdos para el régimen interior del Estado, en todos los ramos de la administración del gobierno.</w:t>
      </w: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ANÁLISIS Y VALORACIÓN DE LOS ARGUMENTOS.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Destacamos, con la Iniciativa con Proyecto de Decreto, que la Seguridad Pública es una función del Estado a cargo de la Federación, las entidades federativas y los Municipios, cuyo fin es salvaguardar la vida, las libertades, la integridad y el patrimonio de las personas, así como contribuir a la generación y preservación del orden público y la paz social; la cual comprende la prevención, investigación y persecución de los delitos, así como la sanción de las infracciones administrativas.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Estamos de acuerdo en que, la seguridad debe garantizarse con una visión integral que atienda las causas de la violencia y fortalezca las capacidades de las instituciones de justicia, tal como lo ha mencionado nuestra Presidenta Claudia Sheinbaum Pardo.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Apreciamos también que el Plan Nacional de Desarrollo pone énfasis en la seguridad desde la perspectiva de una “República segura y con justicia” donde se menciona que la inseguridad es un tema complejo y multifactorial, además se menciona que de acuerdo con la Encuesta </w:t>
      </w:r>
      <w:r w:rsidRPr="007A27A5">
        <w:rPr>
          <w:rFonts w:ascii="Times New Roman" w:eastAsia="Calibri" w:hAnsi="Times New Roman" w:cs="Times New Roman"/>
          <w:b/>
          <w:bCs/>
          <w:sz w:val="24"/>
          <w:szCs w:val="24"/>
        </w:rPr>
        <w:t>Nacional de Victimización y Percepción sobre Seguridad Pública (ENVIPE) 2024</w:t>
      </w:r>
      <w:r w:rsidRPr="007A27A5">
        <w:rPr>
          <w:rFonts w:ascii="Times New Roman" w:eastAsia="Calibri" w:hAnsi="Times New Roman" w:cs="Times New Roman"/>
          <w:sz w:val="24"/>
          <w:szCs w:val="24"/>
        </w:rPr>
        <w:t>, el 60.7% de la población considera la inseguridad como el principal problema del país.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Encontramos que la Iniciativa es concordante con el Plan de Desarrollo del Estado de México que en su eje 1. “Cero Corrupción y Gobierno del Pueblo para el Pueblo” menciona que: “el gobierno debe ser cercano al pueblo”, asimismo indica que la falta de confianza en las autoridades ha ocasionado que las personas pierdan la fe en la capacidad de influir en las decisiones gubernamentales y hasta en la posibilidad de cambiar el curso de sus propias vidas y la del Estado.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Son muy valiosos los datos y estudios relevantes que menciona la Iniciativa, en relación con las Instituciones de Seguridad Pública y Encuestas Nacionales en la materia y las precisiones sobre el Estado de México, señalando que enfrenta un panorama en el que la seguridad pública se ha convertido en una preocupación generalizada.  Agrega que la fragilidad en la aplicación de la ley constituye uno de los factores más determinantes de la inseguridad en el Estado de México. La incapacidad para garantizar consecuencias jurídicas efectivas ante los actos delictivos genera un ambiente de impunidad que incentiva la criminalidad</w:t>
      </w:r>
      <w:r w:rsidRPr="007A27A5">
        <w:rPr>
          <w:rFonts w:ascii="Times New Roman" w:eastAsia="Calibri" w:hAnsi="Times New Roman" w:cs="Times New Roman"/>
          <w:b/>
          <w:bCs/>
          <w:sz w:val="24"/>
          <w:szCs w:val="24"/>
        </w:rPr>
        <w:t xml:space="preserve">. </w:t>
      </w:r>
      <w:r w:rsidRPr="007A27A5">
        <w:rPr>
          <w:rFonts w:ascii="Times New Roman" w:eastAsia="Calibri" w:hAnsi="Times New Roman" w:cs="Times New Roman"/>
          <w:sz w:val="24"/>
          <w:szCs w:val="24"/>
        </w:rPr>
        <w:t>Esta debilidad institucional se manifiesta en la baja eficacia para investigar y sancionar los delitos.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En efecto, apreciamos la compleja situación de la seguridad pública en el Estado y en el país y creemos también que existe un panorama preocupante: la gran mayoría de los delitos en la entidad quedan sin resolver, siguiendo una tendencia nacional donde la mayoría de los casos no son esclarecidos y resulta evidente que esta alta impunidad alimenta un círculo vicioso donde los criminales operan con la confianza de que sus acciones difícilmente tendrán consecuencias legales, lo que deteriora progresivamente la percepción ciudadana sobre las instituciones de justicia y refiere que, la penetración del crimen organizado en las instituciones de seguridad y justicia mexiquenses representa un obstáculo crítico para combatir la inseguridad, ya que la corrupción debilita la capacidad del Estado para proteger a sus ciudadanos; desde sobornos a agentes policiales hasta la cooptación de funcionarios de alto rango, la corrupción compromete la integridad de quienes deberían garantizar el orden público.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Por otra parte, es cierto que existen casos documentados de exfuncionarios involucrados en desvío de recursos destinados a la seguridad pública evidencian la magnitud de esta problemática, mientras que la colusión entre autoridades y grupos delictivos facilita la operación de estos últimos y obstaculiza los esfuerzos legítimos por combatirlos, generando zonas donde el crimen actúa con protección institucional tácita o explícita, resaltando que es por todo esto que nuestra Presidenta, la Dra. Claudia Sheinbaum, ha coordinado en conjunto con el Secretario de Seguridad, Omar García </w:t>
      </w:r>
      <w:proofErr w:type="spellStart"/>
      <w:r w:rsidRPr="007A27A5">
        <w:rPr>
          <w:rFonts w:ascii="Times New Roman" w:eastAsia="Calibri" w:hAnsi="Times New Roman" w:cs="Times New Roman"/>
          <w:sz w:val="24"/>
          <w:szCs w:val="24"/>
        </w:rPr>
        <w:t>Harfuch</w:t>
      </w:r>
      <w:proofErr w:type="spellEnd"/>
      <w:r w:rsidRPr="007A27A5">
        <w:rPr>
          <w:rFonts w:ascii="Times New Roman" w:eastAsia="Calibri" w:hAnsi="Times New Roman" w:cs="Times New Roman"/>
          <w:sz w:val="24"/>
          <w:szCs w:val="24"/>
        </w:rPr>
        <w:t>, la Estrategia Nacional de Seguridad, la cual destaca entre sus objetivos “Fortalecer las capacidades de prevención y proximidad de las policías locales”.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Compartimos lo expuesto, en la Iniciativa que alude la reforma del artículo 21 de la Constitución Política los Estados Unidos Mexicanos, a la Ley General del Sistema Nacional de Seguridad, al Manual de Identidad para las Corporaciones de Seguridad Pública y al Modelo Nacional de Policía y Justicia Cívica y estima que se debe implementar lo establecido en el Manual de Identidad y atender a las características, cromática, tipografía y otros elementos distintivos a los que deben ajustarse los uniformes, equipos y vehículos de seguridad pública en policías preventivos y de </w:t>
      </w:r>
      <w:r w:rsidRPr="007A27A5">
        <w:rPr>
          <w:rFonts w:ascii="Times New Roman" w:eastAsia="Calibri" w:hAnsi="Times New Roman" w:cs="Times New Roman"/>
          <w:sz w:val="24"/>
          <w:szCs w:val="24"/>
        </w:rPr>
        <w:lastRenderedPageBreak/>
        <w:t>proximidad; lo anterior con el objetivo de brindar certeza y confianza en la ciudadanía respecto a los cuerpos policiales.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Es evidente que el Sistema Estatal de Seguridad Pública del Estado de México, la coordinación del Secretariado Ejecutivo del Sistema y la Secretaría de Seguridad cuentan con un basamento para expedir, reforzar y vigilar el cumplimiento de los lineamiento de imagen institucional que el Manual establece y en este tenor, en sintonía con el marco nacional y el Manual de Identidad, el Secretariado Ejecutivo del Sistema Estatal y los Municipios cuentan con las herramientas para consolidación de la imagen institucional homogénea que fortalezca la legitimidad y confianza de los Cuerpos Policiales.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Es correcta la afirmación de que, con ello, se asegura que los recursos federales y estatales se orienten no solo al fortalecimiento técnico y operativo sino también a construir una imagen confiable que legitime la función policial y contribuya de manera sustantiva a la seguridad ciudadana.</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ANÁLISIS Y ESTUDIO TÉCNICO DEL TEXTO NORMATIVO.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En términos del estudio realizado y con aportaciones de integrantes de los distintos Grupos Parlamentarios, fortalecimos el Proyecto de Decreto, incorporando algunas adecuaciones que favorecen sus propósitos. </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En consecuencia, es procedente</w:t>
      </w:r>
      <w:r w:rsidRPr="007A27A5">
        <w:rPr>
          <w:rFonts w:ascii="Times New Roman" w:eastAsia="Calibri" w:hAnsi="Times New Roman" w:cs="Times New Roman"/>
          <w:color w:val="000000"/>
          <w:sz w:val="24"/>
          <w:szCs w:val="24"/>
          <w:lang w:eastAsia="es-MX"/>
        </w:rPr>
        <w:t xml:space="preserve"> </w:t>
      </w:r>
      <w:r w:rsidRPr="007A27A5">
        <w:rPr>
          <w:rFonts w:ascii="Times New Roman" w:eastAsia="Calibri" w:hAnsi="Times New Roman" w:cs="Times New Roman"/>
          <w:b/>
          <w:bCs/>
          <w:sz w:val="24"/>
          <w:szCs w:val="24"/>
        </w:rPr>
        <w:t xml:space="preserve">reformar </w:t>
      </w:r>
      <w:r w:rsidRPr="007A27A5">
        <w:rPr>
          <w:rFonts w:ascii="Times New Roman" w:eastAsia="Calibri" w:hAnsi="Times New Roman" w:cs="Times New Roman"/>
          <w:bCs/>
          <w:sz w:val="24"/>
          <w:szCs w:val="24"/>
        </w:rPr>
        <w:t xml:space="preserve">las fracciones XIII y XIV del artículo 8, la fracción XXXIX del artículo 16, las fracciones VIII y IX del artículo 20 y las fracciones XVII y XVIII del artículo 61; y se </w:t>
      </w:r>
      <w:r w:rsidRPr="007A27A5">
        <w:rPr>
          <w:rFonts w:ascii="Times New Roman" w:eastAsia="Calibri" w:hAnsi="Times New Roman" w:cs="Times New Roman"/>
          <w:b/>
          <w:bCs/>
          <w:sz w:val="24"/>
          <w:szCs w:val="24"/>
        </w:rPr>
        <w:t>adicionan</w:t>
      </w:r>
      <w:r w:rsidRPr="007A27A5">
        <w:rPr>
          <w:rFonts w:ascii="Times New Roman" w:eastAsia="Calibri" w:hAnsi="Times New Roman" w:cs="Times New Roman"/>
          <w:bCs/>
          <w:sz w:val="24"/>
          <w:szCs w:val="24"/>
        </w:rPr>
        <w:t xml:space="preserve"> la fracción XV al artículo 8, la fracción XL al artículo 16, la fracción X al artículo 20 y la fracción XIX al artículo 61 de la Ley de Seguridad del Estado de México</w:t>
      </w:r>
      <w:r w:rsidRPr="007A27A5">
        <w:rPr>
          <w:rFonts w:ascii="Times New Roman" w:eastAsia="Calibri" w:hAnsi="Times New Roman" w:cs="Times New Roman"/>
          <w:sz w:val="24"/>
          <w:szCs w:val="24"/>
        </w:rPr>
        <w:t>.</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r w:rsidRPr="007A27A5">
        <w:rPr>
          <w:rFonts w:ascii="Times New Roman" w:eastAsia="Calibri" w:hAnsi="Times New Roman" w:cs="Times New Roman"/>
          <w:sz w:val="24"/>
          <w:szCs w:val="24"/>
        </w:rPr>
        <w:t xml:space="preserve">En lo concerniente a la fracción XIII del artículo 8, únicamente se hace una reforma de forma y en la fracción XIV del artículo indicado, se especifica que las instancias de los tres órganos de gobierno, en un marco de respeto al ámbito competencial de cada uno deberán coordinarse, entre otros casos: </w:t>
      </w:r>
      <w:r w:rsidRPr="007A27A5">
        <w:rPr>
          <w:rFonts w:ascii="Times New Roman" w:eastAsia="Calibri" w:hAnsi="Times New Roman" w:cs="Times New Roman"/>
          <w:b/>
          <w:bCs/>
          <w:sz w:val="24"/>
          <w:szCs w:val="24"/>
        </w:rPr>
        <w:t xml:space="preserve">para establecer criterios y estándares uniformes sobre la imagen institucional de las corporaciones policiales del Estado de México, incluyendo el balizamiento de su parque vehicular oficial, uniformes, calzado, equipamiento de protección personal, insignias, logotipos, cromática y demás elementos y accesorios relacionados con su identificación, </w:t>
      </w:r>
      <w:r w:rsidRPr="007A27A5">
        <w:rPr>
          <w:rFonts w:ascii="Times New Roman" w:eastAsia="Calibri" w:hAnsi="Times New Roman" w:cs="Times New Roman"/>
          <w:b/>
          <w:bCs/>
          <w:sz w:val="24"/>
          <w:szCs w:val="24"/>
          <w:u w:val="single"/>
        </w:rPr>
        <w:t>mismos que, en ningún caso, podrán hacer promoción, alusión o disponer la utilización de colores, lemas o cualquier otro elemento que pueda identificarse o relacionarse, directa o indirectamente, con partidos políticos o con cualquier otro tipo de agrupación u organización</w:t>
      </w:r>
      <w:r w:rsidRPr="007A27A5">
        <w:rPr>
          <w:rFonts w:ascii="Times New Roman" w:eastAsia="Calibri" w:hAnsi="Times New Roman" w:cs="Times New Roman"/>
          <w:b/>
          <w:bCs/>
          <w:sz w:val="24"/>
          <w:szCs w:val="24"/>
        </w:rPr>
        <w:t>, de conformidad con el Manual de Identidad para las Corporaciones de Seguridad Pública, esta Ley, los lineamientos correspondientes y demás ordenamientos aplicables, que permitan su homologación, identificación clara y fortalecimiento de la confianza ciudadana.</w:t>
      </w: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bookmarkStart w:id="7" w:name="_Hlk214045830"/>
      <w:r w:rsidRPr="007A27A5">
        <w:rPr>
          <w:rFonts w:ascii="Times New Roman" w:eastAsia="Calibri" w:hAnsi="Times New Roman" w:cs="Times New Roman"/>
          <w:bCs/>
          <w:sz w:val="24"/>
          <w:szCs w:val="24"/>
        </w:rPr>
        <w:t>La fracción XV del citado precepto únicamente se recorre en atención a la adición que se realiza.</w:t>
      </w:r>
    </w:p>
    <w:bookmarkEnd w:id="7"/>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bCs/>
          <w:sz w:val="24"/>
          <w:szCs w:val="24"/>
        </w:rPr>
        <w:t xml:space="preserve">Por lo que hace a la fracción XXXIX del artículo </w:t>
      </w:r>
      <w:r w:rsidRPr="007A27A5">
        <w:rPr>
          <w:rFonts w:ascii="Times New Roman" w:eastAsia="Calibri" w:hAnsi="Times New Roman" w:cs="Times New Roman"/>
          <w:sz w:val="24"/>
          <w:szCs w:val="24"/>
        </w:rPr>
        <w:t xml:space="preserve">16, se fortalecen las atribuciones del Secretario de Seguridad correspondiéndole </w:t>
      </w:r>
      <w:r w:rsidRPr="007A27A5">
        <w:rPr>
          <w:rFonts w:ascii="Times New Roman" w:eastAsia="Calibri" w:hAnsi="Times New Roman" w:cs="Times New Roman"/>
          <w:b/>
          <w:sz w:val="24"/>
          <w:szCs w:val="24"/>
        </w:rPr>
        <w:t>e</w:t>
      </w:r>
      <w:r w:rsidRPr="007A27A5">
        <w:rPr>
          <w:rFonts w:ascii="Times New Roman" w:eastAsia="Calibri" w:hAnsi="Times New Roman" w:cs="Times New Roman"/>
          <w:b/>
          <w:bCs/>
          <w:sz w:val="24"/>
          <w:szCs w:val="24"/>
        </w:rPr>
        <w:t xml:space="preserve">xpedir los lineamientos o instructivos de aplicación, así como vigilar, en colaboración con el Secretariado Ejecutivo, </w:t>
      </w:r>
      <w:r w:rsidRPr="007A27A5">
        <w:rPr>
          <w:rFonts w:ascii="Times New Roman" w:eastAsia="Calibri" w:hAnsi="Times New Roman" w:cs="Times New Roman"/>
          <w:b/>
          <w:bCs/>
          <w:sz w:val="24"/>
          <w:szCs w:val="24"/>
          <w:u w:val="single"/>
        </w:rPr>
        <w:t xml:space="preserve">la observancia a los lineamientos de imagen institucional establecidos en el Manual de Identidad para las Corporaciones de Seguridad Pública, y, en su caso, imponer las sanciones o medidas correctivas en las </w:t>
      </w:r>
      <w:r w:rsidRPr="007A27A5">
        <w:rPr>
          <w:rFonts w:ascii="Times New Roman" w:eastAsia="Calibri" w:hAnsi="Times New Roman" w:cs="Times New Roman"/>
          <w:b/>
          <w:bCs/>
          <w:sz w:val="24"/>
          <w:szCs w:val="24"/>
          <w:u w:val="single"/>
        </w:rPr>
        <w:lastRenderedPageBreak/>
        <w:t>Instituciones Estatales de Seguridad Pública, de conformidad con las disposiciones aplicables, así como coordinar con los Ayuntamientos su instrumentación</w:t>
      </w:r>
      <w:r w:rsidRPr="007A27A5">
        <w:rPr>
          <w:rFonts w:ascii="Times New Roman" w:eastAsia="Calibri" w:hAnsi="Times New Roman" w:cs="Times New Roman"/>
          <w:b/>
          <w:bCs/>
          <w:sz w:val="24"/>
          <w:szCs w:val="24"/>
        </w:rPr>
        <w:t>.</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 xml:space="preserve">La fracción </w:t>
      </w:r>
      <w:r w:rsidRPr="007A27A5">
        <w:rPr>
          <w:rFonts w:ascii="Times New Roman" w:eastAsia="Calibri" w:hAnsi="Times New Roman" w:cs="Times New Roman"/>
          <w:sz w:val="24"/>
          <w:szCs w:val="24"/>
        </w:rPr>
        <w:t>XL</w:t>
      </w:r>
      <w:r w:rsidRPr="007A27A5">
        <w:rPr>
          <w:rFonts w:ascii="Times New Roman" w:eastAsia="Calibri" w:hAnsi="Times New Roman" w:cs="Times New Roman"/>
          <w:bCs/>
          <w:sz w:val="24"/>
          <w:szCs w:val="24"/>
        </w:rPr>
        <w:t xml:space="preserve"> del citado precepto solamente se recorre con base en la adición que se lleva a cabo.</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En cuanto a la reforma de la fracción VIII del artículo 20, relativo a las atribuciones de los Ayuntamientos en materia de seguridad pública se determina que en el ámbito de sus atribuciones llevarán registro de los establecimientos cuyo giro sea la fabricación y comercialización de uniformes e insignias de las instituciones de seguridad pública, remitiendo la información que corresponda a la Secretaría.</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r w:rsidRPr="007A27A5">
        <w:rPr>
          <w:rFonts w:ascii="Times New Roman" w:eastAsia="Calibri" w:hAnsi="Times New Roman" w:cs="Times New Roman"/>
          <w:sz w:val="24"/>
          <w:szCs w:val="24"/>
        </w:rPr>
        <w:t>Asimismo, en la reforma de la fracción IX del mencionado artículo 20, se amplían las atribuciones de los ayuntamientos en materia de Seguridad Pública, para disponer que tienen a su cargo, también</w:t>
      </w:r>
      <w:r w:rsidRPr="007A27A5">
        <w:rPr>
          <w:rFonts w:ascii="Times New Roman" w:eastAsia="Calibri" w:hAnsi="Times New Roman" w:cs="Times New Roman"/>
          <w:b/>
          <w:bCs/>
          <w:color w:val="000000"/>
          <w:sz w:val="24"/>
          <w:szCs w:val="24"/>
          <w:lang w:eastAsia="es-MX"/>
        </w:rPr>
        <w:t xml:space="preserve"> </w:t>
      </w:r>
      <w:r w:rsidRPr="007A27A5">
        <w:rPr>
          <w:rFonts w:ascii="Times New Roman" w:eastAsia="Calibri" w:hAnsi="Times New Roman" w:cs="Times New Roman"/>
          <w:b/>
          <w:bCs/>
          <w:sz w:val="24"/>
          <w:szCs w:val="24"/>
        </w:rPr>
        <w:t>incorporar en sus disposiciones administrativas la obligación de acatar íntegramente los lineamientos de imagen institucional emitidos por el Consejo Nacional, la Secretaría y el Secretariado Ejecutivo, y entregar anualmente un informe de su cumplimiento ante el Consejo Estatal.</w:t>
      </w: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 xml:space="preserve">La fracción </w:t>
      </w:r>
      <w:r w:rsidRPr="007A27A5">
        <w:rPr>
          <w:rFonts w:ascii="Times New Roman" w:eastAsia="Calibri" w:hAnsi="Times New Roman" w:cs="Times New Roman"/>
          <w:sz w:val="24"/>
          <w:szCs w:val="24"/>
        </w:rPr>
        <w:t>X</w:t>
      </w:r>
      <w:r w:rsidRPr="007A27A5">
        <w:rPr>
          <w:rFonts w:ascii="Times New Roman" w:eastAsia="Calibri" w:hAnsi="Times New Roman" w:cs="Times New Roman"/>
          <w:bCs/>
          <w:sz w:val="24"/>
          <w:szCs w:val="24"/>
        </w:rPr>
        <w:t xml:space="preserve"> de esta disposición únicamente se recorre en términos de la adición que se realiza.</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bCs/>
          <w:sz w:val="24"/>
          <w:szCs w:val="24"/>
        </w:rPr>
        <w:t>Por lo que hace a la reforma de la fracción XVII del artículo 61 referente a las atribuciones del Secretario Ejecutivo</w:t>
      </w:r>
      <w:r w:rsidRPr="007A27A5">
        <w:rPr>
          <w:rFonts w:ascii="Times New Roman" w:eastAsia="Calibri" w:hAnsi="Times New Roman" w:cs="Times New Roman"/>
          <w:sz w:val="24"/>
          <w:szCs w:val="24"/>
        </w:rPr>
        <w:t>, se precisa que le corresponde designar a los delegados que lo representen en las instancias de coordinación en los términos de esta Ley;</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r w:rsidRPr="007A27A5">
        <w:rPr>
          <w:rFonts w:ascii="Times New Roman" w:eastAsia="Calibri" w:hAnsi="Times New Roman" w:cs="Times New Roman"/>
          <w:sz w:val="24"/>
          <w:szCs w:val="24"/>
        </w:rPr>
        <w:t xml:space="preserve">En lo que corresponde a la adición de la fracción XVIII del citado artículo 61, se incorpora dentro de las atribuciones del Secretario Ejecutivo, la de </w:t>
      </w:r>
      <w:r w:rsidRPr="007A27A5">
        <w:rPr>
          <w:rFonts w:ascii="Times New Roman" w:eastAsia="Calibri" w:hAnsi="Times New Roman" w:cs="Times New Roman"/>
          <w:b/>
          <w:sz w:val="24"/>
          <w:szCs w:val="24"/>
        </w:rPr>
        <w:t>s</w:t>
      </w:r>
      <w:r w:rsidRPr="007A27A5">
        <w:rPr>
          <w:rFonts w:ascii="Times New Roman" w:eastAsia="Calibri" w:hAnsi="Times New Roman" w:cs="Times New Roman"/>
          <w:b/>
          <w:bCs/>
          <w:sz w:val="24"/>
          <w:szCs w:val="24"/>
        </w:rPr>
        <w:t>upervisar y coordinar con las demás instancias competentes la implantación, tanto en las Instituciones Estatales como en los Municipios, de los lineamientos de imagen institucional, de conformidad con el Manual de Identidad para las Corporaciones de Seguridad Pública, los acuerdos e instructivos emitidos por la Secretaría, y los ordenamientos jurídicos aplicables.</w:t>
      </w: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bCs/>
          <w:sz w:val="24"/>
          <w:szCs w:val="24"/>
        </w:rPr>
        <w:t xml:space="preserve">La fracción </w:t>
      </w:r>
      <w:r w:rsidRPr="007A27A5">
        <w:rPr>
          <w:rFonts w:ascii="Times New Roman" w:eastAsia="Calibri" w:hAnsi="Times New Roman" w:cs="Times New Roman"/>
          <w:sz w:val="24"/>
          <w:szCs w:val="24"/>
        </w:rPr>
        <w:t>XIX</w:t>
      </w:r>
      <w:r w:rsidRPr="007A27A5">
        <w:rPr>
          <w:rFonts w:ascii="Times New Roman" w:eastAsia="Calibri" w:hAnsi="Times New Roman" w:cs="Times New Roman"/>
          <w:bCs/>
          <w:sz w:val="24"/>
          <w:szCs w:val="24"/>
        </w:rPr>
        <w:t xml:space="preserve"> se recorre conforme a la adición correspondiente</w:t>
      </w:r>
      <w:r w:rsidRPr="007A27A5">
        <w:rPr>
          <w:rFonts w:ascii="Times New Roman" w:eastAsia="Calibri" w:hAnsi="Times New Roman" w:cs="Times New Roman"/>
          <w:sz w:val="24"/>
          <w:szCs w:val="24"/>
        </w:rPr>
        <w:t>.</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r w:rsidRPr="007A27A5">
        <w:rPr>
          <w:rFonts w:ascii="Times New Roman" w:eastAsia="Calibri" w:hAnsi="Times New Roman" w:cs="Times New Roman"/>
          <w:bCs/>
          <w:sz w:val="24"/>
          <w:szCs w:val="24"/>
        </w:rPr>
        <w:t xml:space="preserve">En </w:t>
      </w:r>
      <w:r w:rsidRPr="007A27A5">
        <w:rPr>
          <w:rFonts w:ascii="Times New Roman" w:eastAsia="Calibri" w:hAnsi="Times New Roman" w:cs="Times New Roman"/>
          <w:sz w:val="24"/>
          <w:szCs w:val="24"/>
        </w:rPr>
        <w:t xml:space="preserve">lo relativo a la </w:t>
      </w:r>
      <w:r w:rsidRPr="007A27A5">
        <w:rPr>
          <w:rFonts w:ascii="Times New Roman" w:eastAsia="Calibri" w:hAnsi="Times New Roman" w:cs="Times New Roman"/>
          <w:b/>
          <w:bCs/>
          <w:sz w:val="24"/>
          <w:szCs w:val="24"/>
        </w:rPr>
        <w:t xml:space="preserve">adición </w:t>
      </w:r>
      <w:r w:rsidRPr="007A27A5">
        <w:rPr>
          <w:rFonts w:ascii="Times New Roman" w:eastAsia="Calibri" w:hAnsi="Times New Roman" w:cs="Times New Roman"/>
          <w:bCs/>
          <w:sz w:val="24"/>
          <w:szCs w:val="24"/>
        </w:rPr>
        <w:t>d</w:t>
      </w:r>
      <w:r w:rsidRPr="007A27A5">
        <w:rPr>
          <w:rFonts w:ascii="Times New Roman" w:eastAsia="Calibri" w:hAnsi="Times New Roman" w:cs="Times New Roman"/>
          <w:sz w:val="24"/>
          <w:szCs w:val="24"/>
        </w:rPr>
        <w:t xml:space="preserve">el artículo 143 Bis a la Ley Orgánica Municipal del Estado de México, se precisa que </w:t>
      </w:r>
      <w:r w:rsidRPr="007A27A5">
        <w:rPr>
          <w:rFonts w:ascii="Times New Roman" w:eastAsia="Calibri" w:hAnsi="Times New Roman" w:cs="Times New Roman"/>
          <w:b/>
          <w:sz w:val="24"/>
          <w:szCs w:val="24"/>
        </w:rPr>
        <w:t>c</w:t>
      </w:r>
      <w:r w:rsidRPr="007A27A5">
        <w:rPr>
          <w:rFonts w:ascii="Times New Roman" w:eastAsia="Calibri" w:hAnsi="Times New Roman" w:cs="Times New Roman"/>
          <w:b/>
          <w:bCs/>
          <w:sz w:val="24"/>
          <w:szCs w:val="24"/>
        </w:rPr>
        <w:t>uando el ayuntamiento adquiera por cualquier concepto, vestuario, calzado, equipamiento de protección personal, vehículos o accesorios para las instituciones de seguridad pública y sus elementos, deberá homologarlo con los estándares de calidad, diseño y colores, así como especificaciones técnicas mínimas dispuestas en el Manual de Identidad para las Corporaciones de Seguridad Pública y los lineamientos correspondientes.</w:t>
      </w: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Cs/>
          <w:sz w:val="24"/>
          <w:szCs w:val="24"/>
        </w:rPr>
        <w:t xml:space="preserve">Asimismo, que </w:t>
      </w:r>
      <w:r w:rsidRPr="007A27A5">
        <w:rPr>
          <w:rFonts w:ascii="Times New Roman" w:eastAsia="Calibri" w:hAnsi="Times New Roman" w:cs="Times New Roman"/>
          <w:b/>
          <w:bCs/>
          <w:sz w:val="24"/>
          <w:szCs w:val="24"/>
        </w:rPr>
        <w:t>toda</w:t>
      </w:r>
      <w:r w:rsidRPr="007A27A5">
        <w:rPr>
          <w:rFonts w:ascii="Times New Roman" w:eastAsia="Calibri" w:hAnsi="Times New Roman" w:cs="Times New Roman"/>
          <w:b/>
          <w:bCs/>
          <w:color w:val="000000"/>
          <w:sz w:val="24"/>
          <w:szCs w:val="24"/>
          <w:lang w:eastAsia="es-MX"/>
        </w:rPr>
        <w:t xml:space="preserve"> </w:t>
      </w:r>
      <w:r w:rsidRPr="007A27A5">
        <w:rPr>
          <w:rFonts w:ascii="Times New Roman" w:eastAsia="Calibri" w:hAnsi="Times New Roman" w:cs="Times New Roman"/>
          <w:b/>
          <w:bCs/>
          <w:color w:val="000000"/>
          <w:sz w:val="24"/>
          <w:szCs w:val="24"/>
        </w:rPr>
        <w:t xml:space="preserve">propuesta de variación a estos requisitos deberá respetar los estándares generales de los diseños, el balizamiento y la imagen corporativa, establecidos por dicho Manual. Previa aprobación del cabildo, será sometida a la opinión técnica, no vinculante y con carácter consultivo de la Secretaría de Seguridad del Estado, a través del </w:t>
      </w:r>
      <w:r w:rsidRPr="007A27A5">
        <w:rPr>
          <w:rFonts w:ascii="Times New Roman" w:eastAsia="Calibri" w:hAnsi="Times New Roman" w:cs="Times New Roman"/>
          <w:b/>
          <w:bCs/>
          <w:sz w:val="24"/>
          <w:szCs w:val="24"/>
        </w:rPr>
        <w:t>Secretariado Ejecutivo del Sistema Estatal de Seguridad Pública, la cual deberá emitirse en un plazo no mayor a diez días hábiles.</w:t>
      </w: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Cs/>
          <w:sz w:val="24"/>
          <w:szCs w:val="24"/>
        </w:rPr>
        <w:t xml:space="preserve">De igual forma, que </w:t>
      </w:r>
      <w:r w:rsidRPr="007A27A5">
        <w:rPr>
          <w:rFonts w:ascii="Times New Roman" w:eastAsia="Calibri" w:hAnsi="Times New Roman" w:cs="Times New Roman"/>
          <w:b/>
          <w:bCs/>
          <w:sz w:val="24"/>
          <w:szCs w:val="24"/>
        </w:rPr>
        <w:t xml:space="preserve">los ayuntamientos y comités deberán incluir en las bases de la licitación correspondiente, posterior a su estudio de mercado, las especificaciones mínimas descriptivas </w:t>
      </w:r>
      <w:r w:rsidRPr="007A27A5">
        <w:rPr>
          <w:rFonts w:ascii="Times New Roman" w:eastAsia="Calibri" w:hAnsi="Times New Roman" w:cs="Times New Roman"/>
          <w:b/>
          <w:bCs/>
          <w:sz w:val="24"/>
          <w:szCs w:val="24"/>
        </w:rPr>
        <w:lastRenderedPageBreak/>
        <w:t>de diseño y color del Manual de Identidad para las Corporaciones de Seguridad Pública y en los Lineamientos para la adquisición de vehículos y de sistemas de videovigilancia para los municipios del Estado de México, que deberán aplicarse de manera uniforme a todos los proveedores y no restringir de forma injustificada la participación de empresas nacionales, pymes o cooperativas.</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r w:rsidRPr="007A27A5">
        <w:rPr>
          <w:rFonts w:ascii="Times New Roman" w:eastAsia="Calibri" w:hAnsi="Times New Roman" w:cs="Times New Roman"/>
          <w:bCs/>
          <w:sz w:val="24"/>
          <w:szCs w:val="24"/>
        </w:rPr>
        <w:t xml:space="preserve">Así, como que </w:t>
      </w:r>
      <w:r w:rsidRPr="007A27A5">
        <w:rPr>
          <w:rFonts w:ascii="Times New Roman" w:eastAsia="Calibri" w:hAnsi="Times New Roman" w:cs="Times New Roman"/>
          <w:b/>
          <w:bCs/>
          <w:sz w:val="24"/>
          <w:szCs w:val="24"/>
        </w:rPr>
        <w:t>los vehículos que sean requeridos para las instituciones de seguridad pública deberán inscribirse, con las consideraciones técnicas del párrafo anterior, en el Catálogo de Bienes y Servicios del Sistema COMPRAMEX que corresponda a los municipios.</w:t>
      </w: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
          <w:bCs/>
          <w:sz w:val="24"/>
          <w:szCs w:val="24"/>
        </w:rPr>
      </w:pPr>
      <w:r w:rsidRPr="007A27A5">
        <w:rPr>
          <w:rFonts w:ascii="Times New Roman" w:eastAsia="Calibri" w:hAnsi="Times New Roman" w:cs="Times New Roman"/>
          <w:bCs/>
          <w:sz w:val="24"/>
          <w:szCs w:val="24"/>
        </w:rPr>
        <w:t xml:space="preserve">También que, </w:t>
      </w:r>
      <w:r w:rsidRPr="007A27A5">
        <w:rPr>
          <w:rFonts w:ascii="Times New Roman" w:eastAsia="Calibri" w:hAnsi="Times New Roman" w:cs="Times New Roman"/>
          <w:b/>
          <w:bCs/>
          <w:sz w:val="24"/>
          <w:szCs w:val="24"/>
        </w:rPr>
        <w:t>los ayuntamientos que lleven a cabo excepciones al procedimiento de licitación pública estarán a lo dispuesto por la Ley de Contratación Pública del Estado de México y Municipios, y a su Reglamento, en observancia de las especificaciones previamente establecidas y justificadas.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Por lo expuesto, valorados los argumentos, desarrollado el estudio técnico, integrado el </w:t>
      </w:r>
      <w:r w:rsidRPr="007A27A5">
        <w:rPr>
          <w:rFonts w:ascii="Times New Roman" w:eastAsia="Calibri" w:hAnsi="Times New Roman" w:cs="Times New Roman"/>
          <w:iCs/>
          <w:sz w:val="24"/>
          <w:szCs w:val="24"/>
        </w:rPr>
        <w:t>Proyecto de Decreto; acreditado el beneficio social de la Iniciativa de Decreto; y cumplimentados los r</w:t>
      </w:r>
      <w:r w:rsidRPr="007A27A5">
        <w:rPr>
          <w:rFonts w:ascii="Times New Roman" w:eastAsia="Calibri" w:hAnsi="Times New Roman" w:cs="Times New Roman"/>
          <w:sz w:val="24"/>
          <w:szCs w:val="24"/>
        </w:rPr>
        <w:t xml:space="preserve">equisitos de fondo y forma, nos permitimos concluir con los siguientes: </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RESOLUTIVOS</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PRIMERO.-</w:t>
      </w:r>
      <w:r w:rsidRPr="007A27A5">
        <w:rPr>
          <w:rFonts w:ascii="Times New Roman" w:eastAsia="Calibri" w:hAnsi="Times New Roman" w:cs="Times New Roman"/>
          <w:sz w:val="24"/>
          <w:szCs w:val="24"/>
        </w:rPr>
        <w:t xml:space="preserve"> Son de aprobarse, en lo conducente, conforme al Proyecto de Decreto que ha sido integrado, la Iniciativa con Proyecto de Decreto por el que se reforman y adicionan diversas disposiciones de la Ley de Seguridad del Estado de México y de la Ley Orgánica Municipal del Estado de México, presentada por la Diputada Nelly Brígida Rivera Sánchez, en nombre del Grupo Parlamentario del Partido morena.</w:t>
      </w: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SEGUNDO.-</w:t>
      </w:r>
      <w:r w:rsidRPr="007A27A5">
        <w:rPr>
          <w:rFonts w:ascii="Times New Roman" w:eastAsia="Calibri" w:hAnsi="Times New Roman" w:cs="Times New Roman"/>
          <w:bCs/>
          <w:sz w:val="24"/>
          <w:szCs w:val="24"/>
        </w:rPr>
        <w:t xml:space="preserve"> Por lo tanto, es procedente </w:t>
      </w:r>
      <w:r w:rsidRPr="007A27A5">
        <w:rPr>
          <w:rFonts w:ascii="Times New Roman" w:eastAsia="Calibri" w:hAnsi="Times New Roman" w:cs="Times New Roman"/>
          <w:b/>
          <w:bCs/>
          <w:sz w:val="24"/>
          <w:szCs w:val="24"/>
        </w:rPr>
        <w:t xml:space="preserve">reformar </w:t>
      </w:r>
      <w:r w:rsidRPr="007A27A5">
        <w:rPr>
          <w:rFonts w:ascii="Times New Roman" w:eastAsia="Calibri" w:hAnsi="Times New Roman" w:cs="Times New Roman"/>
          <w:bCs/>
          <w:sz w:val="24"/>
          <w:szCs w:val="24"/>
        </w:rPr>
        <w:t xml:space="preserve">las fracciones XIII y XIV del artículo 8, la fracción XXXIX del artículo 16, las fracciones VIII y IX del artículo 20 y las fracciones XVII y XVIII del artículo 61; y </w:t>
      </w:r>
      <w:r w:rsidRPr="007A27A5">
        <w:rPr>
          <w:rFonts w:ascii="Times New Roman" w:eastAsia="Calibri" w:hAnsi="Times New Roman" w:cs="Times New Roman"/>
          <w:b/>
          <w:bCs/>
          <w:sz w:val="24"/>
          <w:szCs w:val="24"/>
        </w:rPr>
        <w:t>adicionar</w:t>
      </w:r>
      <w:r w:rsidRPr="007A27A5">
        <w:rPr>
          <w:rFonts w:ascii="Times New Roman" w:eastAsia="Calibri" w:hAnsi="Times New Roman" w:cs="Times New Roman"/>
          <w:bCs/>
          <w:sz w:val="24"/>
          <w:szCs w:val="24"/>
        </w:rPr>
        <w:t xml:space="preserve"> la fracción XV al artículo 8, la fracción XL al artículo 16, la fracción X al artículo 20 y la fracción XIX al artículo 61 de la Ley de Seguridad del Estado de México; así como </w:t>
      </w:r>
      <w:r w:rsidRPr="007A27A5">
        <w:rPr>
          <w:rFonts w:ascii="Times New Roman" w:eastAsia="Calibri" w:hAnsi="Times New Roman" w:cs="Times New Roman"/>
          <w:b/>
          <w:bCs/>
          <w:sz w:val="24"/>
          <w:szCs w:val="24"/>
        </w:rPr>
        <w:t>adicionar</w:t>
      </w:r>
      <w:r w:rsidRPr="007A27A5">
        <w:rPr>
          <w:rFonts w:ascii="Times New Roman" w:eastAsia="Calibri" w:hAnsi="Times New Roman" w:cs="Times New Roman"/>
          <w:bCs/>
          <w:sz w:val="24"/>
          <w:szCs w:val="24"/>
        </w:rPr>
        <w:t xml:space="preserve"> el artículo 143 Bis a la Ley Orgánica Municipal del Estado de México.  De conformidad con</w:t>
      </w:r>
      <w:r w:rsidRPr="007A27A5">
        <w:rPr>
          <w:rFonts w:ascii="Times New Roman" w:eastAsia="Calibri" w:hAnsi="Times New Roman" w:cs="Times New Roman"/>
          <w:sz w:val="24"/>
          <w:szCs w:val="24"/>
        </w:rPr>
        <w:t xml:space="preserve"> el Proyecto de Decreto que se adjunta.</w:t>
      </w: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TERCERO.-</w:t>
      </w:r>
      <w:r w:rsidRPr="007A27A5">
        <w:rPr>
          <w:rFonts w:ascii="Times New Roman" w:eastAsia="Calibri" w:hAnsi="Times New Roman" w:cs="Times New Roman"/>
          <w:bCs/>
          <w:sz w:val="24"/>
          <w:szCs w:val="24"/>
        </w:rPr>
        <w:t xml:space="preserve"> Previa discusión y aprobación por la Legislatura en Pleno, remítase a la Persona Titular del Ejecutivo Estatal para los efectos procedente.</w:t>
      </w: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Dado en el Palacio del Poder Legislativo, en la ciudad de Toluca de Lerdo, capital del Estado de México, a los diecinueve días del mes de noviembre de dos mil veinticinco.</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LISTA DE VOTACIÓN</w:t>
      </w: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 xml:space="preserve">FECHA: </w:t>
      </w:r>
      <w:r w:rsidRPr="007A27A5">
        <w:rPr>
          <w:rFonts w:ascii="Times New Roman" w:eastAsia="Calibri" w:hAnsi="Times New Roman" w:cs="Times New Roman"/>
          <w:sz w:val="24"/>
          <w:szCs w:val="24"/>
        </w:rPr>
        <w:t>19/NOVIEMBRE/2025.</w:t>
      </w: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 xml:space="preserve">ASUNTO: </w:t>
      </w:r>
      <w:r w:rsidRPr="007A27A5">
        <w:rPr>
          <w:rFonts w:ascii="Times New Roman" w:eastAsia="Calibri" w:hAnsi="Times New Roman" w:cs="Times New Roman"/>
          <w:bCs/>
          <w:sz w:val="24"/>
          <w:szCs w:val="24"/>
        </w:rPr>
        <w:t>DICTAMEN FORMULADO A LA INICIATIVA CON PROYECTO DE DECRETO POR EL QUE SE REFORMAN Y ADICIONAN DIVERSAS DISPOSICIONES DE LA LEY DE SEGURIDAD DEL ESTADO DE MÉXICO Y DE LA LEY ORGÁNICA MUNICIPAL DEL ESTADO DE MÉXICO, PRESENTADA POR LA DIPUTADA NELLY BRÍGIDA RIVERA SÁNCHEZ, EN NOMBRE DEL GRUPO PARLAMENTARIO DEL PARTIDO MORENA.</w:t>
      </w: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lastRenderedPageBreak/>
        <w:t>COMISIÓN LEGISLATIVA DE</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SEGURIDAD PÚBLICA Y TRÁNSITO</w:t>
      </w: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0"/>
        <w:gridCol w:w="2792"/>
        <w:gridCol w:w="2148"/>
        <w:gridCol w:w="1880"/>
      </w:tblGrid>
      <w:tr w:rsidR="00CB0E3F" w:rsidRPr="007A27A5" w:rsidTr="00DF49FE">
        <w:trPr>
          <w:trHeight w:val="20"/>
          <w:tblHeader/>
          <w:jc w:val="center"/>
        </w:trPr>
        <w:tc>
          <w:tcPr>
            <w:tcW w:w="2680" w:type="dxa"/>
            <w:vMerge w:val="restart"/>
            <w:shd w:val="clear" w:color="auto" w:fill="D9D9D9"/>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DIPUTADA(O)</w:t>
            </w:r>
          </w:p>
        </w:tc>
        <w:tc>
          <w:tcPr>
            <w:tcW w:w="6820" w:type="dxa"/>
            <w:gridSpan w:val="3"/>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FIRMA</w:t>
            </w:r>
          </w:p>
        </w:tc>
      </w:tr>
      <w:tr w:rsidR="00CB0E3F" w:rsidRPr="007A27A5" w:rsidTr="00DF49FE">
        <w:trPr>
          <w:trHeight w:val="20"/>
          <w:tblHeader/>
          <w:jc w:val="center"/>
        </w:trPr>
        <w:tc>
          <w:tcPr>
            <w:tcW w:w="2680" w:type="dxa"/>
            <w:vMerge/>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792" w:type="dxa"/>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A FAVOR</w:t>
            </w:r>
          </w:p>
        </w:tc>
        <w:tc>
          <w:tcPr>
            <w:tcW w:w="2148" w:type="dxa"/>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EN CONTRA</w:t>
            </w:r>
          </w:p>
        </w:tc>
        <w:tc>
          <w:tcPr>
            <w:tcW w:w="1880" w:type="dxa"/>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ABSTENCIÓN</w:t>
            </w: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Presidente</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Mariano</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sz w:val="24"/>
                <w:szCs w:val="24"/>
              </w:rPr>
              <w:t>Camacho San Martín</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Secretaria</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sz w:val="24"/>
                <w:szCs w:val="24"/>
              </w:rPr>
              <w:t>Dip. Nelly Brígida Rivera Sánchez</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Prosecretario</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Isaías</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sz w:val="24"/>
                <w:szCs w:val="24"/>
              </w:rPr>
              <w:t>Peláez Soria</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sz w:val="24"/>
                <w:szCs w:val="24"/>
              </w:rPr>
              <w:t>Dip. Carlos Antonio Martínez Zurita Trejo</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Dip. Vladimir</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Cs/>
                <w:sz w:val="24"/>
                <w:szCs w:val="24"/>
              </w:rPr>
              <w:t>Hernández Villegas</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Cs/>
                <w:sz w:val="24"/>
                <w:szCs w:val="24"/>
              </w:rPr>
              <w:t>Dip. Arleth Stephanie Grimaldo Osorio</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Dip. Octavio</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Cs/>
                <w:sz w:val="24"/>
                <w:szCs w:val="24"/>
              </w:rPr>
              <w:t>Martínez Vargas</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Cs/>
                <w:sz w:val="24"/>
                <w:szCs w:val="24"/>
              </w:rPr>
              <w:t>Dip. Sandra Patricia Santos Rodríguez</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Elena</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García Martínez</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Dip. Susana</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Cs/>
                <w:sz w:val="24"/>
                <w:szCs w:val="24"/>
              </w:rPr>
              <w:t>Estrada Rojas</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Cs/>
                <w:sz w:val="24"/>
                <w:szCs w:val="24"/>
              </w:rPr>
              <w:t>Dip. Joanna Alejandra Felipe Torres</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Dip. Ernesto</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Cs/>
                <w:sz w:val="24"/>
                <w:szCs w:val="24"/>
              </w:rPr>
              <w:t>Santillán Ramírez</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Dip. Ruth</w:t>
            </w:r>
          </w:p>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Salinas Reyes</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Dip. Araceli</w:t>
            </w:r>
          </w:p>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Casasola Salazar</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6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Dip. Paola</w:t>
            </w:r>
          </w:p>
          <w:p w:rsidR="00CB0E3F" w:rsidRPr="007A27A5" w:rsidRDefault="00CB0E3F" w:rsidP="00CB0E3F">
            <w:pPr>
              <w:spacing w:after="0" w:line="240" w:lineRule="auto"/>
              <w:contextualSpacing/>
              <w:jc w:val="center"/>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Jiménez Hernández</w:t>
            </w:r>
          </w:p>
        </w:tc>
        <w:tc>
          <w:tcPr>
            <w:tcW w:w="2792"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48"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1880"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bl>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DF49FE" w:rsidRPr="007A27A5" w:rsidRDefault="00DF49FE" w:rsidP="00CB0E3F">
      <w:pPr>
        <w:spacing w:after="0" w:line="240" w:lineRule="auto"/>
        <w:contextualSpacing/>
        <w:jc w:val="center"/>
        <w:rPr>
          <w:rFonts w:ascii="Times New Roman" w:eastAsia="Calibri" w:hAnsi="Times New Roman" w:cs="Times New Roman"/>
          <w:sz w:val="24"/>
          <w:szCs w:val="24"/>
        </w:rPr>
      </w:pP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LISTA DE VOTACIÓN</w:t>
      </w: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 xml:space="preserve">FECHA: </w:t>
      </w:r>
      <w:r w:rsidRPr="007A27A5">
        <w:rPr>
          <w:rFonts w:ascii="Times New Roman" w:eastAsia="Calibri" w:hAnsi="Times New Roman" w:cs="Times New Roman"/>
          <w:sz w:val="24"/>
          <w:szCs w:val="24"/>
        </w:rPr>
        <w:t>19/NOVIEMBRE/2025.</w:t>
      </w:r>
    </w:p>
    <w:p w:rsidR="00CB0E3F" w:rsidRPr="007A27A5" w:rsidRDefault="00CB0E3F" w:rsidP="00CB0E3F">
      <w:pPr>
        <w:spacing w:after="0" w:line="240" w:lineRule="auto"/>
        <w:contextualSpacing/>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 xml:space="preserve">ASUNTO: </w:t>
      </w:r>
      <w:r w:rsidRPr="007A27A5">
        <w:rPr>
          <w:rFonts w:ascii="Times New Roman" w:eastAsia="Calibri" w:hAnsi="Times New Roman" w:cs="Times New Roman"/>
          <w:bCs/>
          <w:sz w:val="24"/>
          <w:szCs w:val="24"/>
        </w:rPr>
        <w:t>DICTAMEN FORMULADO A LA INICIATIVA CON PROYECTO DE DECRETO POR EL QUE SE REFORMAN Y ADICIONAN DIVERSAS DISPOSICIONES DE LA LEY DE SEGURIDAD DEL ESTADO DE MÉXICO Y DE LA LEY ORGÁNICA MUNICIPAL DEL ESTADO DE MÉXICO, PRESENTADA POR LA DIPUTADA NELLY BRÍGIDA RIVERA SÁNCHEZ, EN NOMBRE DEL GRUPO PARLAMENTARIO DEL PARTIDO MORENA.</w:t>
      </w: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COMISIÓN LEGISLATIVA DE</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LEGISLACIÓN Y ADMINISTRACIÓN MUNICIPAL</w:t>
      </w:r>
    </w:p>
    <w:p w:rsidR="00CB0E3F" w:rsidRPr="007A27A5" w:rsidRDefault="00CB0E3F" w:rsidP="00CB0E3F">
      <w:pPr>
        <w:spacing w:after="0" w:line="240" w:lineRule="auto"/>
        <w:contextualSpacing/>
        <w:jc w:val="both"/>
        <w:rPr>
          <w:rFonts w:ascii="Times New Roman" w:eastAsia="Calibri" w:hAnsi="Times New Roman" w:cs="Times New Roman"/>
          <w:b/>
          <w:sz w:val="24"/>
          <w:szCs w:val="24"/>
        </w:rPr>
      </w:pPr>
    </w:p>
    <w:tbl>
      <w:tblPr>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4"/>
        <w:gridCol w:w="2495"/>
        <w:gridCol w:w="2364"/>
        <w:gridCol w:w="2102"/>
      </w:tblGrid>
      <w:tr w:rsidR="00CB0E3F" w:rsidRPr="007A27A5" w:rsidTr="00DF49FE">
        <w:trPr>
          <w:trHeight w:val="20"/>
          <w:tblHeader/>
          <w:jc w:val="center"/>
        </w:trPr>
        <w:tc>
          <w:tcPr>
            <w:tcW w:w="2464" w:type="dxa"/>
            <w:vMerge w:val="restart"/>
            <w:shd w:val="clear" w:color="auto" w:fill="D9D9D9"/>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DIPUTADA(O)</w:t>
            </w:r>
          </w:p>
        </w:tc>
        <w:tc>
          <w:tcPr>
            <w:tcW w:w="6961" w:type="dxa"/>
            <w:gridSpan w:val="3"/>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FIRMA</w:t>
            </w:r>
          </w:p>
        </w:tc>
      </w:tr>
      <w:tr w:rsidR="00CB0E3F" w:rsidRPr="007A27A5" w:rsidTr="00DF49FE">
        <w:trPr>
          <w:trHeight w:val="20"/>
          <w:tblHeader/>
          <w:jc w:val="center"/>
        </w:trPr>
        <w:tc>
          <w:tcPr>
            <w:tcW w:w="2464" w:type="dxa"/>
            <w:vMerge/>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495" w:type="dxa"/>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A FAVOR</w:t>
            </w:r>
          </w:p>
        </w:tc>
        <w:tc>
          <w:tcPr>
            <w:tcW w:w="2364" w:type="dxa"/>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EN CONTRA</w:t>
            </w:r>
          </w:p>
        </w:tc>
        <w:tc>
          <w:tcPr>
            <w:tcW w:w="2101" w:type="dxa"/>
            <w:shd w:val="clear" w:color="auto" w:fill="D9D9D9"/>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ABSTENCIÓN</w:t>
            </w: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Presidenta</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Susana</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sz w:val="24"/>
                <w:szCs w:val="24"/>
              </w:rPr>
              <w:t>Estrada Rojas</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Secretario</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Isaías</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sz w:val="24"/>
                <w:szCs w:val="24"/>
              </w:rPr>
              <w:t>Peláez Soria</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Prosecretaria</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Araceli</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sz w:val="24"/>
                <w:szCs w:val="24"/>
              </w:rPr>
              <w:t>Casasola Salazar</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Valentín</w:t>
            </w:r>
          </w:p>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sz w:val="24"/>
                <w:szCs w:val="24"/>
              </w:rPr>
              <w:t>Martínez Castillo</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Gerardo</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Pliego Santana</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Elena</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García Martínez</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María José</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Pérez Domínguez</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Eduardo</w:t>
            </w:r>
          </w:p>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Zarzosa Sánchez</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w:t>
            </w: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r w:rsidR="00CB0E3F" w:rsidRPr="007A27A5" w:rsidTr="00DF49FE">
        <w:trPr>
          <w:trHeight w:val="20"/>
          <w:jc w:val="center"/>
        </w:trPr>
        <w:tc>
          <w:tcPr>
            <w:tcW w:w="24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sz w:val="24"/>
                <w:szCs w:val="24"/>
              </w:rPr>
            </w:pPr>
            <w:r w:rsidRPr="007A27A5">
              <w:rPr>
                <w:rFonts w:ascii="Times New Roman" w:eastAsia="Calibri" w:hAnsi="Times New Roman" w:cs="Times New Roman"/>
                <w:sz w:val="24"/>
                <w:szCs w:val="24"/>
              </w:rPr>
              <w:t>Dip. Anuar Roberto Azar Figueroa</w:t>
            </w:r>
          </w:p>
        </w:tc>
        <w:tc>
          <w:tcPr>
            <w:tcW w:w="2495"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364"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c>
          <w:tcPr>
            <w:tcW w:w="2101" w:type="dxa"/>
            <w:shd w:val="clear" w:color="auto" w:fill="auto"/>
            <w:vAlign w:val="center"/>
          </w:tcPr>
          <w:p w:rsidR="00CB0E3F" w:rsidRPr="007A27A5" w:rsidRDefault="00CB0E3F" w:rsidP="00CB0E3F">
            <w:pPr>
              <w:spacing w:after="0" w:line="240" w:lineRule="auto"/>
              <w:contextualSpacing/>
              <w:jc w:val="center"/>
              <w:rPr>
                <w:rFonts w:ascii="Times New Roman" w:eastAsia="Calibri" w:hAnsi="Times New Roman" w:cs="Times New Roman"/>
                <w:b/>
                <w:sz w:val="24"/>
                <w:szCs w:val="24"/>
              </w:rPr>
            </w:pPr>
          </w:p>
        </w:tc>
      </w:tr>
    </w:tbl>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contextualSpacing/>
        <w:jc w:val="both"/>
        <w:rPr>
          <w:rFonts w:ascii="Times New Roman" w:eastAsia="Calibri" w:hAnsi="Times New Roman" w:cs="Times New Roman"/>
          <w:sz w:val="24"/>
          <w:szCs w:val="24"/>
        </w:rPr>
      </w:pPr>
    </w:p>
    <w:p w:rsidR="00CB0E3F" w:rsidRPr="007A27A5" w:rsidRDefault="00CB0E3F" w:rsidP="00CB0E3F">
      <w:pPr>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DECRETO NÚMERO</w:t>
      </w:r>
    </w:p>
    <w:p w:rsidR="00CB0E3F" w:rsidRPr="007A27A5" w:rsidRDefault="00CB0E3F" w:rsidP="00CB0E3F">
      <w:pPr>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 xml:space="preserve">LA H. “LXII” LEGISLATURA </w:t>
      </w:r>
    </w:p>
    <w:p w:rsidR="00CB0E3F" w:rsidRPr="007A27A5" w:rsidRDefault="00CB0E3F" w:rsidP="00CB0E3F">
      <w:pPr>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DEL ESTADO DE MÉXICO</w:t>
      </w:r>
    </w:p>
    <w:p w:rsidR="00CB0E3F" w:rsidRPr="007A27A5" w:rsidRDefault="00CB0E3F" w:rsidP="00CB0E3F">
      <w:pPr>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DECRETA</w:t>
      </w:r>
    </w:p>
    <w:p w:rsidR="00CB0E3F" w:rsidRPr="007A27A5" w:rsidRDefault="00CB0E3F" w:rsidP="00CB0E3F">
      <w:pPr>
        <w:spacing w:after="0" w:line="240" w:lineRule="auto"/>
        <w:jc w:val="both"/>
        <w:rPr>
          <w:rFonts w:ascii="Times New Roman" w:eastAsia="Calibri" w:hAnsi="Times New Roman" w:cs="Times New Roman"/>
          <w:b/>
          <w:bCs/>
          <w:sz w:val="24"/>
          <w:szCs w:val="24"/>
        </w:rPr>
      </w:pPr>
    </w:p>
    <w:p w:rsidR="00CB0E3F" w:rsidRPr="007A27A5" w:rsidRDefault="00CB0E3F" w:rsidP="00CB0E3F">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bCs/>
          <w:sz w:val="24"/>
          <w:szCs w:val="24"/>
        </w:rPr>
        <w:t>ARTÍCULO PRIMERO.-</w:t>
      </w:r>
      <w:r w:rsidRPr="007A27A5">
        <w:rPr>
          <w:rFonts w:ascii="Times New Roman" w:eastAsia="Calibri" w:hAnsi="Times New Roman" w:cs="Times New Roman"/>
          <w:bCs/>
          <w:sz w:val="24"/>
          <w:szCs w:val="24"/>
        </w:rPr>
        <w:t xml:space="preserve"> Se </w:t>
      </w:r>
      <w:r w:rsidRPr="007A27A5">
        <w:rPr>
          <w:rFonts w:ascii="Times New Roman" w:eastAsia="Calibri" w:hAnsi="Times New Roman" w:cs="Times New Roman"/>
          <w:b/>
          <w:bCs/>
          <w:sz w:val="24"/>
          <w:szCs w:val="24"/>
        </w:rPr>
        <w:t>reforman</w:t>
      </w:r>
      <w:r w:rsidRPr="007A27A5">
        <w:rPr>
          <w:rFonts w:ascii="Times New Roman" w:eastAsia="Calibri" w:hAnsi="Times New Roman" w:cs="Times New Roman"/>
          <w:bCs/>
          <w:sz w:val="24"/>
          <w:szCs w:val="24"/>
        </w:rPr>
        <w:t xml:space="preserve"> las fracciones XIII y XIV del artículo 8, la fracción XXXIX del artículo 16, las fracciones VIII y IX del artículo 20 y las fracciones XVII y XVIII del artículo 61; y se </w:t>
      </w:r>
      <w:r w:rsidRPr="007A27A5">
        <w:rPr>
          <w:rFonts w:ascii="Times New Roman" w:eastAsia="Calibri" w:hAnsi="Times New Roman" w:cs="Times New Roman"/>
          <w:b/>
          <w:bCs/>
          <w:sz w:val="24"/>
          <w:szCs w:val="24"/>
        </w:rPr>
        <w:t>adicionan</w:t>
      </w:r>
      <w:r w:rsidRPr="007A27A5">
        <w:rPr>
          <w:rFonts w:ascii="Times New Roman" w:eastAsia="Calibri" w:hAnsi="Times New Roman" w:cs="Times New Roman"/>
          <w:bCs/>
          <w:sz w:val="24"/>
          <w:szCs w:val="24"/>
        </w:rPr>
        <w:t xml:space="preserve"> la fracción XV al artículo 8, la fracción XL al artículo 16, la fracción X al artículo 20 y la fracción XIX al artículo 61 de la Ley de Seguridad del Estado de México, para quedar como sigue:</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 xml:space="preserve">Artículo 8. </w:t>
      </w:r>
      <w:r w:rsidRPr="007A27A5">
        <w:rPr>
          <w:rFonts w:ascii="Times New Roman" w:eastAsia="Calibri" w:hAnsi="Times New Roman" w:cs="Times New Roman"/>
          <w:bCs/>
          <w:sz w:val="24"/>
          <w:szCs w:val="24"/>
        </w:rPr>
        <w:t>…</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 xml:space="preserve">I. a XII. </w:t>
      </w:r>
      <w:r w:rsidRPr="007A27A5">
        <w:rPr>
          <w:rFonts w:ascii="Times New Roman" w:eastAsia="Calibri" w:hAnsi="Times New Roman" w:cs="Times New Roman"/>
          <w:bCs/>
          <w:sz w:val="24"/>
          <w:szCs w:val="24"/>
        </w:rPr>
        <w:t>…</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 xml:space="preserve">XIII. </w:t>
      </w:r>
      <w:r w:rsidRPr="007A27A5">
        <w:rPr>
          <w:rFonts w:ascii="Times New Roman" w:eastAsia="Calibri" w:hAnsi="Times New Roman" w:cs="Times New Roman"/>
          <w:bCs/>
          <w:sz w:val="24"/>
          <w:szCs w:val="24"/>
        </w:rPr>
        <w:t>Fortalecer los sistemas de seguridad social de los servidores públicos, sus familias y dependientes, e instrumentar los complementarios a éstos;</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XIV. Coordinarse para establecer criterios y estándares uniformes sobre la imagen institucional de las corporaciones policiales del Estado de México, incluyendo el balizamiento de su parque vehicular oficial, uniformes, calzado, equipamiento de protección personal, insignias, logotipos, cromática y demás elementos y accesorios relacionados con su identificación, mismos que, en ningún caso, podrán hacer promoción, alusión o disponer la utilización de colores, lemas o cualquier otro elemento que pueda identificarse o relacionarse, directa o indirectamente, con partidos políticos o con cualquier otro tipo de agrupación u organización, de conformidad con el Manual de Identidad para las Corporaciones de Seguridad Pública, esta Ley, los lineamientos correspondientes y demás ordenamientos aplicables, que permitan su homologación, identificación clara y fortalecimiento de la confianza ciudadana; y</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XV.</w:t>
      </w:r>
      <w:r w:rsidRPr="007A27A5">
        <w:rPr>
          <w:rFonts w:ascii="Times New Roman" w:eastAsia="Calibri" w:hAnsi="Times New Roman" w:cs="Times New Roman"/>
          <w:bCs/>
          <w:sz w:val="24"/>
          <w:szCs w:val="24"/>
        </w:rPr>
        <w:t xml:space="preserve"> Realizar las demás acciones que sean necesarias para incrementar la eficacia en el cumplimiento de los fines de la seguridad pública.</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Artículo 16.</w:t>
      </w:r>
      <w:r w:rsidRPr="007A27A5">
        <w:rPr>
          <w:rFonts w:ascii="Times New Roman" w:eastAsia="Calibri" w:hAnsi="Times New Roman" w:cs="Times New Roman"/>
          <w:bCs/>
          <w:sz w:val="24"/>
          <w:szCs w:val="24"/>
        </w:rPr>
        <w:t xml:space="preserve"> …</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 xml:space="preserve">A. </w:t>
      </w:r>
      <w:r w:rsidRPr="007A27A5">
        <w:rPr>
          <w:rFonts w:ascii="Times New Roman" w:eastAsia="Calibri" w:hAnsi="Times New Roman" w:cs="Times New Roman"/>
          <w:bCs/>
          <w:sz w:val="24"/>
          <w:szCs w:val="24"/>
        </w:rPr>
        <w:t>…</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I. a XXXVIII.</w:t>
      </w:r>
      <w:r w:rsidRPr="007A27A5">
        <w:rPr>
          <w:rFonts w:ascii="Times New Roman" w:eastAsia="Calibri" w:hAnsi="Times New Roman" w:cs="Times New Roman"/>
          <w:bCs/>
          <w:sz w:val="24"/>
          <w:szCs w:val="24"/>
        </w:rPr>
        <w:t xml:space="preserve"> …</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u w:val="single"/>
        </w:rPr>
      </w:pPr>
      <w:r w:rsidRPr="007A27A5">
        <w:rPr>
          <w:rFonts w:ascii="Times New Roman" w:eastAsia="Calibri" w:hAnsi="Times New Roman" w:cs="Times New Roman"/>
          <w:b/>
          <w:bCs/>
          <w:sz w:val="24"/>
          <w:szCs w:val="24"/>
        </w:rPr>
        <w:t>XXXIX. Expedir los lineamientos o instructivos de aplicación, así como vigilar, en colaboración con el Secretariado Ejecutivo, la observancia a los lineamientos de imagen institucional establecidos en el Manual de Identidad para las Corporaciones de Seguridad Pública, y, en su caso, imponer las sanciones o medidas correctivas en las Instituciones Estatales de Seguridad Pública, de conformidad con las disposiciones aplicables, así como coordinar con los Ayuntamientos su instrumentación;</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XL.</w:t>
      </w:r>
      <w:r w:rsidRPr="007A27A5">
        <w:rPr>
          <w:rFonts w:ascii="Times New Roman" w:eastAsia="Calibri" w:hAnsi="Times New Roman" w:cs="Times New Roman"/>
          <w:bCs/>
          <w:sz w:val="24"/>
          <w:szCs w:val="24"/>
        </w:rPr>
        <w:t xml:space="preserve"> Las demás que establezcan la Constitución Estatal, la Ley General, esta Ley y demás ordenamientos de la materia, así como las que le confiera el Gobernador del Estado.</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B.</w:t>
      </w:r>
      <w:r w:rsidRPr="007A27A5">
        <w:rPr>
          <w:rFonts w:ascii="Times New Roman" w:eastAsia="Calibri" w:hAnsi="Times New Roman" w:cs="Times New Roman"/>
          <w:bCs/>
          <w:sz w:val="24"/>
          <w:szCs w:val="24"/>
        </w:rPr>
        <w:t xml:space="preserve"> …</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Artículo 20.-</w:t>
      </w:r>
      <w:r w:rsidRPr="007A27A5">
        <w:rPr>
          <w:rFonts w:ascii="Times New Roman" w:eastAsia="Calibri" w:hAnsi="Times New Roman" w:cs="Times New Roman"/>
          <w:bCs/>
          <w:sz w:val="24"/>
          <w:szCs w:val="24"/>
        </w:rPr>
        <w:t xml:space="preserve"> …</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I. a VII.</w:t>
      </w:r>
      <w:r w:rsidRPr="007A27A5">
        <w:rPr>
          <w:rFonts w:ascii="Times New Roman" w:eastAsia="Calibri" w:hAnsi="Times New Roman" w:cs="Times New Roman"/>
          <w:bCs/>
          <w:sz w:val="24"/>
          <w:szCs w:val="24"/>
        </w:rPr>
        <w:t xml:space="preserve"> …</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 xml:space="preserve">VIII. </w:t>
      </w:r>
      <w:r w:rsidRPr="007A27A5">
        <w:rPr>
          <w:rFonts w:ascii="Times New Roman" w:eastAsia="Calibri" w:hAnsi="Times New Roman" w:cs="Times New Roman"/>
          <w:bCs/>
          <w:sz w:val="24"/>
          <w:szCs w:val="24"/>
        </w:rPr>
        <w:t>En el ámbito de sus atribuciones llevar registro de los establecimientos cuyo giro sea la fabricación y comercialización de uniformes e insignias de las instituciones de seguridad pública, remitiendo la información que corresponda a la Secretaría;</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IX. En el ámbito de sus atribuciones, incorporar en sus disposiciones administrativas la obligación de acatar íntegramente los lineamientos de imagen institucional emitidos por el Consejo Nacional, la Secretaría y el Secretariado Ejecutivo, y entregar anualmente un informe de su cumplimiento ante el Consejo Estatal; y</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lastRenderedPageBreak/>
        <w:t>X</w:t>
      </w:r>
      <w:r w:rsidRPr="007A27A5">
        <w:rPr>
          <w:rFonts w:ascii="Times New Roman" w:eastAsia="Calibri" w:hAnsi="Times New Roman" w:cs="Times New Roman"/>
          <w:bCs/>
          <w:sz w:val="24"/>
          <w:szCs w:val="24"/>
        </w:rPr>
        <w:t>. Las demás que les señalen ésta u otras leyes de la materia.</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Artículo 61.-</w:t>
      </w:r>
      <w:r w:rsidRPr="007A27A5">
        <w:rPr>
          <w:rFonts w:ascii="Times New Roman" w:eastAsia="Calibri" w:hAnsi="Times New Roman" w:cs="Times New Roman"/>
          <w:bCs/>
          <w:sz w:val="24"/>
          <w:szCs w:val="24"/>
        </w:rPr>
        <w:t xml:space="preserve"> …</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I. a XVI.</w:t>
      </w:r>
      <w:r w:rsidRPr="007A27A5">
        <w:rPr>
          <w:rFonts w:ascii="Times New Roman" w:eastAsia="Calibri" w:hAnsi="Times New Roman" w:cs="Times New Roman"/>
          <w:bCs/>
          <w:sz w:val="24"/>
          <w:szCs w:val="24"/>
        </w:rPr>
        <w:t xml:space="preserve"> …</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 xml:space="preserve">XVII. </w:t>
      </w:r>
      <w:r w:rsidRPr="007A27A5">
        <w:rPr>
          <w:rFonts w:ascii="Times New Roman" w:eastAsia="Calibri" w:hAnsi="Times New Roman" w:cs="Times New Roman"/>
          <w:bCs/>
          <w:sz w:val="24"/>
          <w:szCs w:val="24"/>
        </w:rPr>
        <w:t>Designar a los delegados que lo representen en las instancias de coordinación en los términos de esta Ley;</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XVIII. Supervisar y coordinar con las demás instancias competentes la implantación, tanto en las Instituciones Estatales como en los Municipios, de los lineamientos de imagen institucional, de conformidad con el Manual de Identidad para las Corporaciones de Seguridad Pública, los acuerdos e instructivos emitidos por la Secretaría, y los ordenamientos jurídicos aplicables; y</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XIX.</w:t>
      </w:r>
      <w:r w:rsidRPr="007A27A5">
        <w:rPr>
          <w:rFonts w:ascii="Times New Roman" w:eastAsia="Calibri" w:hAnsi="Times New Roman" w:cs="Times New Roman"/>
          <w:bCs/>
          <w:sz w:val="24"/>
          <w:szCs w:val="24"/>
        </w:rPr>
        <w:t xml:space="preserve"> Las demás que le otorga esta Ley y otros ordenamientos jurídicos, así como las que sean necesarias para el cumplimiento de sus funciones y las que le encomienden el Consejo Estatal, su Presidente y el Secretario de Seguridad.</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ARTÍCULO SEGUNDO.-</w:t>
      </w:r>
      <w:r w:rsidRPr="007A27A5">
        <w:rPr>
          <w:rFonts w:ascii="Times New Roman" w:eastAsia="Calibri" w:hAnsi="Times New Roman" w:cs="Times New Roman"/>
          <w:bCs/>
          <w:sz w:val="24"/>
          <w:szCs w:val="24"/>
        </w:rPr>
        <w:t xml:space="preserve"> Se adiciona el artículo 143 Bis a la Ley Orgánica Municipal del Estado de México, para quedar como sigue:</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Artículo 143 Bis. Cuando el ayuntamiento adquiera por cualquier concepto, vestuario, calzado, equipamiento de protección personal, vehículos o accesorios para las instituciones de seguridad pública y sus elementos, deberá homologarlo con los estándares de calidad, diseño y colores, así como especificaciones técnicas mínimas dispuestas en el Manual de Identidad para las Corporaciones de Seguridad Pública y los lineamientos correspondientes.</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color w:val="000000"/>
          <w:sz w:val="24"/>
          <w:szCs w:val="24"/>
        </w:rPr>
        <w:t xml:space="preserve">Toda propuesta de variación a estos requisitos deberá respetar los estándares generales de los diseños, el balizamiento y la imagen corporativa, establecidos por dicho Manual. Previa aprobación del cabildo, será sometida a la opinión técnica, no </w:t>
      </w:r>
      <w:r w:rsidRPr="007A27A5">
        <w:rPr>
          <w:rFonts w:ascii="Times New Roman" w:eastAsia="Calibri" w:hAnsi="Times New Roman" w:cs="Times New Roman"/>
          <w:b/>
          <w:bCs/>
          <w:sz w:val="24"/>
          <w:szCs w:val="24"/>
        </w:rPr>
        <w:t>vinculante y con carácter consultivo de la Secretaría de Seguridad del Estado, a través del Secretariado Ejecutivo del Sistema Estatal de Seguridad Pública, la cual deberá emitirse en un plazo no mayor a diez días hábiles.</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Los ayuntamientos y comités deberán incluir en las bases de la licitación correspondiente, posterior a su estudio de mercado, las especificaciones mínimas descriptivas de diseño y color del Manual de Identidad para las Corporaciones de Seguridad Pública y en los Lineamientos para la adquisición de vehículos y de sistemas de videovigilancia para los municipios del Estado de México, que deberán aplicarse de manera uniforme a todos los proveedores y no restringir de forma injustificada la participación de empresas nacionales, pymes o cooperativas.</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Todos los vehículos que sean requeridos para las instituciones de seguridad pública deberán inscribirse, con las consideraciones técnicas del párrafo anterior, en el Catálogo de Bienes y Servicios del Sistema COMPRAMEX que corresponda a los municipios.</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 xml:space="preserve">Los ayuntamientos que lleven a cabo excepciones al procedimiento de licitación pública estarán a lo dispuesto por la Ley de Contratación Pública del Estado de México y Municipios, </w:t>
      </w:r>
      <w:r w:rsidRPr="007A27A5">
        <w:rPr>
          <w:rFonts w:ascii="Times New Roman" w:eastAsia="Calibri" w:hAnsi="Times New Roman" w:cs="Times New Roman"/>
          <w:b/>
          <w:bCs/>
          <w:sz w:val="24"/>
          <w:szCs w:val="24"/>
        </w:rPr>
        <w:lastRenderedPageBreak/>
        <w:t>y a su Reglamento, en observancia de las especificaciones previamente establecidas y justificadas.</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T R A N S I T O R I O S</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PRIMERO.-</w:t>
      </w:r>
      <w:r w:rsidRPr="007A27A5">
        <w:rPr>
          <w:rFonts w:ascii="Times New Roman" w:eastAsia="Calibri" w:hAnsi="Times New Roman" w:cs="Times New Roman"/>
          <w:bCs/>
          <w:sz w:val="24"/>
          <w:szCs w:val="24"/>
        </w:rPr>
        <w:t xml:space="preserve"> Publíquese el presente Decreto en el Periódico Oficial “Gaceta del Gobierno”.</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SEGUNDO.-</w:t>
      </w:r>
      <w:r w:rsidRPr="007A27A5">
        <w:rPr>
          <w:rFonts w:ascii="Times New Roman" w:eastAsia="Calibri" w:hAnsi="Times New Roman" w:cs="Times New Roman"/>
          <w:bCs/>
          <w:sz w:val="24"/>
          <w:szCs w:val="24"/>
        </w:rPr>
        <w:t xml:space="preserve"> El presente decreto entrará en vigor el día siguiente de su publicación en el Periódico Oficial “Gaceta del Gobierno”.</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
          <w:bCs/>
          <w:sz w:val="24"/>
          <w:szCs w:val="24"/>
        </w:rPr>
        <w:t xml:space="preserve">TERCERO.- </w:t>
      </w:r>
      <w:r w:rsidRPr="007A27A5">
        <w:rPr>
          <w:rFonts w:ascii="Times New Roman" w:eastAsia="Calibri" w:hAnsi="Times New Roman" w:cs="Times New Roman"/>
          <w:bCs/>
          <w:sz w:val="24"/>
          <w:szCs w:val="24"/>
        </w:rPr>
        <w:t>Se derogan las disposiciones jurídicas de igual o menor jerarquía que se opongan a lo previsto en el presente Decreto.</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Lo tendrá entendido la Gobernadora del Estado, haciendo que se publique y se cumpla.</w:t>
      </w: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r w:rsidRPr="007A27A5">
        <w:rPr>
          <w:rFonts w:ascii="Times New Roman" w:eastAsia="Calibri" w:hAnsi="Times New Roman" w:cs="Times New Roman"/>
          <w:bCs/>
          <w:sz w:val="24"/>
          <w:szCs w:val="24"/>
        </w:rPr>
        <w:t>Dado en el Palacio del Poder Legislativo, en la ciudad de Toluca de Lerdo, Capital del Estado de México, a los diecinueve días del mes de noviembre del dos mil veinticinco.</w:t>
      </w:r>
    </w:p>
    <w:p w:rsidR="00CB0E3F" w:rsidRPr="007A27A5" w:rsidRDefault="00CB0E3F" w:rsidP="00CB0E3F">
      <w:pPr>
        <w:spacing w:after="0" w:line="240" w:lineRule="auto"/>
        <w:jc w:val="center"/>
        <w:rPr>
          <w:rFonts w:ascii="Times New Roman" w:eastAsia="Calibri" w:hAnsi="Times New Roman" w:cs="Times New Roman"/>
          <w:b/>
          <w:sz w:val="24"/>
          <w:szCs w:val="24"/>
        </w:rPr>
      </w:pPr>
    </w:p>
    <w:p w:rsidR="00CB0E3F" w:rsidRPr="007A27A5" w:rsidRDefault="00CB0E3F" w:rsidP="00CB0E3F">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PRESIDENTA</w:t>
      </w:r>
    </w:p>
    <w:p w:rsidR="00CB0E3F" w:rsidRPr="007A27A5" w:rsidRDefault="00CB0E3F" w:rsidP="00CB0E3F">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DIP. MARTHA AZUCENA CAMACHO REYNOSO</w:t>
      </w:r>
    </w:p>
    <w:p w:rsidR="00CB0E3F" w:rsidRPr="007A27A5" w:rsidRDefault="00CB0E3F" w:rsidP="00CB0E3F">
      <w:pPr>
        <w:spacing w:after="0" w:line="240" w:lineRule="auto"/>
        <w:jc w:val="center"/>
        <w:rPr>
          <w:rFonts w:ascii="Times New Roman" w:eastAsia="Calibri" w:hAnsi="Times New Roman" w:cs="Times New Roman"/>
          <w:b/>
          <w:sz w:val="24"/>
          <w:szCs w:val="24"/>
        </w:rPr>
      </w:pPr>
    </w:p>
    <w:p w:rsidR="00CB0E3F" w:rsidRPr="007A27A5" w:rsidRDefault="00CB0E3F" w:rsidP="00CB0E3F">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SECRETARIAS</w:t>
      </w:r>
    </w:p>
    <w:p w:rsidR="00CB0E3F" w:rsidRPr="007A27A5" w:rsidRDefault="00CB0E3F" w:rsidP="00CB0E3F">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DIP. BRENDA COLETTE MIRANDA VARGAS</w:t>
      </w:r>
    </w:p>
    <w:tbl>
      <w:tblPr>
        <w:tblW w:w="0" w:type="auto"/>
        <w:jc w:val="center"/>
        <w:tblLook w:val="04A0" w:firstRow="1" w:lastRow="0" w:firstColumn="1" w:lastColumn="0" w:noHBand="0" w:noVBand="1"/>
      </w:tblPr>
      <w:tblGrid>
        <w:gridCol w:w="4863"/>
        <w:gridCol w:w="4542"/>
      </w:tblGrid>
      <w:tr w:rsidR="00CB0E3F" w:rsidRPr="007A27A5" w:rsidTr="00DF49FE">
        <w:trPr>
          <w:jc w:val="center"/>
        </w:trPr>
        <w:tc>
          <w:tcPr>
            <w:tcW w:w="4863" w:type="dxa"/>
            <w:shd w:val="clear" w:color="auto" w:fill="auto"/>
          </w:tcPr>
          <w:p w:rsidR="00CB0E3F" w:rsidRPr="007A27A5" w:rsidRDefault="00CB0E3F" w:rsidP="00CB0E3F">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DIP. EMMA LAURA</w:t>
            </w:r>
          </w:p>
          <w:p w:rsidR="00CB0E3F" w:rsidRPr="007A27A5" w:rsidRDefault="00CB0E3F" w:rsidP="00CB0E3F">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ALVAREZ VILLAVICENCIO</w:t>
            </w:r>
          </w:p>
        </w:tc>
        <w:tc>
          <w:tcPr>
            <w:tcW w:w="4542" w:type="dxa"/>
            <w:shd w:val="clear" w:color="auto" w:fill="auto"/>
          </w:tcPr>
          <w:p w:rsidR="00CB0E3F" w:rsidRPr="007A27A5" w:rsidRDefault="00CB0E3F" w:rsidP="00CB0E3F">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DIP. MARICELA</w:t>
            </w:r>
          </w:p>
          <w:p w:rsidR="00CB0E3F" w:rsidRPr="007A27A5" w:rsidRDefault="00CB0E3F" w:rsidP="00CB0E3F">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BELTRÁN SÁNCHEZ</w:t>
            </w:r>
          </w:p>
        </w:tc>
      </w:tr>
    </w:tbl>
    <w:p w:rsidR="00CB0E3F" w:rsidRPr="007A27A5" w:rsidRDefault="00CB0E3F" w:rsidP="00CB0E3F">
      <w:pPr>
        <w:widowControl w:val="0"/>
        <w:autoSpaceDE w:val="0"/>
        <w:autoSpaceDN w:val="0"/>
        <w:adjustRightInd w:val="0"/>
        <w:spacing w:after="0" w:line="240" w:lineRule="auto"/>
        <w:jc w:val="both"/>
        <w:rPr>
          <w:rFonts w:ascii="Times New Roman" w:eastAsia="Calibri" w:hAnsi="Times New Roman" w:cs="Times New Roman"/>
          <w:bCs/>
          <w:sz w:val="24"/>
          <w:szCs w:val="24"/>
        </w:rPr>
      </w:pPr>
    </w:p>
    <w:p w:rsidR="00AD5D12" w:rsidRPr="007A27A5" w:rsidRDefault="00AD5D12" w:rsidP="00CB0E3F">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(Fin del documento)</w:t>
      </w:r>
    </w:p>
    <w:p w:rsidR="00AD5D12" w:rsidRPr="007A27A5" w:rsidRDefault="00AD5D12" w:rsidP="001A03F6">
      <w:pPr>
        <w:spacing w:after="0" w:line="240" w:lineRule="auto"/>
        <w:jc w:val="center"/>
        <w:rPr>
          <w:rFonts w:ascii="Times New Roman" w:hAnsi="Times New Roman"/>
          <w:sz w:val="24"/>
          <w:szCs w:val="24"/>
        </w:rPr>
      </w:pPr>
    </w:p>
    <w:p w:rsidR="001531E2" w:rsidRPr="007A27A5" w:rsidRDefault="001531E2" w:rsidP="00B54AF5">
      <w:pPr>
        <w:pStyle w:val="Sinespaciado"/>
        <w:rPr>
          <w:color w:val="000000" w:themeColor="text1"/>
        </w:rPr>
      </w:pPr>
      <w:r w:rsidRPr="007A27A5">
        <w:rPr>
          <w:color w:val="000000" w:themeColor="text1"/>
          <w:kern w:val="2"/>
          <w:lang w:eastAsia="es-MX"/>
        </w:rPr>
        <w:t xml:space="preserve">PRESIDENTA DIP. MARTHA AZUCENA CAMACHO REYNOSO. </w:t>
      </w:r>
      <w:r w:rsidRPr="007A27A5">
        <w:rPr>
          <w:color w:val="000000" w:themeColor="text1"/>
        </w:rPr>
        <w:t>Gracias</w:t>
      </w:r>
      <w:r w:rsidR="001C648F" w:rsidRPr="007A27A5">
        <w:rPr>
          <w:color w:val="000000" w:themeColor="text1"/>
        </w:rPr>
        <w:t xml:space="preserve"> d</w:t>
      </w:r>
      <w:r w:rsidRPr="007A27A5">
        <w:rPr>
          <w:color w:val="000000" w:themeColor="text1"/>
        </w:rPr>
        <w:t>iputada Nelly Brígida Rivera Sánchez.</w:t>
      </w:r>
    </w:p>
    <w:p w:rsidR="001531E2" w:rsidRPr="007A27A5" w:rsidRDefault="001531E2" w:rsidP="00B54AF5">
      <w:pPr>
        <w:pStyle w:val="Sinespaciado"/>
        <w:rPr>
          <w:color w:val="000000" w:themeColor="text1"/>
        </w:rPr>
      </w:pPr>
      <w:r w:rsidRPr="007A27A5">
        <w:rPr>
          <w:color w:val="C45911" w:themeColor="accent2" w:themeShade="BF"/>
        </w:rPr>
        <w:tab/>
      </w:r>
      <w:r w:rsidRPr="007A27A5">
        <w:rPr>
          <w:color w:val="000000" w:themeColor="text1"/>
        </w:rPr>
        <w:t>Leído los antecedentes del dictamen, pido a quienes estén por su turno a discusión, se sirva levantar la mano ¿En contra? ¿En abstención?</w:t>
      </w:r>
    </w:p>
    <w:p w:rsidR="001531E2" w:rsidRPr="007A27A5" w:rsidRDefault="001531E2" w:rsidP="00B54AF5">
      <w:pPr>
        <w:pStyle w:val="Sinespaciado"/>
        <w:rPr>
          <w:color w:val="000000" w:themeColor="text1"/>
        </w:rPr>
      </w:pPr>
      <w:r w:rsidRPr="007A27A5">
        <w:rPr>
          <w:color w:val="000000" w:themeColor="text1"/>
          <w:kern w:val="2"/>
          <w:lang w:eastAsia="es-MX"/>
        </w:rPr>
        <w:t xml:space="preserve">SECRETARIA DIP. BRENDA COLETTE MIRANDA VARGAS. </w:t>
      </w:r>
      <w:r w:rsidRPr="007A27A5">
        <w:rPr>
          <w:color w:val="000000" w:themeColor="text1"/>
        </w:rPr>
        <w:t>La propuesta ha sido aprobada por unanimidad de votos.</w:t>
      </w:r>
    </w:p>
    <w:p w:rsidR="001531E2" w:rsidRPr="007A27A5" w:rsidRDefault="001531E2" w:rsidP="00B54AF5">
      <w:pPr>
        <w:pStyle w:val="Sinespaciado"/>
        <w:rPr>
          <w:color w:val="000000" w:themeColor="text1"/>
        </w:rPr>
      </w:pPr>
      <w:r w:rsidRPr="007A27A5">
        <w:rPr>
          <w:color w:val="000000" w:themeColor="text1"/>
          <w:kern w:val="2"/>
          <w:lang w:eastAsia="es-MX"/>
        </w:rPr>
        <w:t xml:space="preserve">PRESIDENTA DIP. MARTHA AZUCENA CAMACHO REYNOSO. </w:t>
      </w:r>
      <w:r w:rsidRPr="007A27A5">
        <w:rPr>
          <w:color w:val="000000" w:themeColor="text1"/>
        </w:rPr>
        <w:t xml:space="preserve">Abro la discusión en lo general y pregunto a la Legislatura si alguien desea hacer uso de la palabra. </w:t>
      </w:r>
    </w:p>
    <w:p w:rsidR="001531E2" w:rsidRPr="007A27A5" w:rsidRDefault="001531E2" w:rsidP="00B54AF5">
      <w:pPr>
        <w:pStyle w:val="Sinespaciado"/>
        <w:rPr>
          <w:color w:val="000000" w:themeColor="text1"/>
        </w:rPr>
      </w:pPr>
      <w:r w:rsidRPr="007A27A5">
        <w:rPr>
          <w:color w:val="C45911" w:themeColor="accent2" w:themeShade="BF"/>
        </w:rPr>
        <w:tab/>
      </w:r>
      <w:r w:rsidRPr="007A27A5">
        <w:rPr>
          <w:color w:val="000000" w:themeColor="text1"/>
        </w:rPr>
        <w:t>Para acabar la votación en lo general, pido a la Secretaría abra el sistema de votación hasta por dos minutos, si alguien desea separar algún artículo en lo particular, sírvase referirlo.</w:t>
      </w:r>
    </w:p>
    <w:p w:rsidR="001531E2" w:rsidRPr="007A27A5" w:rsidRDefault="001531E2" w:rsidP="00B54AF5">
      <w:pPr>
        <w:pStyle w:val="Sinespaciado"/>
        <w:rPr>
          <w:color w:val="000000" w:themeColor="text1"/>
        </w:rPr>
      </w:pPr>
      <w:r w:rsidRPr="007A27A5">
        <w:rPr>
          <w:color w:val="000000" w:themeColor="text1"/>
          <w:kern w:val="2"/>
          <w:lang w:eastAsia="es-MX"/>
        </w:rPr>
        <w:t xml:space="preserve">SECRETARIA DIP. BRENDA COLETTE MIRANDA VARGAS. </w:t>
      </w:r>
      <w:r w:rsidRPr="007A27A5">
        <w:rPr>
          <w:color w:val="000000" w:themeColor="text1"/>
        </w:rPr>
        <w:t xml:space="preserve">Abrace el sistema de votación hasta por dos minutos. </w:t>
      </w:r>
    </w:p>
    <w:p w:rsidR="001531E2" w:rsidRPr="007A27A5" w:rsidRDefault="001531E2" w:rsidP="00B54AF5">
      <w:pPr>
        <w:pStyle w:val="Sinespaciado"/>
        <w:jc w:val="center"/>
        <w:rPr>
          <w:i/>
          <w:color w:val="000000" w:themeColor="text1"/>
        </w:rPr>
      </w:pPr>
      <w:r w:rsidRPr="007A27A5">
        <w:rPr>
          <w:i/>
          <w:color w:val="000000" w:themeColor="text1"/>
        </w:rPr>
        <w:t>(Votación nominal)</w:t>
      </w:r>
    </w:p>
    <w:p w:rsidR="001531E2" w:rsidRPr="007A27A5" w:rsidRDefault="001531E2" w:rsidP="00B54AF5">
      <w:pPr>
        <w:pStyle w:val="Sinespaciado"/>
        <w:rPr>
          <w:color w:val="000000" w:themeColor="text1"/>
        </w:rPr>
      </w:pPr>
      <w:r w:rsidRPr="007A27A5">
        <w:rPr>
          <w:color w:val="000000" w:themeColor="text1"/>
          <w:kern w:val="2"/>
          <w:lang w:eastAsia="es-MX"/>
        </w:rPr>
        <w:t>SECRETARIA DIP. BRENDA COLETTE MIRANDA VARGAS.</w:t>
      </w:r>
      <w:r w:rsidRPr="007A27A5">
        <w:rPr>
          <w:color w:val="000000" w:themeColor="text1"/>
        </w:rPr>
        <w:t xml:space="preserve"> Pregunto a mis compañeros si alguien falta de emitir su voto. </w:t>
      </w:r>
    </w:p>
    <w:p w:rsidR="001531E2" w:rsidRPr="007A27A5" w:rsidRDefault="001531E2" w:rsidP="00B54AF5">
      <w:pPr>
        <w:pStyle w:val="Sinespaciado"/>
        <w:rPr>
          <w:color w:val="000000" w:themeColor="text1"/>
        </w:rPr>
      </w:pPr>
      <w:r w:rsidRPr="007A27A5">
        <w:rPr>
          <w:color w:val="000000" w:themeColor="text1"/>
        </w:rPr>
        <w:tab/>
        <w:t xml:space="preserve">Presidenta el </w:t>
      </w:r>
      <w:r w:rsidR="00A67EFD" w:rsidRPr="007A27A5">
        <w:rPr>
          <w:color w:val="000000" w:themeColor="text1"/>
        </w:rPr>
        <w:t xml:space="preserve">Dictamen </w:t>
      </w:r>
      <w:r w:rsidRPr="007A27A5">
        <w:rPr>
          <w:color w:val="000000" w:themeColor="text1"/>
        </w:rPr>
        <w:t xml:space="preserve">y el </w:t>
      </w:r>
      <w:r w:rsidR="00A67EFD" w:rsidRPr="007A27A5">
        <w:rPr>
          <w:color w:val="000000" w:themeColor="text1"/>
        </w:rPr>
        <w:t xml:space="preserve">Proyecto </w:t>
      </w:r>
      <w:r w:rsidRPr="007A27A5">
        <w:rPr>
          <w:color w:val="000000" w:themeColor="text1"/>
        </w:rPr>
        <w:t xml:space="preserve">de </w:t>
      </w:r>
      <w:r w:rsidR="00A67EFD" w:rsidRPr="007A27A5">
        <w:rPr>
          <w:color w:val="000000" w:themeColor="text1"/>
        </w:rPr>
        <w:t xml:space="preserve">Decreto </w:t>
      </w:r>
      <w:r w:rsidRPr="007A27A5">
        <w:rPr>
          <w:color w:val="000000" w:themeColor="text1"/>
        </w:rPr>
        <w:t>han sido aprobados en lo general por mayoría de votos.</w:t>
      </w:r>
    </w:p>
    <w:p w:rsidR="001531E2" w:rsidRPr="007A27A5" w:rsidRDefault="001531E2" w:rsidP="00B54AF5">
      <w:pPr>
        <w:pStyle w:val="Sinespaciado"/>
        <w:rPr>
          <w:color w:val="000000" w:themeColor="text1"/>
        </w:rPr>
      </w:pPr>
      <w:r w:rsidRPr="007A27A5">
        <w:rPr>
          <w:color w:val="000000" w:themeColor="text1"/>
          <w:kern w:val="2"/>
          <w:lang w:eastAsia="es-MX"/>
        </w:rPr>
        <w:t>PRESIDENTA DIP. MARTHA AZUCENA CAMACHO REYNOSO</w:t>
      </w:r>
      <w:r w:rsidRPr="007A27A5">
        <w:rPr>
          <w:color w:val="000000" w:themeColor="text1"/>
        </w:rPr>
        <w:t xml:space="preserve"> Gracias. </w:t>
      </w:r>
    </w:p>
    <w:p w:rsidR="001531E2" w:rsidRPr="007A27A5" w:rsidRDefault="001531E2" w:rsidP="00B54AF5">
      <w:pPr>
        <w:pStyle w:val="Sinespaciado"/>
        <w:rPr>
          <w:color w:val="000000" w:themeColor="text1"/>
        </w:rPr>
      </w:pPr>
      <w:r w:rsidRPr="007A27A5">
        <w:rPr>
          <w:color w:val="000000" w:themeColor="text1"/>
        </w:rPr>
        <w:tab/>
        <w:t xml:space="preserve">Se tiene por aprobado lo general el </w:t>
      </w:r>
      <w:r w:rsidR="00FC5D91" w:rsidRPr="007A27A5">
        <w:rPr>
          <w:color w:val="000000" w:themeColor="text1"/>
        </w:rPr>
        <w:t xml:space="preserve">Dictamen </w:t>
      </w:r>
      <w:r w:rsidRPr="007A27A5">
        <w:rPr>
          <w:color w:val="000000" w:themeColor="text1"/>
        </w:rPr>
        <w:t xml:space="preserve">y el </w:t>
      </w:r>
      <w:r w:rsidR="00BF3FE1" w:rsidRPr="007A27A5">
        <w:rPr>
          <w:color w:val="000000" w:themeColor="text1"/>
        </w:rPr>
        <w:t xml:space="preserve">Proyecto </w:t>
      </w:r>
      <w:r w:rsidRPr="007A27A5">
        <w:rPr>
          <w:color w:val="000000" w:themeColor="text1"/>
        </w:rPr>
        <w:t xml:space="preserve">de </w:t>
      </w:r>
      <w:r w:rsidR="00BF3FE1" w:rsidRPr="007A27A5">
        <w:rPr>
          <w:color w:val="000000" w:themeColor="text1"/>
        </w:rPr>
        <w:t>Decreto</w:t>
      </w:r>
      <w:r w:rsidRPr="007A27A5">
        <w:rPr>
          <w:color w:val="000000" w:themeColor="text1"/>
        </w:rPr>
        <w:t xml:space="preserve">, se declara también su aprobación en lo particular. </w:t>
      </w:r>
    </w:p>
    <w:p w:rsidR="00DD47FE" w:rsidRPr="007A27A5" w:rsidRDefault="001531E2" w:rsidP="00B54AF5">
      <w:pPr>
        <w:pStyle w:val="Sinespaciado"/>
        <w:rPr>
          <w:color w:val="000000" w:themeColor="text1"/>
        </w:rPr>
      </w:pPr>
      <w:r w:rsidRPr="007A27A5">
        <w:rPr>
          <w:color w:val="C45911" w:themeColor="accent2" w:themeShade="BF"/>
        </w:rPr>
        <w:lastRenderedPageBreak/>
        <w:tab/>
      </w:r>
      <w:r w:rsidRPr="007A27A5">
        <w:rPr>
          <w:color w:val="000000" w:themeColor="text1"/>
        </w:rPr>
        <w:t>Respecto al punto número 5, la LXII Legislatura, que en esta fecha fueron presentadas y recibidas en tiempo y forma las iniciativas que forman el Paquete Fiscal 2026 enviadas por la Gobernadora del Estado en cumplimiento de los artículos</w:t>
      </w:r>
      <w:r w:rsidR="00F62EB3" w:rsidRPr="007A27A5">
        <w:rPr>
          <w:color w:val="000000" w:themeColor="text1"/>
        </w:rPr>
        <w:t xml:space="preserve"> 51</w:t>
      </w:r>
      <w:r w:rsidR="00DD47FE" w:rsidRPr="007A27A5">
        <w:rPr>
          <w:color w:val="000000" w:themeColor="text1"/>
        </w:rPr>
        <w:t xml:space="preserve"> fracción </w:t>
      </w:r>
      <w:r w:rsidR="007A53F6" w:rsidRPr="007A27A5">
        <w:rPr>
          <w:color w:val="000000" w:themeColor="text1"/>
        </w:rPr>
        <w:t xml:space="preserve">I, </w:t>
      </w:r>
      <w:r w:rsidR="00DD47FE" w:rsidRPr="007A27A5">
        <w:rPr>
          <w:color w:val="000000" w:themeColor="text1"/>
        </w:rPr>
        <w:t>77 fracciones V, XIX, XX y 80 de la Constitución Política del Estado Libre y Soberano de México. Y, en consecuencia, el diputado Osvaldo Cortés Contreras leerá el oficio por el cual son presentadas.</w:t>
      </w:r>
    </w:p>
    <w:p w:rsidR="00261730" w:rsidRPr="007A27A5" w:rsidRDefault="00DD47FE" w:rsidP="00B54AF5">
      <w:pPr>
        <w:pStyle w:val="Sinespaciado"/>
        <w:rPr>
          <w:color w:val="000000" w:themeColor="text1"/>
        </w:rPr>
      </w:pPr>
      <w:r w:rsidRPr="007A27A5">
        <w:rPr>
          <w:color w:val="000000" w:themeColor="text1"/>
        </w:rPr>
        <w:t>DIP. OSVALDO CORTÉS CONTRERAS. Diputada Martha Azucena Camacho Reynoso, presidenta de la Mesa Directiva de la LXII Legislatura del Estado de México</w:t>
      </w:r>
      <w:r w:rsidR="00261730" w:rsidRPr="007A27A5">
        <w:rPr>
          <w:color w:val="000000" w:themeColor="text1"/>
        </w:rPr>
        <w:t>.</w:t>
      </w:r>
    </w:p>
    <w:p w:rsidR="00DD47FE" w:rsidRPr="007A27A5" w:rsidRDefault="001A770F" w:rsidP="001A770F">
      <w:pPr>
        <w:pStyle w:val="Sinespaciado"/>
        <w:ind w:firstLine="709"/>
        <w:rPr>
          <w:color w:val="000000" w:themeColor="text1"/>
        </w:rPr>
      </w:pPr>
      <w:r w:rsidRPr="007A27A5">
        <w:rPr>
          <w:color w:val="000000" w:themeColor="text1"/>
        </w:rPr>
        <w:t>Presente</w:t>
      </w:r>
      <w:r w:rsidR="00DD47FE" w:rsidRPr="007A27A5">
        <w:rPr>
          <w:color w:val="000000" w:themeColor="text1"/>
        </w:rPr>
        <w:t>.</w:t>
      </w:r>
    </w:p>
    <w:p w:rsidR="00DD47FE" w:rsidRPr="007A27A5" w:rsidRDefault="00DD47FE" w:rsidP="0039665E">
      <w:pPr>
        <w:pStyle w:val="Sinespaciado"/>
        <w:ind w:firstLine="709"/>
        <w:rPr>
          <w:color w:val="000000" w:themeColor="text1"/>
        </w:rPr>
      </w:pPr>
      <w:r w:rsidRPr="007A27A5">
        <w:rPr>
          <w:color w:val="000000" w:themeColor="text1"/>
        </w:rPr>
        <w:t xml:space="preserve">Por medio del presente y en estricto </w:t>
      </w:r>
      <w:r w:rsidR="00261730" w:rsidRPr="007A27A5">
        <w:rPr>
          <w:color w:val="000000" w:themeColor="text1"/>
        </w:rPr>
        <w:t xml:space="preserve">cumplimiento </w:t>
      </w:r>
      <w:r w:rsidRPr="007A27A5">
        <w:rPr>
          <w:color w:val="000000" w:themeColor="text1"/>
        </w:rPr>
        <w:t>a lo establecido en las fracciones V, XIX, XX de la Constitución Política del Estado Libre y Soberano de México, me permito entregar a esa Honorable Soberanía a través de su amable conducto, los instrumentos jurídicos siguientes que integran el Paquete Fiscal del Gobierno del Estado de México para el Ejercicio Fiscal 2026</w:t>
      </w:r>
      <w:r w:rsidR="00261730" w:rsidRPr="007A27A5">
        <w:rPr>
          <w:color w:val="000000" w:themeColor="text1"/>
        </w:rPr>
        <w:t>:</w:t>
      </w:r>
    </w:p>
    <w:p w:rsidR="00DD47FE" w:rsidRPr="007A27A5" w:rsidRDefault="00DD47FE" w:rsidP="0039665E">
      <w:pPr>
        <w:pStyle w:val="Sinespaciado"/>
        <w:ind w:firstLine="709"/>
        <w:rPr>
          <w:color w:val="000000" w:themeColor="text1"/>
        </w:rPr>
      </w:pPr>
      <w:r w:rsidRPr="007A27A5">
        <w:rPr>
          <w:color w:val="000000" w:themeColor="text1"/>
        </w:rPr>
        <w:t xml:space="preserve">1. Iniciativa de Ley de Ingresos del Estado de México para el Ejercicio Fiscal 2026. </w:t>
      </w:r>
    </w:p>
    <w:p w:rsidR="00DD47FE" w:rsidRPr="007A27A5" w:rsidRDefault="00DD47FE" w:rsidP="0039665E">
      <w:pPr>
        <w:pStyle w:val="Sinespaciado"/>
        <w:ind w:firstLine="709"/>
        <w:rPr>
          <w:color w:val="000000" w:themeColor="text1"/>
        </w:rPr>
      </w:pPr>
      <w:r w:rsidRPr="007A27A5">
        <w:rPr>
          <w:color w:val="000000" w:themeColor="text1"/>
        </w:rPr>
        <w:t xml:space="preserve">2. Iniciativa de la Ley de Ingresos de los Municipios del Estado de México para el Ejercicio Fiscal 2026. </w:t>
      </w:r>
    </w:p>
    <w:p w:rsidR="00DD47FE" w:rsidRPr="007A27A5" w:rsidRDefault="00DD47FE" w:rsidP="0039665E">
      <w:pPr>
        <w:pStyle w:val="Sinespaciado"/>
        <w:ind w:firstLine="709"/>
        <w:rPr>
          <w:color w:val="000000" w:themeColor="text1"/>
        </w:rPr>
      </w:pPr>
      <w:r w:rsidRPr="007A27A5">
        <w:rPr>
          <w:color w:val="000000" w:themeColor="text1"/>
        </w:rPr>
        <w:t>3. Iniciativa de Decreto de Presupuesto de Egresos del Gobierno del Estado de México para el Ejercicio Fiscal 2026.</w:t>
      </w:r>
    </w:p>
    <w:p w:rsidR="00DD47FE" w:rsidRPr="007A27A5" w:rsidRDefault="00DD47FE" w:rsidP="0039665E">
      <w:pPr>
        <w:pStyle w:val="Sinespaciado"/>
        <w:ind w:firstLine="709"/>
        <w:rPr>
          <w:color w:val="000000" w:themeColor="text1"/>
        </w:rPr>
      </w:pPr>
      <w:r w:rsidRPr="007A27A5">
        <w:rPr>
          <w:color w:val="000000" w:themeColor="text1"/>
        </w:rPr>
        <w:t xml:space="preserve">4. Iniciativa de Decreto por el que se reforman, adicionan y derogan diversas disposiciones del Código Financiero del Estado de México y Municipios y otros ordenamientos. </w:t>
      </w:r>
    </w:p>
    <w:p w:rsidR="00DD47FE" w:rsidRPr="007A27A5" w:rsidRDefault="00DD47FE" w:rsidP="0039665E">
      <w:pPr>
        <w:pStyle w:val="Sinespaciado"/>
        <w:ind w:firstLine="709"/>
        <w:rPr>
          <w:color w:val="000000" w:themeColor="text1"/>
        </w:rPr>
      </w:pPr>
      <w:r w:rsidRPr="007A27A5">
        <w:rPr>
          <w:color w:val="000000" w:themeColor="text1"/>
        </w:rPr>
        <w:t>5. Iniciativa de Decreto de autorización de Programa de Financiamiento</w:t>
      </w:r>
      <w:r w:rsidR="009E5B2C" w:rsidRPr="007A27A5">
        <w:rPr>
          <w:color w:val="000000" w:themeColor="text1"/>
        </w:rPr>
        <w:t xml:space="preserve"> FAIS</w:t>
      </w:r>
      <w:r w:rsidRPr="007A27A5">
        <w:rPr>
          <w:color w:val="000000" w:themeColor="text1"/>
        </w:rPr>
        <w:t xml:space="preserve"> Municipal.</w:t>
      </w:r>
    </w:p>
    <w:p w:rsidR="00DD47FE" w:rsidRPr="007A27A5" w:rsidRDefault="00DD47FE" w:rsidP="0039665E">
      <w:pPr>
        <w:pStyle w:val="Sinespaciado"/>
        <w:ind w:firstLine="709"/>
        <w:rPr>
          <w:color w:val="000000" w:themeColor="text1"/>
        </w:rPr>
      </w:pPr>
      <w:r w:rsidRPr="007A27A5">
        <w:rPr>
          <w:color w:val="000000" w:themeColor="text1"/>
        </w:rPr>
        <w:t xml:space="preserve">El contenido de estos instrumentos fue integrado a partir de la información técnica remitida por las áreas competentes y formulado con visión hacendaria responsable bajo principios de corresponsabilidad, planeación financiera, austeridad republicana, eficiencia en el gasto y transparencia, garantizando que cada peso invertido tenga el mayor impacto social posible, particularmente en beneficio de quienes más lo necesitan. </w:t>
      </w:r>
    </w:p>
    <w:p w:rsidR="00DD47FE" w:rsidRPr="007A27A5" w:rsidRDefault="00DD47FE" w:rsidP="0039665E">
      <w:pPr>
        <w:pStyle w:val="Sinespaciado"/>
        <w:ind w:firstLine="709"/>
        <w:rPr>
          <w:color w:val="000000" w:themeColor="text1"/>
        </w:rPr>
      </w:pPr>
      <w:r w:rsidRPr="007A27A5">
        <w:rPr>
          <w:color w:val="000000" w:themeColor="text1"/>
        </w:rPr>
        <w:t xml:space="preserve">El Paquete Fiscal 2026 refleja la política hacendaria que encabezo honesta, austera, eficiente y cercana a la gente, partiendo de una convicción que ha guiado la transformación del servicio público en México, no puede haber gobierno rico con pueblo pobre, en ese sentido, se priorizan decisiones fiscales que no se miden solo por metas recaudatorias, sino por su impacto en la reducción de brechas sociales y la construcción de bienestar para las familias mexiquenses. </w:t>
      </w:r>
    </w:p>
    <w:p w:rsidR="00DD47FE" w:rsidRPr="007A27A5" w:rsidRDefault="00DD47FE" w:rsidP="0039665E">
      <w:pPr>
        <w:pStyle w:val="Sinespaciado"/>
        <w:ind w:firstLine="709"/>
        <w:rPr>
          <w:color w:val="000000" w:themeColor="text1"/>
        </w:rPr>
      </w:pPr>
      <w:r w:rsidRPr="007A27A5">
        <w:rPr>
          <w:color w:val="000000" w:themeColor="text1"/>
        </w:rPr>
        <w:t xml:space="preserve">Este Paquete Fiscal se diseñen congruencia con la transformación del servicio público que rige a esta administración, que me honro en encabezar, con una visión de Estado que coloca en el centro a las personas, especialmente a quienes históricamente han sido relegados y concibe las finanzas públicas no como mecanismo de ajuste contable, sino como herramienta de justicia distributiva. </w:t>
      </w:r>
    </w:p>
    <w:p w:rsidR="00DD47FE" w:rsidRPr="007A27A5" w:rsidRDefault="00DD47FE" w:rsidP="0039665E">
      <w:pPr>
        <w:pStyle w:val="Sinespaciado"/>
        <w:ind w:firstLine="709"/>
        <w:rPr>
          <w:color w:val="000000" w:themeColor="text1"/>
        </w:rPr>
      </w:pPr>
      <w:r w:rsidRPr="007A27A5">
        <w:rPr>
          <w:color w:val="000000" w:themeColor="text1"/>
        </w:rPr>
        <w:t xml:space="preserve">Gobernar con honestidad no es una opción discursiva, es su obligación moral y política frente al pueblo del Estado de México. Por ello, estas propuestas privilegian la disciplina financiera, la sostenibilidad intergeneracional y el uso responsable de los recursos públicos como instrumento para la equidad y la movilidad social. </w:t>
      </w:r>
    </w:p>
    <w:p w:rsidR="00DD47FE" w:rsidRPr="007A27A5" w:rsidRDefault="00DD47FE" w:rsidP="0039665E">
      <w:pPr>
        <w:pStyle w:val="Sinespaciado"/>
        <w:ind w:firstLine="709"/>
        <w:rPr>
          <w:color w:val="000000" w:themeColor="text1"/>
        </w:rPr>
      </w:pPr>
      <w:r w:rsidRPr="007A27A5">
        <w:rPr>
          <w:color w:val="000000" w:themeColor="text1"/>
        </w:rPr>
        <w:t>Reite</w:t>
      </w:r>
      <w:bookmarkStart w:id="8" w:name="_GoBack"/>
      <w:bookmarkEnd w:id="8"/>
      <w:r w:rsidRPr="007A27A5">
        <w:rPr>
          <w:color w:val="000000" w:themeColor="text1"/>
        </w:rPr>
        <w:t xml:space="preserve">ro mi disposición para que con diálogo institucional y corresponsabilidad democrática construyamos los consensos necesarios a fin de que este Paquete Fiscal contribuya al desarrollo, la movilidad social y el bienestar de nuestra ciudadanía. </w:t>
      </w:r>
    </w:p>
    <w:p w:rsidR="00DD47FE" w:rsidRPr="007A27A5" w:rsidRDefault="00DD47FE" w:rsidP="0039665E">
      <w:pPr>
        <w:pStyle w:val="Sinespaciado"/>
        <w:ind w:firstLine="709"/>
        <w:rPr>
          <w:color w:val="000000" w:themeColor="text1"/>
        </w:rPr>
      </w:pPr>
      <w:r w:rsidRPr="007A27A5">
        <w:rPr>
          <w:color w:val="000000" w:themeColor="text1"/>
        </w:rPr>
        <w:t>Sin otro particular, aprovecho la ocasión para enviarle un cordial y respetuoso saludo.</w:t>
      </w:r>
    </w:p>
    <w:p w:rsidR="00DD47FE" w:rsidRPr="007A27A5" w:rsidRDefault="00DD47FE" w:rsidP="00B54AF5">
      <w:pPr>
        <w:pStyle w:val="Sinespaciado"/>
        <w:jc w:val="center"/>
        <w:rPr>
          <w:color w:val="000000" w:themeColor="text1"/>
        </w:rPr>
      </w:pPr>
      <w:r w:rsidRPr="007A27A5">
        <w:rPr>
          <w:color w:val="000000" w:themeColor="text1"/>
        </w:rPr>
        <w:t>GOBERNADORA CONSTITUCIONAL DEL ESTADO DE MÉXICO</w:t>
      </w:r>
    </w:p>
    <w:p w:rsidR="00DD47FE" w:rsidRPr="007A27A5" w:rsidRDefault="00DD47FE" w:rsidP="00B54AF5">
      <w:pPr>
        <w:pStyle w:val="Sinespaciado"/>
        <w:jc w:val="center"/>
        <w:rPr>
          <w:color w:val="000000" w:themeColor="text1"/>
        </w:rPr>
      </w:pPr>
      <w:r w:rsidRPr="007A27A5">
        <w:rPr>
          <w:color w:val="000000" w:themeColor="text1"/>
        </w:rPr>
        <w:t>MAESTRA DELFINA GÓMEZ ÁLVAREZ.</w:t>
      </w:r>
    </w:p>
    <w:p w:rsidR="00BF04FB" w:rsidRPr="007A27A5" w:rsidRDefault="00BF04FB" w:rsidP="001A03F6">
      <w:pPr>
        <w:pStyle w:val="Sinespaciado"/>
      </w:pPr>
    </w:p>
    <w:p w:rsidR="00BF04FB" w:rsidRPr="007A27A5" w:rsidRDefault="00BF04FB" w:rsidP="001A03F6">
      <w:pPr>
        <w:spacing w:after="0" w:line="240" w:lineRule="auto"/>
        <w:jc w:val="center"/>
        <w:rPr>
          <w:rFonts w:ascii="Times New Roman" w:hAnsi="Times New Roman"/>
          <w:i/>
          <w:sz w:val="24"/>
          <w:szCs w:val="24"/>
        </w:rPr>
      </w:pPr>
      <w:r w:rsidRPr="007A27A5">
        <w:rPr>
          <w:rFonts w:ascii="Times New Roman" w:hAnsi="Times New Roman"/>
          <w:i/>
          <w:sz w:val="24"/>
          <w:szCs w:val="24"/>
        </w:rPr>
        <w:t>(Se inserta documento)</w:t>
      </w:r>
    </w:p>
    <w:p w:rsidR="00BF04FB" w:rsidRPr="007A27A5" w:rsidRDefault="00BF04FB" w:rsidP="001A03F6">
      <w:pPr>
        <w:spacing w:after="0" w:line="240" w:lineRule="auto"/>
        <w:jc w:val="center"/>
        <w:rPr>
          <w:rFonts w:ascii="Times New Roman" w:hAnsi="Times New Roman"/>
          <w:sz w:val="24"/>
          <w:szCs w:val="24"/>
        </w:rPr>
      </w:pPr>
    </w:p>
    <w:p w:rsidR="00BF04FB" w:rsidRPr="007A27A5" w:rsidRDefault="00BF04FB" w:rsidP="00BF04FB">
      <w:pPr>
        <w:spacing w:after="0" w:line="240" w:lineRule="auto"/>
        <w:jc w:val="right"/>
        <w:rPr>
          <w:rFonts w:ascii="Times New Roman" w:eastAsia="Times New Roman" w:hAnsi="Times New Roman" w:cs="Times New Roman"/>
          <w:bCs/>
          <w:sz w:val="24"/>
          <w:szCs w:val="24"/>
          <w:lang w:eastAsia="es-ES"/>
        </w:rPr>
      </w:pPr>
      <w:r w:rsidRPr="007A27A5">
        <w:rPr>
          <w:rFonts w:ascii="Times New Roman" w:eastAsia="Times New Roman" w:hAnsi="Times New Roman" w:cs="Times New Roman"/>
          <w:bCs/>
          <w:sz w:val="24"/>
          <w:szCs w:val="24"/>
          <w:lang w:eastAsia="es-ES"/>
        </w:rPr>
        <w:t>Toluca  de  Lerdo,  México,</w:t>
      </w:r>
    </w:p>
    <w:p w:rsidR="00BF04FB" w:rsidRPr="007A27A5" w:rsidRDefault="00BF04FB" w:rsidP="00BF04FB">
      <w:pPr>
        <w:spacing w:after="0" w:line="240" w:lineRule="auto"/>
        <w:jc w:val="right"/>
        <w:rPr>
          <w:rFonts w:ascii="Times New Roman" w:eastAsia="Times New Roman" w:hAnsi="Times New Roman" w:cs="Times New Roman"/>
          <w:bCs/>
          <w:sz w:val="24"/>
          <w:szCs w:val="24"/>
          <w:lang w:eastAsia="es-ES"/>
        </w:rPr>
      </w:pPr>
      <w:r w:rsidRPr="007A27A5">
        <w:rPr>
          <w:rFonts w:ascii="Times New Roman" w:eastAsia="Times New Roman" w:hAnsi="Times New Roman" w:cs="Times New Roman"/>
          <w:bCs/>
          <w:sz w:val="24"/>
          <w:szCs w:val="24"/>
          <w:lang w:eastAsia="es-ES"/>
        </w:rPr>
        <w:lastRenderedPageBreak/>
        <w:t>a 19 de noviembre de 2025.</w:t>
      </w:r>
    </w:p>
    <w:p w:rsidR="00BF04FB" w:rsidRPr="007A27A5" w:rsidRDefault="00BF04FB" w:rsidP="00BF04FB">
      <w:pPr>
        <w:spacing w:after="0" w:line="240" w:lineRule="auto"/>
        <w:jc w:val="both"/>
        <w:rPr>
          <w:rFonts w:ascii="Times New Roman" w:eastAsia="Times New Roman" w:hAnsi="Times New Roman" w:cs="Times New Roman"/>
          <w:b/>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b/>
          <w:sz w:val="24"/>
          <w:szCs w:val="24"/>
          <w:lang w:eastAsia="es-ES"/>
        </w:rPr>
      </w:pPr>
      <w:r w:rsidRPr="007A27A5">
        <w:rPr>
          <w:rFonts w:ascii="Times New Roman" w:eastAsia="Times New Roman" w:hAnsi="Times New Roman" w:cs="Times New Roman"/>
          <w:b/>
          <w:sz w:val="24"/>
          <w:szCs w:val="24"/>
          <w:lang w:eastAsia="es-ES"/>
        </w:rPr>
        <w:t>DIPUTADA</w:t>
      </w:r>
    </w:p>
    <w:p w:rsidR="00BF04FB" w:rsidRPr="007A27A5" w:rsidRDefault="00BF04FB" w:rsidP="00BF04FB">
      <w:pPr>
        <w:spacing w:after="0" w:line="240" w:lineRule="auto"/>
        <w:jc w:val="both"/>
        <w:rPr>
          <w:rFonts w:ascii="Times New Roman" w:eastAsia="Times New Roman" w:hAnsi="Times New Roman" w:cs="Times New Roman"/>
          <w:b/>
          <w:sz w:val="24"/>
          <w:szCs w:val="24"/>
          <w:lang w:eastAsia="es-ES"/>
        </w:rPr>
      </w:pPr>
      <w:r w:rsidRPr="007A27A5">
        <w:rPr>
          <w:rFonts w:ascii="Times New Roman" w:eastAsia="Times New Roman" w:hAnsi="Times New Roman" w:cs="Times New Roman"/>
          <w:b/>
          <w:sz w:val="24"/>
          <w:szCs w:val="24"/>
          <w:lang w:eastAsia="es-ES"/>
        </w:rPr>
        <w:t>MARTHA AZUCENA CAMACHO REYNOSO</w:t>
      </w:r>
    </w:p>
    <w:p w:rsidR="00CF4E6E" w:rsidRDefault="00BF04FB" w:rsidP="00BF04FB">
      <w:pPr>
        <w:spacing w:after="0" w:line="240" w:lineRule="auto"/>
        <w:jc w:val="both"/>
        <w:rPr>
          <w:rFonts w:ascii="Times New Roman" w:eastAsia="Times New Roman" w:hAnsi="Times New Roman" w:cs="Times New Roman"/>
          <w:b/>
          <w:sz w:val="24"/>
          <w:szCs w:val="24"/>
          <w:lang w:eastAsia="es-ES"/>
        </w:rPr>
      </w:pPr>
      <w:r w:rsidRPr="007A27A5">
        <w:rPr>
          <w:rFonts w:ascii="Times New Roman" w:eastAsia="Times New Roman" w:hAnsi="Times New Roman" w:cs="Times New Roman"/>
          <w:b/>
          <w:sz w:val="24"/>
          <w:szCs w:val="24"/>
          <w:lang w:eastAsia="es-ES"/>
        </w:rPr>
        <w:t>PRESIDENTA DE LA MESA DIRECTIVA</w:t>
      </w:r>
    </w:p>
    <w:p w:rsidR="00BF04FB" w:rsidRPr="007A27A5" w:rsidRDefault="00BF04FB" w:rsidP="00BF04FB">
      <w:pPr>
        <w:spacing w:after="0" w:line="240" w:lineRule="auto"/>
        <w:jc w:val="both"/>
        <w:rPr>
          <w:rFonts w:ascii="Times New Roman" w:eastAsia="Times New Roman" w:hAnsi="Times New Roman" w:cs="Times New Roman"/>
          <w:b/>
          <w:sz w:val="24"/>
          <w:szCs w:val="24"/>
          <w:lang w:eastAsia="es-ES"/>
        </w:rPr>
      </w:pPr>
      <w:r w:rsidRPr="007A27A5">
        <w:rPr>
          <w:rFonts w:ascii="Times New Roman" w:eastAsia="Times New Roman" w:hAnsi="Times New Roman" w:cs="Times New Roman"/>
          <w:b/>
          <w:sz w:val="24"/>
          <w:szCs w:val="24"/>
          <w:lang w:eastAsia="es-ES"/>
        </w:rPr>
        <w:t>DE LA “LXII” LEGISLATURA DEL ESTADO DE MÉXICO</w:t>
      </w:r>
    </w:p>
    <w:p w:rsidR="00BF04FB" w:rsidRPr="007A27A5" w:rsidRDefault="00BF04FB" w:rsidP="00BF04FB">
      <w:pPr>
        <w:spacing w:after="0" w:line="240" w:lineRule="auto"/>
        <w:jc w:val="both"/>
        <w:rPr>
          <w:rFonts w:ascii="Times New Roman" w:eastAsia="Times New Roman" w:hAnsi="Times New Roman" w:cs="Times New Roman"/>
          <w:b/>
          <w:sz w:val="24"/>
          <w:szCs w:val="24"/>
          <w:lang w:eastAsia="es-ES"/>
        </w:rPr>
      </w:pPr>
      <w:r w:rsidRPr="007A27A5">
        <w:rPr>
          <w:rFonts w:ascii="Times New Roman" w:eastAsia="Times New Roman" w:hAnsi="Times New Roman" w:cs="Times New Roman"/>
          <w:b/>
          <w:sz w:val="24"/>
          <w:szCs w:val="24"/>
          <w:lang w:eastAsia="es-ES"/>
        </w:rPr>
        <w:t>P R E S E N T E</w:t>
      </w:r>
    </w:p>
    <w:p w:rsidR="00BF04FB" w:rsidRPr="007A27A5" w:rsidRDefault="00BF04FB" w:rsidP="00BF04FB">
      <w:pPr>
        <w:spacing w:after="0" w:line="240" w:lineRule="auto"/>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Por medio del presente y en estricto cumplimiento a lo establecido en los artículos 77 fracciones V, XIX y XX de la Constitución Política del Estado de Libre y Soberano de México, me permito entregar, a esa Honorable Soberanía, a través de su amable conducto, los instrumentos jurídicos siguientes que integran el Paquete Fiscal del Gobierno del Estado de México para el Ejercicio Fiscal 2026:</w:t>
      </w: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Iniciativa de Ley de Ingresos del Estado de México para el Ejercicio Fiscal 2026.</w:t>
      </w:r>
    </w:p>
    <w:p w:rsidR="00537789" w:rsidRDefault="00537789"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Iniciativa de Ley de Ingresos de los Municipios del Estado de México para el Ejercicio Fiscal 2026.</w:t>
      </w:r>
    </w:p>
    <w:p w:rsidR="00537789" w:rsidRDefault="00537789"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Iniciativa de Decreto de Presupuesto de Egresos del Gobierno del Estado de México para el Ejercicio Fiscal 2026.</w:t>
      </w:r>
    </w:p>
    <w:p w:rsidR="00537789" w:rsidRDefault="00537789"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Iniciativa de Decreto por el que se reforman, adicionan y derogan diversas disposiciones al Código Financiero del Estado de México y Municipios y otros ordenamientos.</w:t>
      </w:r>
    </w:p>
    <w:p w:rsidR="00537789" w:rsidRDefault="00537789"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Iniciativa de Decreto de Autorización del Programa de Financiamiento FAIS Municipal.</w:t>
      </w: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El contenido de estos instrumentos fue integrado a partir de la información técnica remitida por las áreas competentes, y formulado con visión hacendaria responsable, bajo principios de corresponsabilidad, planeación financiera, austeridad republicana, eficiencia en el gasto público y transparencia, garantizando que cada peso invertido tenga el mayor impacto social posible, particularmente en beneficio de quienes más lo necesitan.</w:t>
      </w: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El Paquete Fiscal 2026, refleja la política hacendaria que encabezo: honesta, austera, eficiente y cercana a la gente, partiendo de una convicción que ha guiado la transformación del servicio público en México: no puede haber gobierno rico con pueblo pobre. En este sentido, se priorizan decisiones fiscales que no se miden solo por metas recaudatorias, sino por su impacto en la reducción de brechas sociales y la construcción de bienestar para las familias mexiquenses.</w:t>
      </w: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Este Paquete Fiscal se diseña en congruencia con la transformación del servicio público que rige a esta administración que me honro en encabezar, con una visión de Estado que coloca en el centro a las personas, especialmente a quienes históricamente han sido relegados, y concibe las finanzas públicas no como mecanismo de ajuste contable, sino como herramienta de justicia distributiva.</w:t>
      </w: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Gobernar con honestidad no es una opción discursiva: es obligación moral y política frente al pueblo del Estado de México. Por ello, estas propuestas privilegian la disciplina financiera, la sostenibilidad intergeneracional y el uso responsable de los recursos públicos como instrumento para la equidad y la movilidad social.</w:t>
      </w: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lastRenderedPageBreak/>
        <w:t>Reitero mi disposición para que, con diálogo institucional y corresponsabilidad democrática, construyamos los consensos necesarios a fin de que este Paquete Fiscal contribuya al desarrollo, la movilidad social y el bienestar de nuestra ciudadanía.</w:t>
      </w: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p>
    <w:p w:rsidR="00BF04FB" w:rsidRPr="007A27A5" w:rsidRDefault="00BF04FB" w:rsidP="00BF04FB">
      <w:pPr>
        <w:spacing w:after="0" w:line="240" w:lineRule="auto"/>
        <w:jc w:val="both"/>
        <w:rPr>
          <w:rFonts w:ascii="Times New Roman" w:eastAsia="Times New Roman" w:hAnsi="Times New Roman" w:cs="Times New Roman"/>
          <w:sz w:val="24"/>
          <w:szCs w:val="24"/>
          <w:lang w:eastAsia="es-ES"/>
        </w:rPr>
      </w:pPr>
      <w:r w:rsidRPr="007A27A5">
        <w:rPr>
          <w:rFonts w:ascii="Times New Roman" w:eastAsia="Times New Roman" w:hAnsi="Times New Roman" w:cs="Times New Roman"/>
          <w:sz w:val="24"/>
          <w:szCs w:val="24"/>
          <w:lang w:eastAsia="es-ES"/>
        </w:rPr>
        <w:t>Sin otro particular, aprovecho la ocasión para enviarle un cordial y respetuoso saludo.</w:t>
      </w:r>
    </w:p>
    <w:p w:rsidR="00BF04FB" w:rsidRPr="007A27A5" w:rsidRDefault="00BF04FB" w:rsidP="00BF04FB">
      <w:pPr>
        <w:spacing w:after="0" w:line="240" w:lineRule="auto"/>
        <w:jc w:val="center"/>
        <w:rPr>
          <w:rFonts w:ascii="Times New Roman" w:eastAsia="Calibri" w:hAnsi="Times New Roman" w:cs="Times New Roman"/>
          <w:b/>
          <w:sz w:val="24"/>
          <w:szCs w:val="24"/>
          <w:lang w:eastAsia="es-ES"/>
        </w:rPr>
      </w:pPr>
    </w:p>
    <w:p w:rsidR="00BF04FB" w:rsidRPr="007A27A5" w:rsidRDefault="00BF04FB" w:rsidP="00BF04FB">
      <w:pPr>
        <w:spacing w:after="0" w:line="240" w:lineRule="auto"/>
        <w:jc w:val="center"/>
        <w:rPr>
          <w:rFonts w:ascii="Times New Roman" w:eastAsia="Calibri" w:hAnsi="Times New Roman" w:cs="Times New Roman"/>
          <w:b/>
          <w:sz w:val="24"/>
          <w:szCs w:val="24"/>
          <w:lang w:eastAsia="es-ES"/>
        </w:rPr>
      </w:pPr>
      <w:r w:rsidRPr="007A27A5">
        <w:rPr>
          <w:rFonts w:ascii="Times New Roman" w:eastAsia="Calibri" w:hAnsi="Times New Roman" w:cs="Times New Roman"/>
          <w:b/>
          <w:sz w:val="24"/>
          <w:szCs w:val="24"/>
          <w:lang w:eastAsia="es-ES"/>
        </w:rPr>
        <w:t>La Gobernadora Constitucional</w:t>
      </w:r>
    </w:p>
    <w:p w:rsidR="00BF04FB" w:rsidRPr="007A27A5" w:rsidRDefault="00BF04FB" w:rsidP="00BF04FB">
      <w:pPr>
        <w:spacing w:after="0" w:line="240" w:lineRule="auto"/>
        <w:jc w:val="center"/>
        <w:rPr>
          <w:rFonts w:ascii="Times New Roman" w:eastAsia="Calibri" w:hAnsi="Times New Roman" w:cs="Times New Roman"/>
          <w:b/>
          <w:sz w:val="24"/>
          <w:szCs w:val="24"/>
          <w:lang w:eastAsia="es-ES"/>
        </w:rPr>
      </w:pPr>
      <w:r w:rsidRPr="007A27A5">
        <w:rPr>
          <w:rFonts w:ascii="Times New Roman" w:eastAsia="Calibri" w:hAnsi="Times New Roman" w:cs="Times New Roman"/>
          <w:b/>
          <w:sz w:val="24"/>
          <w:szCs w:val="24"/>
          <w:lang w:eastAsia="es-ES"/>
        </w:rPr>
        <w:t>del Estado de México</w:t>
      </w:r>
    </w:p>
    <w:p w:rsidR="00BF04FB" w:rsidRPr="00EE2162" w:rsidRDefault="00BF04FB" w:rsidP="00BF04FB">
      <w:pPr>
        <w:spacing w:after="0" w:line="240" w:lineRule="auto"/>
        <w:jc w:val="center"/>
        <w:rPr>
          <w:rFonts w:ascii="Times New Roman" w:eastAsia="Times New Roman" w:hAnsi="Times New Roman" w:cs="Times New Roman"/>
          <w:sz w:val="24"/>
          <w:szCs w:val="24"/>
          <w:lang w:eastAsia="es-ES"/>
        </w:rPr>
      </w:pPr>
      <w:r w:rsidRPr="00EE2162">
        <w:rPr>
          <w:rFonts w:ascii="Times New Roman" w:eastAsia="Calibri" w:hAnsi="Times New Roman" w:cs="Times New Roman"/>
          <w:b/>
          <w:sz w:val="24"/>
          <w:szCs w:val="24"/>
          <w:lang w:eastAsia="es-ES"/>
        </w:rPr>
        <w:t>Mtra. Delfina Gómez Álvarez</w:t>
      </w:r>
    </w:p>
    <w:p w:rsidR="00BF04FB" w:rsidRPr="00EE2162" w:rsidRDefault="00BF04FB" w:rsidP="001A03F6">
      <w:pPr>
        <w:spacing w:after="0" w:line="240" w:lineRule="auto"/>
        <w:jc w:val="center"/>
        <w:rPr>
          <w:rFonts w:ascii="Times New Roman" w:hAnsi="Times New Roman"/>
          <w:sz w:val="24"/>
          <w:szCs w:val="24"/>
        </w:rPr>
      </w:pPr>
    </w:p>
    <w:p w:rsidR="00BF04FB" w:rsidRPr="00EE2162" w:rsidRDefault="00BF04FB" w:rsidP="001A03F6">
      <w:pPr>
        <w:spacing w:after="0" w:line="240" w:lineRule="auto"/>
        <w:jc w:val="center"/>
        <w:rPr>
          <w:rFonts w:ascii="Times New Roman" w:hAnsi="Times New Roman"/>
          <w:i/>
          <w:sz w:val="24"/>
          <w:szCs w:val="24"/>
        </w:rPr>
      </w:pPr>
      <w:r w:rsidRPr="00EE2162">
        <w:rPr>
          <w:rFonts w:ascii="Times New Roman" w:hAnsi="Times New Roman"/>
          <w:i/>
          <w:sz w:val="24"/>
          <w:szCs w:val="24"/>
        </w:rPr>
        <w:t>(Fin del documento)</w:t>
      </w:r>
    </w:p>
    <w:p w:rsidR="00BF04FB" w:rsidRPr="00EE2162" w:rsidRDefault="00BF04FB" w:rsidP="001A03F6">
      <w:pPr>
        <w:spacing w:after="0" w:line="240" w:lineRule="auto"/>
        <w:jc w:val="center"/>
        <w:rPr>
          <w:rFonts w:ascii="Times New Roman" w:hAnsi="Times New Roman"/>
          <w:sz w:val="24"/>
          <w:szCs w:val="24"/>
        </w:rPr>
      </w:pPr>
    </w:p>
    <w:p w:rsidR="00DD47FE" w:rsidRPr="00EE2162" w:rsidRDefault="00DD47FE" w:rsidP="00B54AF5">
      <w:pPr>
        <w:pStyle w:val="Sinespaciado"/>
        <w:rPr>
          <w:color w:val="000000" w:themeColor="text1"/>
        </w:rPr>
      </w:pPr>
      <w:r w:rsidRPr="00EE2162">
        <w:rPr>
          <w:color w:val="000000" w:themeColor="text1"/>
        </w:rPr>
        <w:t>PRESIDENTA DIP. MARTHA AZUCENA CAMACHO REYNOSO. Gracias, diputado Osvaldo Cortés Contreras.</w:t>
      </w:r>
    </w:p>
    <w:p w:rsidR="00DD47FE" w:rsidRPr="00EE2162" w:rsidRDefault="00DD47FE" w:rsidP="00EE2162">
      <w:pPr>
        <w:pStyle w:val="Sinespaciado"/>
        <w:ind w:firstLine="709"/>
        <w:rPr>
          <w:color w:val="000000" w:themeColor="text1"/>
        </w:rPr>
      </w:pPr>
      <w:r w:rsidRPr="00EE2162">
        <w:rPr>
          <w:color w:val="000000" w:themeColor="text1"/>
        </w:rPr>
        <w:t>Sobre el punto 5.1, el diputado Javier Cruz Jaramillo leerá la Iniciativa de Ley de Ingresos del Estado de México para el Ejercicio Fiscal 2026</w:t>
      </w:r>
      <w:r w:rsidR="007C7C48" w:rsidRPr="00EE2162">
        <w:rPr>
          <w:color w:val="000000" w:themeColor="text1"/>
        </w:rPr>
        <w:t>.</w:t>
      </w:r>
    </w:p>
    <w:p w:rsidR="00E469F0" w:rsidRPr="00EE2162" w:rsidRDefault="00482BF3"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000000" w:themeColor="text1"/>
          <w:sz w:val="24"/>
          <w:szCs w:val="24"/>
        </w:rPr>
        <w:t>DIP</w:t>
      </w:r>
      <w:r w:rsidR="00632F52" w:rsidRPr="00EE2162">
        <w:rPr>
          <w:rFonts w:ascii="Times New Roman" w:hAnsi="Times New Roman" w:cs="Times New Roman"/>
          <w:color w:val="000000" w:themeColor="text1"/>
          <w:sz w:val="24"/>
          <w:szCs w:val="24"/>
        </w:rPr>
        <w:t>.</w:t>
      </w:r>
      <w:r w:rsidRPr="00EE2162">
        <w:rPr>
          <w:rFonts w:ascii="Times New Roman" w:hAnsi="Times New Roman" w:cs="Times New Roman"/>
          <w:color w:val="000000" w:themeColor="text1"/>
          <w:sz w:val="24"/>
          <w:szCs w:val="24"/>
        </w:rPr>
        <w:t xml:space="preserve"> JAVIER CRUZ JARAMILLO. C</w:t>
      </w:r>
      <w:r w:rsidR="00E469F0" w:rsidRPr="00EE2162">
        <w:rPr>
          <w:rFonts w:ascii="Times New Roman" w:hAnsi="Times New Roman" w:cs="Times New Roman"/>
          <w:color w:val="000000" w:themeColor="text1"/>
          <w:sz w:val="24"/>
          <w:szCs w:val="24"/>
        </w:rPr>
        <w:t>on su venia Presidenta diputada.</w:t>
      </w:r>
    </w:p>
    <w:p w:rsidR="00E469F0" w:rsidRPr="00EE2162" w:rsidRDefault="00E469F0"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000000" w:themeColor="text1"/>
          <w:sz w:val="24"/>
          <w:szCs w:val="24"/>
        </w:rPr>
        <w:t>DIPUTADA MARTHA AZUCENA CAMACHO REYNOSO</w:t>
      </w:r>
    </w:p>
    <w:p w:rsidR="00E469F0" w:rsidRPr="00EE2162" w:rsidRDefault="00E469F0"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000000" w:themeColor="text1"/>
          <w:sz w:val="24"/>
          <w:szCs w:val="24"/>
        </w:rPr>
        <w:t>PRESIDENTA DE LA MESA DIRECTIVA DE LA LXII</w:t>
      </w:r>
    </w:p>
    <w:p w:rsidR="00E469F0" w:rsidRPr="00EE2162" w:rsidRDefault="00E469F0"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000000" w:themeColor="text1"/>
          <w:sz w:val="24"/>
          <w:szCs w:val="24"/>
        </w:rPr>
        <w:t>LEGISLATURA DEL ESTADO DE MÉXICO</w:t>
      </w:r>
    </w:p>
    <w:p w:rsidR="00E469F0" w:rsidRPr="00EE2162" w:rsidRDefault="00E469F0"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000000" w:themeColor="text1"/>
          <w:sz w:val="24"/>
          <w:szCs w:val="24"/>
        </w:rPr>
        <w:t>PRESENTE.</w:t>
      </w:r>
    </w:p>
    <w:p w:rsidR="00E469F0" w:rsidRPr="00EE2162" w:rsidRDefault="00E469F0"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BF8F00" w:themeColor="accent4" w:themeShade="BF"/>
          <w:sz w:val="24"/>
          <w:szCs w:val="24"/>
        </w:rPr>
        <w:tab/>
      </w:r>
      <w:r w:rsidRPr="00EE2162">
        <w:rPr>
          <w:rFonts w:ascii="Times New Roman" w:hAnsi="Times New Roman" w:cs="Times New Roman"/>
          <w:color w:val="000000" w:themeColor="text1"/>
          <w:sz w:val="24"/>
          <w:szCs w:val="24"/>
        </w:rPr>
        <w:t>Delfina Gómez Álvarez, Gobernadora Constitucional del Estado Libre y Soberano de México, en ejercicio de la facultad que me confieren los artículos 51 fracción I y 77 fracciones V, XIX de la Constitución Política del Estado Libre y Soberano de México, se somete a la consideración de esta H. Legislatura por el digno conducto de usted, la Iniciativa de Decreto por el que se expide la Ley de Ingresos del Estado de México para el Ejercicio Fiscal 2026, conforme a lo siguiente:</w:t>
      </w:r>
    </w:p>
    <w:p w:rsidR="00E469F0" w:rsidRPr="00EE2162" w:rsidRDefault="00E469F0"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BF8F00" w:themeColor="accent4" w:themeShade="BF"/>
          <w:sz w:val="24"/>
          <w:szCs w:val="24"/>
        </w:rPr>
        <w:tab/>
      </w:r>
      <w:r w:rsidRPr="00EE2162">
        <w:rPr>
          <w:rFonts w:ascii="Times New Roman" w:hAnsi="Times New Roman" w:cs="Times New Roman"/>
          <w:color w:val="000000" w:themeColor="text1"/>
          <w:sz w:val="24"/>
          <w:szCs w:val="24"/>
        </w:rPr>
        <w:t>Reitero a usted la seguridad de mi atenta y distinguida consideración.</w:t>
      </w:r>
    </w:p>
    <w:p w:rsidR="00E469F0" w:rsidRPr="00EE2162" w:rsidRDefault="00E469F0"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000000" w:themeColor="text1"/>
          <w:sz w:val="24"/>
          <w:szCs w:val="24"/>
        </w:rPr>
        <w:tab/>
        <w:t>Palacio del Poder Ejecutivo, de la ciudad de Toluca de Lerdo, capital del Estado de México, a los diecinueve del mes de noviembre del año dos mil veinticinco.</w:t>
      </w:r>
    </w:p>
    <w:p w:rsidR="00E469F0" w:rsidRPr="00EE2162" w:rsidRDefault="00E469F0" w:rsidP="00B54AF5">
      <w:pPr>
        <w:spacing w:after="0" w:line="240" w:lineRule="auto"/>
        <w:jc w:val="both"/>
        <w:rPr>
          <w:rFonts w:ascii="Times New Roman" w:hAnsi="Times New Roman" w:cs="Times New Roman"/>
          <w:color w:val="000000" w:themeColor="text1"/>
          <w:sz w:val="24"/>
          <w:szCs w:val="24"/>
        </w:rPr>
      </w:pPr>
      <w:r w:rsidRPr="00EE2162">
        <w:rPr>
          <w:rFonts w:ascii="Times New Roman" w:hAnsi="Times New Roman" w:cs="Times New Roman"/>
          <w:color w:val="000000" w:themeColor="text1"/>
          <w:sz w:val="24"/>
          <w:szCs w:val="24"/>
        </w:rPr>
        <w:tab/>
        <w:t>Es cuanto Presidenta.</w:t>
      </w:r>
    </w:p>
    <w:p w:rsidR="00EA489D" w:rsidRPr="00EE2162" w:rsidRDefault="00EA489D" w:rsidP="00EA489D">
      <w:pPr>
        <w:pStyle w:val="Sinespaciado"/>
      </w:pPr>
    </w:p>
    <w:p w:rsidR="00EA489D" w:rsidRPr="00EE2162" w:rsidRDefault="00EA489D" w:rsidP="00EA489D">
      <w:pPr>
        <w:spacing w:after="0" w:line="240" w:lineRule="auto"/>
        <w:jc w:val="center"/>
        <w:rPr>
          <w:rFonts w:ascii="Times New Roman" w:hAnsi="Times New Roman"/>
          <w:i/>
          <w:sz w:val="24"/>
          <w:szCs w:val="24"/>
        </w:rPr>
      </w:pPr>
      <w:r w:rsidRPr="00EE2162">
        <w:rPr>
          <w:rFonts w:ascii="Times New Roman" w:hAnsi="Times New Roman"/>
          <w:i/>
          <w:sz w:val="24"/>
          <w:szCs w:val="24"/>
        </w:rPr>
        <w:t>(Se inserta documento)</w:t>
      </w:r>
    </w:p>
    <w:p w:rsidR="00EA489D" w:rsidRPr="00EE2162" w:rsidRDefault="00EA489D" w:rsidP="00EA489D">
      <w:pPr>
        <w:spacing w:after="0" w:line="240" w:lineRule="auto"/>
        <w:jc w:val="center"/>
        <w:rPr>
          <w:rFonts w:ascii="Times New Roman" w:hAnsi="Times New Roman"/>
          <w:sz w:val="24"/>
          <w:szCs w:val="24"/>
        </w:rPr>
      </w:pPr>
    </w:p>
    <w:p w:rsidR="00DE3CD9" w:rsidRPr="007A27A5" w:rsidRDefault="00DE3CD9" w:rsidP="00DE3CD9">
      <w:pPr>
        <w:spacing w:after="0" w:line="240" w:lineRule="auto"/>
        <w:ind w:left="6521"/>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Toluca de Lerdo, México,</w:t>
      </w:r>
    </w:p>
    <w:p w:rsidR="00DE3CD9" w:rsidRPr="007A27A5" w:rsidRDefault="00DE3CD9" w:rsidP="00DE3CD9">
      <w:pPr>
        <w:spacing w:after="0" w:line="240" w:lineRule="auto"/>
        <w:ind w:left="6521"/>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 19 de noviembre de 2025.</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DIPUTADA</w:t>
      </w: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MARTHA AZUCENA CAMACHO REYNOSO</w:t>
      </w: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PRESIDENTA DE LA MESA DIRECTIVA</w:t>
      </w: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DE LA H. “LXII” LEGISLATURA DEL ESTADO DE MÉXICO</w:t>
      </w: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P R E S E N T E</w:t>
      </w:r>
    </w:p>
    <w:p w:rsidR="00DE3CD9" w:rsidRPr="007A27A5" w:rsidRDefault="00DE3CD9" w:rsidP="00DE3CD9">
      <w:pPr>
        <w:spacing w:after="0" w:line="240" w:lineRule="auto"/>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DELFINA GÓMEZ ÁLVAREZ, Gobernadora Constitucional del Estado Libre y Soberano de México,</w:t>
      </w:r>
      <w:r w:rsidRPr="007A27A5">
        <w:rPr>
          <w:rFonts w:ascii="Times New Roman" w:eastAsia="Batang" w:hAnsi="Times New Roman" w:cs="Times New Roman"/>
          <w:sz w:val="24"/>
          <w:szCs w:val="24"/>
        </w:rPr>
        <w:t xml:space="preserve"> en ejercicio de la facultad que me confieren los artículos 51 fracción I y 77 fracciones V y XIX de la Constitución Política del Estado Libre y Soberano de México, se somete a la consideración de esa H. Legislatura, por el digno conducto de Usted, </w:t>
      </w:r>
      <w:r w:rsidRPr="007A27A5">
        <w:rPr>
          <w:rFonts w:ascii="Times New Roman" w:eastAsia="Batang" w:hAnsi="Times New Roman" w:cs="Times New Roman"/>
          <w:b/>
          <w:bCs/>
          <w:sz w:val="24"/>
          <w:szCs w:val="24"/>
        </w:rPr>
        <w:t>Iniciativa de Decreto por el que se expide la Ley de Ingresos del Estado de México para el Ejercicio Fiscal 2026</w:t>
      </w:r>
      <w:r w:rsidRPr="007A27A5">
        <w:rPr>
          <w:rFonts w:ascii="Times New Roman" w:eastAsia="Batang" w:hAnsi="Times New Roman" w:cs="Times New Roman"/>
          <w:sz w:val="24"/>
          <w:szCs w:val="24"/>
        </w:rPr>
        <w:t>, conforme a la siguiente:</w:t>
      </w:r>
    </w:p>
    <w:p w:rsidR="00DE3CD9" w:rsidRPr="007A27A5" w:rsidRDefault="00DE3CD9" w:rsidP="00DE3CD9">
      <w:pPr>
        <w:spacing w:after="0" w:line="240" w:lineRule="auto"/>
        <w:jc w:val="center"/>
        <w:rPr>
          <w:rFonts w:ascii="Times New Roman" w:eastAsia="Batang" w:hAnsi="Times New Roman" w:cs="Times New Roman"/>
          <w:b/>
          <w:bCs/>
          <w:sz w:val="24"/>
          <w:szCs w:val="24"/>
        </w:rPr>
      </w:pPr>
    </w:p>
    <w:p w:rsidR="00DE3CD9" w:rsidRPr="007A27A5" w:rsidRDefault="00DE3CD9" w:rsidP="00DE3CD9">
      <w:pPr>
        <w:spacing w:after="0" w:line="240" w:lineRule="auto"/>
        <w:jc w:val="center"/>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EXPOSICIÓN DE MOTIVOS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el Estado de México la transformación avanza con paso firme, reflejando el mandato popular de construir un gobierno honesto, austero y eficiente, que consolide finanzas públicas sanas, justas y transparentes. Durante estos dos primeros años de trabajo, este Gobierno ha asumido con plena responsabilidad, el reto de fortalecer la administración tributaria, garantizando que cada peso recaudado se ejerza con transparencia bajo los principios de legalidad y eficacia, en estricto apego a la normatividad aplicable.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Desde el inicio de este gobierno, la premisa ha sido clara: ejercer el poder público únicamente para servir al pueblo. Los resultados son tangibles. Gracias a la modernización del sistema tributario, el uso de inteligencia fiscal y la simplificación administrativa, los ingresos propios del Estado han alcanzado una recaudación histórica de más de 56 mil millones de pesos en 2024. Este desempeño refleja una política de austeridad que no compromete el crecimiento, sino que lo respalda con bases sólidas.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crecimiento de la recaudación se ha logrado mediante acciones innovadoras de fiscalización y una gestión tributaria más cercana y eficiente. Destacan los avances en derechos e impuestos estatales, la actualización del padrón de contribuyentes y la ampliación de la base tributaria, que han permitido otorgar mayor autonomía a las finanzas públicas.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simplificación de procesos ha sido un factor clave para atraer inversión y fomentar la creación de empleo. Al segundo trimestre de 2025, la inversión extranjera directa creció 32 por ciento respecto al mismo periodo del año anterior</w:t>
      </w:r>
      <w:r w:rsidRPr="007A27A5">
        <w:rPr>
          <w:rFonts w:ascii="Times New Roman" w:eastAsia="Batang" w:hAnsi="Times New Roman" w:cs="Times New Roman"/>
          <w:sz w:val="24"/>
          <w:szCs w:val="24"/>
          <w:vertAlign w:val="superscript"/>
        </w:rPr>
        <w:footnoteReference w:id="1"/>
      </w:r>
      <w:r w:rsidRPr="007A27A5">
        <w:rPr>
          <w:rFonts w:ascii="Times New Roman" w:eastAsia="Batang" w:hAnsi="Times New Roman" w:cs="Times New Roman"/>
          <w:sz w:val="24"/>
          <w:szCs w:val="24"/>
        </w:rPr>
        <w:t>, y al mes de septiembre de 2025 se han generado poco más de 121 mil empleos formales</w:t>
      </w:r>
      <w:r w:rsidRPr="007A27A5">
        <w:rPr>
          <w:rFonts w:ascii="Times New Roman" w:eastAsia="Batang" w:hAnsi="Times New Roman" w:cs="Times New Roman"/>
          <w:sz w:val="24"/>
          <w:szCs w:val="24"/>
          <w:vertAlign w:val="superscript"/>
        </w:rPr>
        <w:footnoteReference w:id="2"/>
      </w:r>
      <w:r w:rsidRPr="007A27A5">
        <w:rPr>
          <w:rFonts w:ascii="Times New Roman" w:eastAsia="Batang" w:hAnsi="Times New Roman" w:cs="Times New Roman"/>
          <w:sz w:val="24"/>
          <w:szCs w:val="24"/>
        </w:rPr>
        <w:t>. Estas cifras confirman que una política fiscal prudente es motor de confianza y competitividad, teniendo como resultado que el Estado de México se consolide como un destino confiable para la inversión nacional e internacional.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este contexto, con el objetivo de seguir fortaleciendo las finanzas estatales, la presente Iniciativa de Ley de Ingresos del Estado de México para el Ejercicio Fiscal 2026, responde al contexto económico nacional e internacional marcado por factores que abren oportunidades para atraer inversión productiva. En esta misma línea, el Estado de México avanza en su proceso de transformación con el firme propósito de mantener la estabilidad financiera. No se crearán nuevos impuestos, reafirmando así el compromiso de seguir construyendo un camino más justo y solidario que beneficie directamente la economía de las familias mexiquenses.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Estado de México continuará ofreciendo un entorno de certeza fiscal que impulse la competitividad y detone proyectos productivos en la entidad, en una política de austeridad orientada a garantizar el bienestar de las y los habitantes de la entidad y a mantener finanzas públicas sanas. Es importante destacar que, por tercer año consecutivo, el Gobierno del Estado de México no contratará deuda, reafirmando una política de estricta disciplina financiera, refrendando el compromiso de fortalecer los ingresos estatales y atender las necesidades de la población sin recurrir al endeudamiento.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El Gobierno del Estado de México reitera su promesa con una transformación profunda y duradera: un cambio que garantice la igualdad, la justicia y la prosperidad, y que convierta a nuestra entidad en un motor económico y social del país. Con la confianza depositada por el pueblo mexiquense, seguiremos trabajando con honestidad, inteligencia y responsabilidad.</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 xml:space="preserve">Análisis del entorno económico internacional </w:t>
      </w:r>
    </w:p>
    <w:p w:rsidR="00DE3CD9" w:rsidRPr="007A27A5" w:rsidRDefault="00DE3CD9" w:rsidP="00DE3CD9">
      <w:pPr>
        <w:spacing w:after="0" w:line="240" w:lineRule="auto"/>
        <w:jc w:val="both"/>
        <w:rPr>
          <w:rFonts w:ascii="Times New Roman" w:eastAsia="Batang" w:hAnsi="Times New Roman" w:cs="Times New Roman"/>
          <w:color w:val="BFBFBF"/>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Debido al papel relevante que desempeña la economía mexiquense en el ámbito nacional, resulta imprescindible dar seguimiento al desempeño de los actores clave en la economía global. En este contexto, durante el segundo trimestre de 2025, la economía global mostró una expansión moderada pasando de 2.8 por ciento a 3.0 por ciento ligeramente superior a la registrada en el trimestre anterior, principalmente por el repunte de la actividad económica estadounidense que impulsó el promedio global y a pesar de que las economías avanzadas crecieron a un ritmo más lento. Por su parte, las economías emergentes mantuvieron un ritmo de expansión de 4.1 por ciento, superior al trimestre previo de 3.7 por ciento. Es de destacar que, a nivel sectorial, el sector manufacturero global mostró signos de debilidad, mientras que los servicios continuaron con un crecimiento estable</w:t>
      </w:r>
      <w:r w:rsidRPr="007A27A5">
        <w:rPr>
          <w:rFonts w:ascii="Times New Roman" w:eastAsia="Batang" w:hAnsi="Times New Roman" w:cs="Times New Roman"/>
          <w:sz w:val="24"/>
          <w:szCs w:val="24"/>
          <w:vertAlign w:val="superscript"/>
        </w:rPr>
        <w:footnoteReference w:id="3"/>
      </w:r>
      <w:r w:rsidRPr="007A27A5">
        <w:rPr>
          <w:rFonts w:ascii="Times New Roman" w:eastAsia="Batang" w:hAnsi="Times New Roman" w:cs="Times New Roman"/>
          <w:sz w:val="24"/>
          <w:szCs w:val="24"/>
        </w:rPr>
        <w:t>.</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comercio mundial de mercancías registró un crecimiento moderado en el segundo trimestre, luego del impulso observado al inicio del año por compras anticipadas ante la imposición de aranceles de Estados Unidos. La incertidumbre aumentó cuando ese país anunció aranceles recíprocos de alcance global y medidas adicionales sobre productos como aluminio, acero y cobre. Aunque algunas medidas fueron pospuestas o ajustadas mediante acuerdos con ciertos países, la volatilidad y la incertidumbre sobre sus efectos en la economía global permanecen altas.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Las previsiones de crecimiento global para 2025 y 2026 se han ajustado principalmente por los riesgos derivados de las tensiones comerciales. A pesar de ello, los pronósticos más recientes sugieren que la desaceleración será moderada, gracias a aranceles más bajos de lo inicialmente anunciado y a mejores condiciones financieras. Se espera que Estados Unidos mantenga un ritmo de crecimiento superior al de la mayoría de las economías avanzadas (2.0 por ciento para 2025 y 2.1 por ciento para 2026). Para América Latina y el Caribe se esperan crecimientos de 2.4 y 2.3 por ciento para 2025 y 2026, respectivamente</w:t>
      </w:r>
      <w:r w:rsidRPr="007A27A5">
        <w:rPr>
          <w:rFonts w:ascii="Times New Roman" w:eastAsia="Batang" w:hAnsi="Times New Roman" w:cs="Times New Roman"/>
          <w:sz w:val="24"/>
          <w:szCs w:val="24"/>
          <w:vertAlign w:val="superscript"/>
        </w:rPr>
        <w:footnoteReference w:id="4"/>
      </w:r>
      <w:r w:rsidRPr="007A27A5">
        <w:rPr>
          <w:rFonts w:ascii="Times New Roman" w:eastAsia="Batang" w:hAnsi="Times New Roman" w:cs="Times New Roman"/>
          <w:sz w:val="24"/>
          <w:szCs w:val="24"/>
        </w:rPr>
        <w:t>.</w:t>
      </w:r>
    </w:p>
    <w:p w:rsidR="00DE3CD9" w:rsidRPr="007A27A5" w:rsidRDefault="00DE3CD9" w:rsidP="00DE3CD9">
      <w:pPr>
        <w:spacing w:after="0" w:line="240" w:lineRule="auto"/>
        <w:jc w:val="center"/>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Perspectivas de crecimiento económico</w:t>
      </w:r>
    </w:p>
    <w:p w:rsidR="00DE3CD9" w:rsidRPr="007A27A5" w:rsidRDefault="00DE3CD9" w:rsidP="00DE3CD9">
      <w:pPr>
        <w:spacing w:after="0" w:line="240" w:lineRule="auto"/>
        <w:jc w:val="both"/>
        <w:rPr>
          <w:rFonts w:ascii="Times New Roman" w:eastAsia="Batang" w:hAnsi="Times New Roman" w:cs="Times New Roman"/>
          <w:sz w:val="24"/>
          <w:szCs w:val="24"/>
        </w:rPr>
      </w:pPr>
    </w:p>
    <w:tbl>
      <w:tblPr>
        <w:tblW w:w="616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4A0" w:firstRow="1" w:lastRow="0" w:firstColumn="1" w:lastColumn="0" w:noHBand="0" w:noVBand="1"/>
      </w:tblPr>
      <w:tblGrid>
        <w:gridCol w:w="2972"/>
        <w:gridCol w:w="1648"/>
        <w:gridCol w:w="1540"/>
      </w:tblGrid>
      <w:tr w:rsidR="00DE3CD9" w:rsidRPr="007A27A5" w:rsidTr="00DE3CD9">
        <w:trPr>
          <w:trHeight w:val="20"/>
          <w:jc w:val="center"/>
        </w:trPr>
        <w:tc>
          <w:tcPr>
            <w:tcW w:w="2972" w:type="dxa"/>
            <w:shd w:val="clear" w:color="auto" w:fill="B5B5B5"/>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FFFFFF"/>
                <w:sz w:val="24"/>
                <w:szCs w:val="24"/>
                <w:lang w:eastAsia="es-MX"/>
              </w:rPr>
            </w:pPr>
            <w:r w:rsidRPr="007A27A5">
              <w:rPr>
                <w:rFonts w:ascii="Times New Roman" w:eastAsia="Times New Roman" w:hAnsi="Times New Roman" w:cs="Times New Roman"/>
                <w:b/>
                <w:bCs/>
                <w:color w:val="FFFFFF"/>
                <w:sz w:val="24"/>
                <w:szCs w:val="24"/>
                <w:lang w:eastAsia="es-MX"/>
              </w:rPr>
              <w:t>Concepto</w:t>
            </w:r>
          </w:p>
        </w:tc>
        <w:tc>
          <w:tcPr>
            <w:tcW w:w="1648" w:type="dxa"/>
            <w:shd w:val="clear" w:color="auto" w:fill="B5B5B5"/>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FFFFFF"/>
                <w:sz w:val="24"/>
                <w:szCs w:val="24"/>
                <w:lang w:eastAsia="es-MX"/>
              </w:rPr>
            </w:pPr>
            <w:r w:rsidRPr="007A27A5">
              <w:rPr>
                <w:rFonts w:ascii="Times New Roman" w:eastAsia="Times New Roman" w:hAnsi="Times New Roman" w:cs="Times New Roman"/>
                <w:b/>
                <w:bCs/>
                <w:color w:val="FFFFFF"/>
                <w:sz w:val="24"/>
                <w:szCs w:val="24"/>
                <w:lang w:eastAsia="es-MX"/>
              </w:rPr>
              <w:t>Proyección 2025</w:t>
            </w:r>
          </w:p>
        </w:tc>
        <w:tc>
          <w:tcPr>
            <w:tcW w:w="1540" w:type="dxa"/>
            <w:shd w:val="clear" w:color="auto" w:fill="B5B5B5"/>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FFFFFF"/>
                <w:sz w:val="24"/>
                <w:szCs w:val="24"/>
                <w:lang w:eastAsia="es-MX"/>
              </w:rPr>
            </w:pPr>
            <w:r w:rsidRPr="007A27A5">
              <w:rPr>
                <w:rFonts w:ascii="Times New Roman" w:eastAsia="Times New Roman" w:hAnsi="Times New Roman" w:cs="Times New Roman"/>
                <w:b/>
                <w:bCs/>
                <w:color w:val="FFFFFF"/>
                <w:sz w:val="24"/>
                <w:szCs w:val="24"/>
                <w:lang w:eastAsia="es-MX"/>
              </w:rPr>
              <w:t>Proyección 2026</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Economías avanzadas</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1.6%</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1.6%</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EE.UU.</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2.0%</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2.1%</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Alemania </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0.2%</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0.9%</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Francia</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0.7%</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0.9%</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Economías emergentes y en desarrollo</w:t>
            </w:r>
          </w:p>
        </w:tc>
        <w:tc>
          <w:tcPr>
            <w:tcW w:w="1648" w:type="dxa"/>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4.2%</w:t>
            </w:r>
          </w:p>
        </w:tc>
        <w:tc>
          <w:tcPr>
            <w:tcW w:w="1540" w:type="dxa"/>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4.0%</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China</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4.8%</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4.2%</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India</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6.6%</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6.2%</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América Latina y el Caribe</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2.4%</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2.3%</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Brasil</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2.4%</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1.9%</w:t>
            </w:r>
          </w:p>
        </w:tc>
      </w:tr>
      <w:tr w:rsidR="00DE3CD9" w:rsidRPr="007A27A5" w:rsidTr="00DE3CD9">
        <w:trPr>
          <w:trHeight w:val="20"/>
          <w:jc w:val="center"/>
        </w:trPr>
        <w:tc>
          <w:tcPr>
            <w:tcW w:w="2972" w:type="dxa"/>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lastRenderedPageBreak/>
              <w:t xml:space="preserve">México </w:t>
            </w:r>
          </w:p>
        </w:tc>
        <w:tc>
          <w:tcPr>
            <w:tcW w:w="1648"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1.0%</w:t>
            </w:r>
          </w:p>
        </w:tc>
        <w:tc>
          <w:tcPr>
            <w:tcW w:w="1540" w:type="dxa"/>
            <w:noWrap/>
            <w:vAlign w:val="bottom"/>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1.5%</w:t>
            </w:r>
          </w:p>
        </w:tc>
      </w:tr>
    </w:tbl>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sz w:val="24"/>
          <w:szCs w:val="24"/>
        </w:rPr>
        <w:t>Fuente: FMI, Perspectivas de la economía mundial (informe WEO), octubre 2025</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Estados Unidos la economía se recuperó en el segundo trimestre de 2025, con un crecimiento del Producto Interno Bruto (PIB) de 0.7 por ciento trimestral. Este aumento se debió principalmente a las exportaciones netas y al cambio en inventarios, aunque el consumo privado mostró cierta moderación. La producción industrial creció de manera más lenta, con avances en manufactura y minería, pero retrocesos en generación de electricidad y gas. El mercado laboral mantiene condiciones cercanas al equilibrio, aunque con señales de menor dinamismo, y la inflación salarial se mantuvo estable.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zona del euro experimentó prácticamente un estancamiento económico en el segundo trimestre, con un crecimiento de apenas 0.1 por ciento. La actividad manufacturera se mantuvo débil, mientras que los servicios mostraron desaceleración. No obstante, el mercado laboral sigue sólido, con una tasa de desempleo baja y estable. En el resto de las economías avanzadas se observó un crecimiento menor al trimestre previo, aunque con mercados laborales relativamente estables.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China registró un crecimiento de 1.1 por ciento en el segundo trimestre, ligeramente menor al trimestre anterior, impulsado principalmente por las exportaciones y el consumo interno. La inversión en activos fijos continúa desacelerándose y persisten desafíos derivados de la debilidad del sector inmobiliario, la demanda interna y la incertidumbre por tensiones comerciales con Estados Unidos. A pesar de los estímulos fiscales, el panorama de la economía china refleja una recuperación gradual y aún frágil.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enfrentar estos desafíos, los organismos internacionales recomiendan fortalecer la cooperación global en comercio, mantener vigilancia monetaria para asegurar la estabilidad de precios, promover disciplina fiscal, mejorar la supervisión financiera y avanzar en reformas estructurales que potencien la adopción de nuevas tecnologías, como la inteligencia artificial</w:t>
      </w:r>
      <w:r w:rsidRPr="007A27A5">
        <w:rPr>
          <w:rFonts w:ascii="Times New Roman" w:eastAsia="Batang" w:hAnsi="Times New Roman" w:cs="Times New Roman"/>
          <w:sz w:val="24"/>
          <w:szCs w:val="24"/>
          <w:vertAlign w:val="superscript"/>
        </w:rPr>
        <w:footnoteReference w:id="5"/>
      </w:r>
      <w:r w:rsidRPr="007A27A5">
        <w:rPr>
          <w:rFonts w:ascii="Times New Roman" w:eastAsia="Batang" w:hAnsi="Times New Roman" w:cs="Times New Roman"/>
          <w:sz w:val="24"/>
          <w:szCs w:val="24"/>
        </w:rPr>
        <w:t>. Estas acciones no solo son clave para la estabilidad económica global, sino que también influyen directamente en la dinámica económica de México y del Estado de México, al determinar oportunidades de comercio, inversión y empleo.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 xml:space="preserve">Desempeño económico nacional </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Durante el segundo trimestre de 2025, la economía mexicana mostró un crecimiento positivo de 0.6 por ciento trimestral</w:t>
      </w:r>
      <w:r w:rsidRPr="007A27A5">
        <w:rPr>
          <w:rFonts w:ascii="Times New Roman" w:eastAsia="Batang" w:hAnsi="Times New Roman" w:cs="Times New Roman"/>
          <w:sz w:val="24"/>
          <w:szCs w:val="24"/>
          <w:vertAlign w:val="superscript"/>
        </w:rPr>
        <w:footnoteReference w:id="6"/>
      </w:r>
      <w:r w:rsidRPr="007A27A5">
        <w:rPr>
          <w:rFonts w:ascii="Times New Roman" w:eastAsia="Batang" w:hAnsi="Times New Roman" w:cs="Times New Roman"/>
          <w:sz w:val="24"/>
          <w:szCs w:val="24"/>
        </w:rPr>
        <w:t>, superando el desempeño de los dos trimestres previos a pesar de la incertidumbre global. Este avance reflejó la recuperación de los servicios y de la industria, mientras que las actividades primarias, como la agricultura y la ganadería, disminuyeron después de un repunte en el primer trimestre.</w:t>
      </w: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noProof/>
          <w:sz w:val="24"/>
          <w:szCs w:val="24"/>
          <w:lang w:eastAsia="es-MX"/>
        </w:rPr>
        <w:lastRenderedPageBreak/>
        <w:drawing>
          <wp:inline distT="0" distB="0" distL="0" distR="0" wp14:anchorId="0EAE2D32" wp14:editId="4B08A311">
            <wp:extent cx="5295265" cy="1762125"/>
            <wp:effectExtent l="0" t="0" r="635" b="0"/>
            <wp:docPr id="1844123519" name="Gráfico 1">
              <a:extLst xmlns:a="http://schemas.openxmlformats.org/drawingml/2006/main">
                <a:ext uri="{FF2B5EF4-FFF2-40B4-BE49-F238E27FC236}">
                  <a16:creationId xmlns:a16="http://schemas.microsoft.com/office/drawing/2014/main" id="{F2BCC4B0-C07C-4A2D-852E-A177385319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E3CD9" w:rsidRPr="007A27A5" w:rsidRDefault="00DE3CD9" w:rsidP="00DE3CD9">
      <w:pPr>
        <w:spacing w:after="0" w:line="240" w:lineRule="auto"/>
        <w:ind w:left="708"/>
        <w:jc w:val="center"/>
        <w:rPr>
          <w:rFonts w:ascii="Times New Roman" w:eastAsia="Batang" w:hAnsi="Times New Roman" w:cs="Times New Roman"/>
          <w:sz w:val="24"/>
          <w:szCs w:val="24"/>
        </w:rPr>
      </w:pPr>
      <w:r w:rsidRPr="007A27A5">
        <w:rPr>
          <w:rFonts w:ascii="Times New Roman" w:eastAsia="Batang" w:hAnsi="Times New Roman" w:cs="Times New Roman"/>
          <w:sz w:val="24"/>
          <w:szCs w:val="24"/>
        </w:rPr>
        <w:t>Fuente: INEGI.</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consumo de los hogares experimentó una mejora en abril y mayo de 2025, impulsado principalmente por bienes y servicios nacionales. Aunque las importaciones de bienes mostraron cierta debilidad, el consumo interno contribuyó de manera positiva al crecimiento económico, equilibrando la menor inversión fija bruta, que continuó con una tendencia negativa, especialmente en maquinaria y equipo.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inversión en construcción presentó una ligera recuperación respecto a inicios de año, destacando obras no residenciales como infraestructura eléctrica, vial y ferroviaria. Sin embargo, los indicadores de confianza empresarial mostraron retrocesos, reflejando cautela en manufactura, construcción, comercio y servicios privados no financieros ante la incertidumbre económica.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Las exportaciones mexicanas se mantuvieron dinámicas, sobre todo en manufacturas no automotrices, mientras que las automotrices permanecieron con crecimiento moderado. Las exportaciones petroleras y agropecuarias mostraron contracción, afectadas por menores precios internacionales, reducción de volúmenes y restricciones comerciales. A pesar de ello, la balanza comercial general registró superávit, aunque menor que en el primer trimestre de 2025.</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comercio con Estados Unidos destacó como motor del crecimiento, especialmente en productos de alto contenido tecnológico, como computadoras y electrónicos, con incrementos históricos en las exportaciones. Este dinamismo compensó parcialmente la caída en exportaciones de transporte, afectadas por políticas comerciales y la desaceleración del mercado estadounidense.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el mercado laboral, se observó un aumento moderado en la población ocupada, concentrado en el sector servicios, particularmente en transporte y servicios profesionales. La población económicamente activa creció, pero la participación laboral disminuyó ligeramente debido a un aumento en la población no disponible, como estudiantes y adultos mayores. La tasa de desocupación se mantuvo estable en 2.7 por ciento a septiembre de 2025</w:t>
      </w:r>
      <w:r w:rsidRPr="007A27A5">
        <w:rPr>
          <w:rFonts w:ascii="Times New Roman" w:eastAsia="Batang" w:hAnsi="Times New Roman" w:cs="Times New Roman"/>
          <w:sz w:val="24"/>
          <w:szCs w:val="24"/>
          <w:vertAlign w:val="superscript"/>
        </w:rPr>
        <w:footnoteReference w:id="7"/>
      </w:r>
      <w:r w:rsidRPr="007A27A5">
        <w:rPr>
          <w:rFonts w:ascii="Times New Roman" w:eastAsia="Batang" w:hAnsi="Times New Roman" w:cs="Times New Roman"/>
          <w:sz w:val="24"/>
          <w:szCs w:val="24"/>
        </w:rPr>
        <w:t>.</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noProof/>
          <w:sz w:val="24"/>
          <w:szCs w:val="24"/>
          <w:lang w:eastAsia="es-MX"/>
        </w:rPr>
        <w:lastRenderedPageBreak/>
        <w:drawing>
          <wp:inline distT="0" distB="0" distL="0" distR="0" wp14:anchorId="25649D17" wp14:editId="1FEB53FF">
            <wp:extent cx="5972175" cy="2095500"/>
            <wp:effectExtent l="0" t="0" r="0" b="0"/>
            <wp:docPr id="52632850" name="Gráfico 1">
              <a:extLst xmlns:a="http://schemas.openxmlformats.org/drawingml/2006/main">
                <a:ext uri="{FF2B5EF4-FFF2-40B4-BE49-F238E27FC236}">
                  <a16:creationId xmlns:a16="http://schemas.microsoft.com/office/drawing/2014/main" id="{1F635666-128A-56C6-5F26-578DCF7057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sz w:val="24"/>
          <w:szCs w:val="24"/>
        </w:rPr>
        <w:t>Fuente: INEGI</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Los salarios reales mostraron un comportamiento positivo, con aumentos tanto en puestos registrados ante el IMSS como en encuestas de empleo nacional. La inflación al consumidor repuntó a 4.2 por ciento anual en el segundo trimestre, con un aumento en la inflación subyacente a 4.1 por ciento, impulsada por mercancías no alimenticias y precios de productos agropecuarios. Por su parte, la inflación de energéticos se mantuvo controlada gracias a acuerdos para mantener precios de gasolina estables y la inflación al productor mostró una disminución significativa, beneficiada por la apreciación del peso.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cuenta corriente de la balanza de pagos presentó un déficit menor al del año pasado, apoyado por el aumento de la balanza comercial no petrolera y los ingresos por turismo, que crecieron gracias a un mayor número de visitantes internacionales. Los flujos de inversión extranjera directa alcanzaron niveles récord, concentrándose principalmente en manufactura, especialmente en la fabricación de equipo de transporte y autopartes.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resumen, la economía mexicana se mantuvo resiliente frente a la incertidumbre global, con un crecimiento impulsado por consumo interno, exportaciones competitivas y atracción de inversión extranjera. Este entorno influye directamente en la dinámica económica del Estado de México, al fortalecer la actividad industrial, el comercio y los servicios, así como al generar oportunidades de empleo y mejorar la capacidad de gasto de los hogares en la entidad.</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Desempeño económico del Estado de México</w:t>
      </w: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análisis del entorno económico estatal permite comprender la relevancia del Estado de México dentro del contexto nacional, así como su papel en la dinámica productiva y de crecimiento del país. La entidad se consolida como la segunda economía más importante de México, al aportar aproximadamente el 9.0 por ciento del PIB Nacional. Su economía mantiene una estrecha correlación con el desempeño de la economía nacional, tanto en su tamaño como en su comportamiento cíclico, reflejando una tendencia de evolución similar. Esta estrecha vinculación tiene efectos directos en la generación de ingresos estatales y en la capacidad financiera del gobierno para impulsar políticas públicas orientadas al desarrollo.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Durante 2025, el entorno macroeconómico estatal ha mostrado condiciones de estabilidad. En materia de precios, durante el mes de septiembre de 2025, la inflación estatal se ubicó en 3.6 por ciento, cifra ligeramente inferior al promedio nacional de 3.76 por ciento, lo que demuestra un </w:t>
      </w:r>
      <w:r w:rsidRPr="007A27A5">
        <w:rPr>
          <w:rFonts w:ascii="Times New Roman" w:eastAsia="Batang" w:hAnsi="Times New Roman" w:cs="Times New Roman"/>
          <w:sz w:val="24"/>
          <w:szCs w:val="24"/>
        </w:rPr>
        <w:lastRenderedPageBreak/>
        <w:t>entorno de control de precios que contribuye al poder adquisitivo de los hogares mexiquenses y a mantener condiciones favorables para la planeación financiera pública.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noProof/>
          <w:sz w:val="24"/>
          <w:szCs w:val="24"/>
          <w:shd w:val="clear" w:color="auto" w:fill="D9D9D9"/>
          <w:lang w:eastAsia="es-MX"/>
        </w:rPr>
        <w:drawing>
          <wp:inline distT="0" distB="0" distL="0" distR="0" wp14:anchorId="220232E8" wp14:editId="4967BCE1">
            <wp:extent cx="6067425" cy="2990850"/>
            <wp:effectExtent l="0" t="0" r="0" b="0"/>
            <wp:docPr id="460046576" name="Gráfico 1">
              <a:extLst xmlns:a="http://schemas.openxmlformats.org/drawingml/2006/main">
                <a:ext uri="{FF2B5EF4-FFF2-40B4-BE49-F238E27FC236}">
                  <a16:creationId xmlns:a16="http://schemas.microsoft.com/office/drawing/2014/main" id="{ADC22459-323A-4315-9D03-FE5AEA7718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sz w:val="24"/>
          <w:szCs w:val="24"/>
        </w:rPr>
        <w:t>Fuente: INEGI.</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cuanto a la inversión, al segundo trimestre de 2025 el Estado de México se posicionó como la tercera entidad del país con mayor captación de Inversión Extranjera Directa (IED), registrando un monto de 2,248.8 millones de dólares, de los cuales 46 por ciento son provenientes del sector manufacturero.</w:t>
      </w: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noProof/>
          <w:sz w:val="24"/>
          <w:szCs w:val="24"/>
          <w:lang w:eastAsia="es-MX"/>
        </w:rPr>
        <w:drawing>
          <wp:inline distT="0" distB="0" distL="0" distR="0" wp14:anchorId="2BC5F256" wp14:editId="63EE849D">
            <wp:extent cx="5343525" cy="2581275"/>
            <wp:effectExtent l="0" t="0" r="0" b="0"/>
            <wp:docPr id="1938129532" name="Gráfico 1">
              <a:extLst xmlns:a="http://schemas.openxmlformats.org/drawingml/2006/main">
                <a:ext uri="{FF2B5EF4-FFF2-40B4-BE49-F238E27FC236}">
                  <a16:creationId xmlns:a16="http://schemas.microsoft.com/office/drawing/2014/main" id="{EEE77BDD-73BE-9E3F-9D5E-24598C604E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sz w:val="24"/>
          <w:szCs w:val="24"/>
        </w:rPr>
        <w:t>Fuente: Secretaría de Economía, Inversión Extranjera Directa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sz w:val="24"/>
          <w:szCs w:val="24"/>
        </w:rPr>
        <w:t xml:space="preserve">El fortalecimiento económico se ha reflejado también en el mercado laboral. El Estado se ubica en la primera posición de generación de empleo, creando el 36.5 por ciento del total nacional de empleos formales al mes de septiembre, lo que lo convierte en un actor clave en la consolidación del empleo formal en México. Además, se registran avances en la reducción de la tasa de desocupación, que disminuyó de 3.3 a 2.9 por ciento durante el segundo trimestre de 2025, reflejando un mercado laboral más dinámico. </w:t>
      </w:r>
    </w:p>
    <w:p w:rsidR="00DE3CD9" w:rsidRPr="007A27A5" w:rsidRDefault="00DE3CD9" w:rsidP="00DE3CD9">
      <w:pPr>
        <w:spacing w:after="0" w:line="240" w:lineRule="auto"/>
        <w:rPr>
          <w:rFonts w:ascii="Times New Roman" w:eastAsia="Batang" w:hAnsi="Times New Roman" w:cs="Times New Roman"/>
          <w:i/>
          <w:iCs/>
          <w:sz w:val="24"/>
          <w:szCs w:val="24"/>
        </w:rPr>
      </w:pP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noProof/>
          <w:sz w:val="24"/>
          <w:szCs w:val="24"/>
          <w:lang w:eastAsia="es-MX"/>
        </w:rPr>
        <w:drawing>
          <wp:inline distT="0" distB="0" distL="0" distR="0" wp14:anchorId="50625DCA" wp14:editId="68B4F7A8">
            <wp:extent cx="4792980" cy="2800350"/>
            <wp:effectExtent l="0" t="0" r="7620" b="0"/>
            <wp:docPr id="1575790326" name="Gráfico 1">
              <a:extLst xmlns:a="http://schemas.openxmlformats.org/drawingml/2006/main">
                <a:ext uri="{FF2B5EF4-FFF2-40B4-BE49-F238E27FC236}">
                  <a16:creationId xmlns:a16="http://schemas.microsoft.com/office/drawing/2014/main" id="{DD794957-1F6C-4ABA-9AEB-8C1627284B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sz w:val="24"/>
          <w:szCs w:val="24"/>
        </w:rPr>
        <w:t>Fuente: IMSS, consulta dinámica CUBOS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este contexto, las acciones emprendidas por el Gobierno del Estado de México para consolidar un sistema fiscal sólido, eficiente y equitativo, han permitido avanzar en la modernización de los procesos recaudatorios y en la administración responsable de los recursos públicos. Dichas acciones han contribuido al fortalecimiento del desarrollo económico y laboral, promoviendo un entorno más estable y atractivo para la inversión productiva.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Sin embargo, en el actual contexto económico global, resulta indispensable intensificar los esfuerzos para generar empleos de calidad y fortalecer la productividad de la fuerza laboral mexiquense. La política fiscal debe orientarse no solo a mantener el equilibrio financiero, sino también a promover la competitividad, la innovación y la inclusión social, garantizando que los beneficios del crecimiento económico lleguen a todos los sectores de la población.</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Previsiones de crecimiento económico para México, cierre 2025 y 2026</w:t>
      </w:r>
    </w:p>
    <w:p w:rsidR="00DE3CD9" w:rsidRPr="007A27A5" w:rsidRDefault="00DE3CD9" w:rsidP="00DE3CD9">
      <w:pPr>
        <w:spacing w:after="0" w:line="240" w:lineRule="auto"/>
        <w:jc w:val="both"/>
        <w:rPr>
          <w:rFonts w:ascii="Times New Roman" w:eastAsia="Batang" w:hAnsi="Times New Roman" w:cs="Times New Roman"/>
          <w:sz w:val="24"/>
          <w:szCs w:val="24"/>
          <w:highlight w:val="yellow"/>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economía mexicana ha tenido un desempeño superior al que se habría esperado dadas las condiciones internacionales y podría continuar mostrando resultados mejores de lo previsto si los impactos negativos de las decisiones de política económica en Estados Unidos tardan en manifestarse. No obstante, el escenario externo sigue siendo complicado y representa riesgos importantes. Por ello, se prevé un crecimiento mesurado en el resto de 2025 y una expansión moderada a lo largo de 2026 con estimaciones que se ubican en un nivel de 0.7 y 1.5 por ciento en promedio, respectivamente, de acuerdo con las previsiones de diversos organismos e instituciones en la materia.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center"/>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Previsiones de crecimiento económico para México, cierre 2025 y 2026</w:t>
      </w:r>
    </w:p>
    <w:p w:rsidR="00DE3CD9" w:rsidRPr="007A27A5" w:rsidRDefault="00DE3CD9" w:rsidP="00DE3CD9">
      <w:pPr>
        <w:spacing w:after="0" w:line="240" w:lineRule="auto"/>
        <w:jc w:val="center"/>
        <w:rPr>
          <w:rFonts w:ascii="Times New Roman" w:eastAsia="Batang" w:hAnsi="Times New Roman" w:cs="Times New Roman"/>
          <w:i/>
          <w:iCs/>
          <w:sz w:val="24"/>
          <w:szCs w:val="24"/>
        </w:rPr>
      </w:pPr>
      <w:r w:rsidRPr="007A27A5">
        <w:rPr>
          <w:rFonts w:ascii="Times New Roman" w:eastAsia="Batang" w:hAnsi="Times New Roman" w:cs="Times New Roman"/>
          <w:i/>
          <w:iCs/>
          <w:sz w:val="24"/>
          <w:szCs w:val="24"/>
        </w:rPr>
        <w:t>(Incremento real anual del PIB, por ciento)</w:t>
      </w:r>
    </w:p>
    <w:tbl>
      <w:tblPr>
        <w:tblStyle w:val="TableNormal1"/>
        <w:tblW w:w="8789" w:type="dxa"/>
        <w:tblInd w:w="-5" w:type="dxa"/>
        <w:tblBorders>
          <w:top w:val="single" w:sz="4" w:space="0" w:color="BEBEBE"/>
          <w:left w:val="single" w:sz="4" w:space="0" w:color="BEBEBE"/>
          <w:bottom w:val="single" w:sz="4" w:space="0" w:color="BEBEBE"/>
          <w:right w:val="single" w:sz="4" w:space="0" w:color="BEBEBE"/>
          <w:insideH w:val="single" w:sz="4" w:space="0" w:color="BFBFBF"/>
          <w:insideV w:val="single" w:sz="4" w:space="0" w:color="BEBEBE"/>
        </w:tblBorders>
        <w:tblLayout w:type="fixed"/>
        <w:tblLook w:val="01E0" w:firstRow="1" w:lastRow="1" w:firstColumn="1" w:lastColumn="1" w:noHBand="0" w:noVBand="0"/>
      </w:tblPr>
      <w:tblGrid>
        <w:gridCol w:w="6521"/>
        <w:gridCol w:w="1119"/>
        <w:gridCol w:w="1149"/>
      </w:tblGrid>
      <w:tr w:rsidR="00DE3CD9" w:rsidRPr="007A27A5" w:rsidTr="00DE3CD9">
        <w:trPr>
          <w:trHeight w:val="227"/>
          <w:tblHeader/>
        </w:trPr>
        <w:tc>
          <w:tcPr>
            <w:tcW w:w="6521" w:type="dxa"/>
            <w:vMerge w:val="restart"/>
            <w:shd w:val="clear" w:color="auto" w:fill="B5B5B5"/>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r w:rsidRPr="007A27A5">
              <w:rPr>
                <w:rFonts w:ascii="Times New Roman" w:eastAsia="Times New Roman" w:hAnsi="Times New Roman" w:cs="Times New Roman"/>
                <w:b/>
                <w:bCs/>
                <w:sz w:val="24"/>
                <w:szCs w:val="24"/>
                <w:lang w:val="es-MX" w:eastAsia="es-MX"/>
              </w:rPr>
              <w:t>Organismo/Institución</w:t>
            </w:r>
          </w:p>
        </w:tc>
        <w:tc>
          <w:tcPr>
            <w:tcW w:w="2268" w:type="dxa"/>
            <w:gridSpan w:val="2"/>
            <w:shd w:val="clear" w:color="auto" w:fill="B5B5B5"/>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r w:rsidRPr="007A27A5">
              <w:rPr>
                <w:rFonts w:ascii="Times New Roman" w:eastAsia="Times New Roman" w:hAnsi="Times New Roman" w:cs="Times New Roman"/>
                <w:b/>
                <w:bCs/>
                <w:sz w:val="24"/>
                <w:szCs w:val="24"/>
                <w:lang w:val="es-MX" w:eastAsia="es-MX"/>
              </w:rPr>
              <w:t>Crecimiento del PIB</w:t>
            </w:r>
          </w:p>
        </w:tc>
      </w:tr>
      <w:tr w:rsidR="00DE3CD9" w:rsidRPr="007A27A5" w:rsidTr="00DE3CD9">
        <w:trPr>
          <w:trHeight w:val="227"/>
          <w:tblHeader/>
        </w:trPr>
        <w:tc>
          <w:tcPr>
            <w:tcW w:w="6521" w:type="dxa"/>
            <w:vMerge/>
            <w:shd w:val="clear" w:color="auto" w:fill="B5B5B5"/>
          </w:tcPr>
          <w:p w:rsidR="00DE3CD9" w:rsidRPr="007A27A5" w:rsidRDefault="00DE3CD9" w:rsidP="00DE3CD9">
            <w:pPr>
              <w:spacing w:before="100" w:beforeAutospacing="1" w:afterAutospacing="1" w:line="240" w:lineRule="auto"/>
              <w:jc w:val="center"/>
              <w:textAlignment w:val="top"/>
              <w:rPr>
                <w:rFonts w:ascii="Times New Roman" w:eastAsia="Times New Roman" w:hAnsi="Times New Roman" w:cs="Times New Roman"/>
                <w:b/>
                <w:bCs/>
                <w:sz w:val="24"/>
                <w:szCs w:val="24"/>
                <w:lang w:val="es-MX" w:eastAsia="es-MX"/>
              </w:rPr>
            </w:pPr>
          </w:p>
        </w:tc>
        <w:tc>
          <w:tcPr>
            <w:tcW w:w="1119" w:type="dxa"/>
            <w:shd w:val="clear" w:color="auto" w:fill="B5B5B5"/>
            <w:vAlign w:val="center"/>
          </w:tcPr>
          <w:p w:rsidR="00DE3CD9" w:rsidRPr="007A27A5" w:rsidRDefault="00DE3CD9" w:rsidP="00DE3CD9">
            <w:pPr>
              <w:spacing w:before="100" w:beforeAutospacing="1" w:afterAutospacing="1" w:line="240" w:lineRule="auto"/>
              <w:ind w:left="196" w:right="193"/>
              <w:jc w:val="center"/>
              <w:textAlignment w:val="top"/>
              <w:rPr>
                <w:rFonts w:ascii="Times New Roman" w:eastAsia="Batang" w:hAnsi="Times New Roman" w:cs="Times New Roman"/>
                <w:b/>
                <w:bCs/>
                <w:sz w:val="24"/>
                <w:szCs w:val="24"/>
                <w:lang w:val="es-MX" w:eastAsia="es-MX"/>
              </w:rPr>
            </w:pPr>
            <w:r w:rsidRPr="007A27A5">
              <w:rPr>
                <w:rFonts w:ascii="Times New Roman" w:eastAsia="Batang" w:hAnsi="Times New Roman" w:cs="Times New Roman"/>
                <w:b/>
                <w:bCs/>
                <w:sz w:val="24"/>
                <w:szCs w:val="24"/>
                <w:lang w:val="es-MX" w:eastAsia="es-MX"/>
              </w:rPr>
              <w:t>2025</w:t>
            </w:r>
          </w:p>
        </w:tc>
        <w:tc>
          <w:tcPr>
            <w:tcW w:w="1149" w:type="dxa"/>
            <w:shd w:val="clear" w:color="auto" w:fill="B5B5B5"/>
            <w:vAlign w:val="center"/>
          </w:tcPr>
          <w:p w:rsidR="00DE3CD9" w:rsidRPr="007A27A5" w:rsidRDefault="00DE3CD9" w:rsidP="00DE3CD9">
            <w:pPr>
              <w:spacing w:before="100" w:beforeAutospacing="1" w:afterAutospacing="1" w:line="240" w:lineRule="auto"/>
              <w:ind w:left="197" w:right="189"/>
              <w:jc w:val="center"/>
              <w:textAlignment w:val="top"/>
              <w:rPr>
                <w:rFonts w:ascii="Times New Roman" w:eastAsia="Batang" w:hAnsi="Times New Roman" w:cs="Times New Roman"/>
                <w:b/>
                <w:bCs/>
                <w:sz w:val="24"/>
                <w:szCs w:val="24"/>
                <w:lang w:val="es-MX" w:eastAsia="es-MX"/>
              </w:rPr>
            </w:pPr>
            <w:r w:rsidRPr="007A27A5">
              <w:rPr>
                <w:rFonts w:ascii="Times New Roman" w:eastAsia="Batang" w:hAnsi="Times New Roman" w:cs="Times New Roman"/>
                <w:b/>
                <w:bCs/>
                <w:sz w:val="24"/>
                <w:szCs w:val="24"/>
                <w:lang w:val="es-MX" w:eastAsia="es-MX"/>
              </w:rPr>
              <w:t>2026</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b/>
                <w:bCs/>
                <w:sz w:val="24"/>
                <w:szCs w:val="24"/>
                <w:lang w:val="es-MX" w:eastAsia="es-MX"/>
              </w:rPr>
            </w:pPr>
            <w:r w:rsidRPr="007A27A5">
              <w:rPr>
                <w:rFonts w:ascii="Times New Roman" w:eastAsia="Batang" w:hAnsi="Times New Roman" w:cs="Times New Roman"/>
                <w:b/>
                <w:bCs/>
                <w:sz w:val="24"/>
                <w:szCs w:val="24"/>
                <w:lang w:val="es-MX" w:eastAsia="es-MX"/>
              </w:rPr>
              <w:t>Instituciones públicas nacionales</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t xml:space="preserve">    Secretaría de Hacienda y Crédito Público</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0.5, 1.5</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1.8, 2.8</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lastRenderedPageBreak/>
              <w:t xml:space="preserve">    Banco de México</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0.6</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1.1</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t xml:space="preserve">    Encuesta Banco de México</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0.5</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1.4</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b/>
                <w:bCs/>
                <w:sz w:val="24"/>
                <w:szCs w:val="24"/>
                <w:lang w:val="es-MX" w:eastAsia="es-MX"/>
              </w:rPr>
            </w:pPr>
            <w:r w:rsidRPr="007A27A5">
              <w:rPr>
                <w:rFonts w:ascii="Times New Roman" w:eastAsia="Batang" w:hAnsi="Times New Roman" w:cs="Times New Roman"/>
                <w:b/>
                <w:bCs/>
                <w:sz w:val="24"/>
                <w:szCs w:val="24"/>
                <w:lang w:val="es-MX" w:eastAsia="es-MX"/>
              </w:rPr>
              <w:t>Instituciones privadas</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t xml:space="preserve">    Encuesta Citi México</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0.5</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1.3</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t xml:space="preserve">    Encuesta Instituto Mexicano de Ejecutivos de Finanzas</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0.5</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1.3</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b/>
                <w:bCs/>
                <w:sz w:val="24"/>
                <w:szCs w:val="24"/>
                <w:lang w:val="es-MX" w:eastAsia="es-MX"/>
              </w:rPr>
            </w:pPr>
            <w:r w:rsidRPr="007A27A5">
              <w:rPr>
                <w:rFonts w:ascii="Times New Roman" w:eastAsia="Batang" w:hAnsi="Times New Roman" w:cs="Times New Roman"/>
                <w:b/>
                <w:bCs/>
                <w:sz w:val="24"/>
                <w:szCs w:val="24"/>
                <w:lang w:val="es-MX" w:eastAsia="es-MX"/>
              </w:rPr>
              <w:t>Organismos internacionales</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t xml:space="preserve">    Comisión Económica para América Latina y el Caribe</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0.3</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1.0</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t xml:space="preserve">    Organización para la Cooperación y el Desarrollo Económicos</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0.8</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1.3</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t xml:space="preserve">    Banco Mundial</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0.5</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1.4</w:t>
            </w:r>
          </w:p>
        </w:tc>
      </w:tr>
      <w:tr w:rsidR="00DE3CD9" w:rsidRPr="007A27A5" w:rsidTr="00DE3CD9">
        <w:trPr>
          <w:trHeight w:val="227"/>
        </w:trPr>
        <w:tc>
          <w:tcPr>
            <w:tcW w:w="6521" w:type="dxa"/>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sz w:val="24"/>
                <w:szCs w:val="24"/>
                <w:lang w:val="es-MX" w:eastAsia="es-MX"/>
              </w:rPr>
            </w:pPr>
            <w:r w:rsidRPr="007A27A5">
              <w:rPr>
                <w:rFonts w:ascii="Times New Roman" w:eastAsia="Batang" w:hAnsi="Times New Roman" w:cs="Times New Roman"/>
                <w:sz w:val="24"/>
                <w:szCs w:val="24"/>
                <w:lang w:val="es-MX" w:eastAsia="es-MX"/>
              </w:rPr>
              <w:t xml:space="preserve">    Fondo Monetario Internacional</w:t>
            </w:r>
          </w:p>
        </w:tc>
        <w:tc>
          <w:tcPr>
            <w:tcW w:w="111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1.0</w:t>
            </w:r>
          </w:p>
        </w:tc>
        <w:tc>
          <w:tcPr>
            <w:tcW w:w="1149" w:type="dxa"/>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sz w:val="24"/>
                <w:szCs w:val="24"/>
                <w:lang w:val="es-MX" w:eastAsia="es-MX"/>
              </w:rPr>
            </w:pPr>
            <w:r w:rsidRPr="007A27A5">
              <w:rPr>
                <w:rFonts w:ascii="Times New Roman" w:eastAsia="Times New Roman" w:hAnsi="Times New Roman" w:cs="Times New Roman"/>
                <w:sz w:val="24"/>
                <w:szCs w:val="24"/>
                <w:lang w:val="es-MX" w:eastAsia="es-MX"/>
              </w:rPr>
              <w:t>1.5</w:t>
            </w:r>
          </w:p>
        </w:tc>
      </w:tr>
      <w:tr w:rsidR="00DE3CD9" w:rsidRPr="007A27A5" w:rsidTr="00DE3CD9">
        <w:trPr>
          <w:trHeight w:val="227"/>
        </w:trPr>
        <w:tc>
          <w:tcPr>
            <w:tcW w:w="6521" w:type="dxa"/>
            <w:shd w:val="clear" w:color="auto" w:fill="D9D9D9"/>
            <w:vAlign w:val="center"/>
          </w:tcPr>
          <w:p w:rsidR="00DE3CD9" w:rsidRPr="007A27A5" w:rsidRDefault="00DE3CD9" w:rsidP="00DE3CD9">
            <w:pPr>
              <w:spacing w:before="100" w:beforeAutospacing="1" w:afterAutospacing="1" w:line="240" w:lineRule="auto"/>
              <w:jc w:val="both"/>
              <w:textAlignment w:val="top"/>
              <w:rPr>
                <w:rFonts w:ascii="Times New Roman" w:eastAsia="Batang" w:hAnsi="Times New Roman" w:cs="Times New Roman"/>
                <w:b/>
                <w:bCs/>
                <w:sz w:val="24"/>
                <w:szCs w:val="24"/>
                <w:lang w:val="es-MX" w:eastAsia="es-MX"/>
              </w:rPr>
            </w:pPr>
            <w:r w:rsidRPr="007A27A5">
              <w:rPr>
                <w:rFonts w:ascii="Times New Roman" w:eastAsia="Batang" w:hAnsi="Times New Roman" w:cs="Times New Roman"/>
                <w:b/>
                <w:bCs/>
                <w:sz w:val="24"/>
                <w:szCs w:val="24"/>
                <w:lang w:val="es-MX" w:eastAsia="es-MX"/>
              </w:rPr>
              <w:t>Promedio</w:t>
            </w:r>
          </w:p>
        </w:tc>
        <w:tc>
          <w:tcPr>
            <w:tcW w:w="1119" w:type="dxa"/>
            <w:shd w:val="clear" w:color="auto" w:fill="D9D9D9"/>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r w:rsidRPr="007A27A5">
              <w:rPr>
                <w:rFonts w:ascii="Times New Roman" w:eastAsia="Times New Roman" w:hAnsi="Times New Roman" w:cs="Times New Roman"/>
                <w:b/>
                <w:bCs/>
                <w:sz w:val="24"/>
                <w:szCs w:val="24"/>
                <w:lang w:val="es-MX" w:eastAsia="es-MX"/>
              </w:rPr>
              <w:t>0.7</w:t>
            </w:r>
          </w:p>
        </w:tc>
        <w:tc>
          <w:tcPr>
            <w:tcW w:w="1149" w:type="dxa"/>
            <w:shd w:val="clear" w:color="auto" w:fill="D9D9D9"/>
            <w:vAlign w:val="center"/>
          </w:tcPr>
          <w:p w:rsidR="00DE3CD9" w:rsidRPr="007A27A5" w:rsidRDefault="00DE3CD9" w:rsidP="00DE3CD9">
            <w:pPr>
              <w:spacing w:before="100" w:beforeAutospacing="1" w:afterAutospacing="1" w:line="240" w:lineRule="auto"/>
              <w:jc w:val="center"/>
              <w:textAlignment w:val="top"/>
              <w:rPr>
                <w:rFonts w:ascii="Times New Roman" w:eastAsia="Batang" w:hAnsi="Times New Roman" w:cs="Times New Roman"/>
                <w:b/>
                <w:bCs/>
                <w:sz w:val="24"/>
                <w:szCs w:val="24"/>
                <w:lang w:val="es-MX" w:eastAsia="es-MX"/>
              </w:rPr>
            </w:pPr>
            <w:r w:rsidRPr="007A27A5">
              <w:rPr>
                <w:rFonts w:ascii="Times New Roman" w:eastAsia="Times New Roman" w:hAnsi="Times New Roman" w:cs="Times New Roman"/>
                <w:b/>
                <w:bCs/>
                <w:sz w:val="24"/>
                <w:szCs w:val="24"/>
                <w:lang w:val="es-MX" w:eastAsia="es-MX"/>
              </w:rPr>
              <w:t>1.5</w:t>
            </w:r>
          </w:p>
        </w:tc>
      </w:tr>
    </w:tbl>
    <w:p w:rsidR="00DE3CD9" w:rsidRPr="007A27A5" w:rsidRDefault="00DE3CD9" w:rsidP="00DE3CD9">
      <w:pPr>
        <w:widowControl w:val="0"/>
        <w:autoSpaceDE w:val="0"/>
        <w:autoSpaceDN w:val="0"/>
        <w:spacing w:after="0" w:line="240" w:lineRule="auto"/>
        <w:ind w:right="49"/>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Fuente:</w:t>
      </w:r>
      <w:r w:rsidRPr="007A27A5">
        <w:rPr>
          <w:rFonts w:ascii="Times New Roman" w:eastAsia="Batang" w:hAnsi="Times New Roman" w:cs="Times New Roman"/>
          <w:sz w:val="24"/>
          <w:szCs w:val="24"/>
        </w:rPr>
        <w:t xml:space="preserve"> Encuesta Citi México de Expectativas, 21 de octubre 2025; **SHCP: CGPE 2026, Marco macroeconómico 2025-2026, septiembre 2025; IMEF: Encuesta Mensual de Perspectivas Económicas, octubre 2025. FMI: Perspectivas de la Economía Mundial, octubre 2025. Banco Mundial: Perspectivas de crecimiento para América Latina y el Caribe, octubre 2025. OCDE: </w:t>
      </w:r>
      <w:proofErr w:type="spellStart"/>
      <w:r w:rsidRPr="007A27A5">
        <w:rPr>
          <w:rFonts w:ascii="Times New Roman" w:eastAsia="Batang" w:hAnsi="Times New Roman" w:cs="Times New Roman"/>
          <w:sz w:val="24"/>
          <w:szCs w:val="24"/>
        </w:rPr>
        <w:t>Economic</w:t>
      </w:r>
      <w:proofErr w:type="spellEnd"/>
      <w:r w:rsidRPr="007A27A5">
        <w:rPr>
          <w:rFonts w:ascii="Times New Roman" w:eastAsia="Batang" w:hAnsi="Times New Roman" w:cs="Times New Roman"/>
          <w:sz w:val="24"/>
          <w:szCs w:val="24"/>
        </w:rPr>
        <w:t xml:space="preserve"> Outlook </w:t>
      </w:r>
      <w:proofErr w:type="spellStart"/>
      <w:r w:rsidRPr="007A27A5">
        <w:rPr>
          <w:rFonts w:ascii="Times New Roman" w:eastAsia="Batang" w:hAnsi="Times New Roman" w:cs="Times New Roman"/>
          <w:sz w:val="24"/>
          <w:szCs w:val="24"/>
        </w:rPr>
        <w:t>interim</w:t>
      </w:r>
      <w:proofErr w:type="spellEnd"/>
      <w:r w:rsidRPr="007A27A5">
        <w:rPr>
          <w:rFonts w:ascii="Times New Roman" w:eastAsia="Batang" w:hAnsi="Times New Roman" w:cs="Times New Roman"/>
          <w:sz w:val="24"/>
          <w:szCs w:val="24"/>
        </w:rPr>
        <w:t xml:space="preserve"> </w:t>
      </w:r>
      <w:proofErr w:type="spellStart"/>
      <w:r w:rsidRPr="007A27A5">
        <w:rPr>
          <w:rFonts w:ascii="Times New Roman" w:eastAsia="Batang" w:hAnsi="Times New Roman" w:cs="Times New Roman"/>
          <w:sz w:val="24"/>
          <w:szCs w:val="24"/>
        </w:rPr>
        <w:t>report</w:t>
      </w:r>
      <w:proofErr w:type="spellEnd"/>
      <w:r w:rsidRPr="007A27A5">
        <w:rPr>
          <w:rFonts w:ascii="Times New Roman" w:eastAsia="Batang" w:hAnsi="Times New Roman" w:cs="Times New Roman"/>
          <w:sz w:val="24"/>
          <w:szCs w:val="24"/>
        </w:rPr>
        <w:t>, noviembre 2025. CEPAL-ONU: Estudio Económico de América Latina y el Caribe, agosto 2025. Banxico: Encuesta sobre las Expectativas de los Especialistas en Economía del Sector Privado, octubre 2025. *Banxico:  Informe trimestral abril - junio 2025.</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Del="00BA4486"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Pronóstico de ingresos</w:t>
      </w: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presente Ley de Ingresos se formula bajo una política prudente y responsable, sustentada en supuestos macroeconómicos realistas, y reafirmando una política de estricta disciplina financiera sin la contratación de deuda y tomando como referencia los criterios establecidos por la Secretaría</w:t>
      </w:r>
      <w:r w:rsidRPr="007A27A5">
        <w:rPr>
          <w:rFonts w:ascii="Times New Roman" w:eastAsia="Batang" w:hAnsi="Times New Roman" w:cs="Times New Roman"/>
          <w:b/>
          <w:bCs/>
          <w:sz w:val="24"/>
          <w:szCs w:val="24"/>
        </w:rPr>
        <w:t xml:space="preserve"> </w:t>
      </w:r>
      <w:r w:rsidRPr="007A27A5">
        <w:rPr>
          <w:rFonts w:ascii="Times New Roman" w:eastAsia="Batang" w:hAnsi="Times New Roman" w:cs="Times New Roman"/>
          <w:sz w:val="24"/>
          <w:szCs w:val="24"/>
        </w:rPr>
        <w:t xml:space="preserve">de Hacienda y Crédito Público (SHCP), sentando así las bases para consolidar un Estado de México más competitivo, incluyente y sostenible. </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ind w:left="284"/>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Ingresos propios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Durante la presente administración, se ha dado prioridad al fortalecimiento de los ingresos propios. Esto ha sido posible gracias a una estrategia de recaudación inteligente, basada en modelos tributarios que permiten la identificación de contribuyentes omisos, la digitalización de trámites y servicios, así como el otorgamiento de incentivos y subsidios que fomentan el cumplimiento fiscal voluntario.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2024, los ingresos propios integrados por Impuestos, Contribuciones o aportaciones de Mejora, Derechos, Productos y Aprovechamientos lograron una recaudación histórica de 56 mil 83 millones de pesos, cifra que resultó superior en 6 mil 548 millones de pesos (13.2 por ciento) respecto a lo recaudado en 2023.</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En particular, la recaudación de impuestos presentó un incremento de 13.4 por ciento, significando ingresos adicionales equivalentes a 3 mil 694 millones de pesos. Asimismo, el cobro de Derechos resultó superior en 25.2 por ciento, cifra que representó mayores recursos por 3 mil 283 millones de pesos. </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noProof/>
          <w:sz w:val="24"/>
          <w:szCs w:val="24"/>
          <w:lang w:eastAsia="es-MX"/>
        </w:rPr>
        <w:lastRenderedPageBreak/>
        <w:drawing>
          <wp:inline distT="0" distB="0" distL="0" distR="0" wp14:anchorId="018DC9BE" wp14:editId="37812C1B">
            <wp:extent cx="5166995" cy="2571750"/>
            <wp:effectExtent l="0" t="0" r="0" b="0"/>
            <wp:docPr id="1628132685" name="Gráfico 1">
              <a:extLst xmlns:a="http://schemas.openxmlformats.org/drawingml/2006/main">
                <a:ext uri="{FF2B5EF4-FFF2-40B4-BE49-F238E27FC236}">
                  <a16:creationId xmlns:a16="http://schemas.microsoft.com/office/drawing/2014/main" id="{CCA459F8-E449-F3C8-E63F-3D5B8230A1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ind w:left="142"/>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Ingresos federales</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2024, se obtuvieron ingresos federales por 282 mil 791 millones de pesos, monto superior en 6 mil 139 millones de pesos (2.2 por ciento) con relación a 2023.</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 manera particular, el rubro de participaciones federales superó en 10 mil 731 millones de pesos lo recaudado durante 2023, derivado del comportamiento favorable de la Recaudación Federal Participable (RFP) y del incremento en la recaudación local, la cual constituye una variable importante en la fórmula de distribución de las participaciones.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noProof/>
          <w:sz w:val="24"/>
          <w:szCs w:val="24"/>
          <w:lang w:eastAsia="es-MX"/>
        </w:rPr>
        <w:drawing>
          <wp:inline distT="0" distB="0" distL="0" distR="0" wp14:anchorId="7185D67B" wp14:editId="36822DB6">
            <wp:extent cx="5166995" cy="2114550"/>
            <wp:effectExtent l="0" t="0" r="0" b="0"/>
            <wp:docPr id="1195824807" name="Gráfico 1">
              <a:extLst xmlns:a="http://schemas.openxmlformats.org/drawingml/2006/main">
                <a:ext uri="{FF2B5EF4-FFF2-40B4-BE49-F238E27FC236}">
                  <a16:creationId xmlns:a16="http://schemas.microsoft.com/office/drawing/2014/main" id="{E07271FD-B059-4F12-AB17-F2F33B4654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E3CD9" w:rsidRPr="007A27A5" w:rsidRDefault="00DE3CD9" w:rsidP="00DE3CD9">
      <w:pPr>
        <w:spacing w:after="0" w:line="240" w:lineRule="auto"/>
        <w:jc w:val="center"/>
        <w:rPr>
          <w:rFonts w:ascii="Times New Roman" w:eastAsia="Batang" w:hAnsi="Times New Roman" w:cs="Times New Roman"/>
          <w:sz w:val="24"/>
          <w:szCs w:val="24"/>
        </w:rPr>
      </w:pPr>
      <w:r w:rsidRPr="007A27A5">
        <w:rPr>
          <w:rFonts w:ascii="Times New Roman" w:eastAsia="Batang" w:hAnsi="Times New Roman" w:cs="Times New Roman"/>
          <w:sz w:val="24"/>
          <w:szCs w:val="24"/>
        </w:rPr>
        <w:t>Fuente: Secretaría de Finanzas.</w:t>
      </w:r>
    </w:p>
    <w:p w:rsidR="00DE3CD9" w:rsidRPr="007A27A5" w:rsidRDefault="00DE3CD9" w:rsidP="00DE3CD9">
      <w:pPr>
        <w:spacing w:after="0" w:line="240" w:lineRule="auto"/>
        <w:jc w:val="center"/>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Con información al mes de septiembre de 2025, las participaciones nacionales referenciadas a la RFP muestran un comportamiento favorable con un incremento de 20 mil 327 millones de pesos respecto a lo estimado por la SHCP, originado por la evolución favorable de la RFP. Dicho incremento impactó de forma positiva las finanzas del Estado de México en alrededor de 4 mil 472 millones de pesos.</w:t>
      </w: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En este contexto, para el siguiente año, la estrategia fiscal se sustentará en un enfoque integral que sitúa el bienestar de las y los mexiquenses en el centro de las decisiones públicas, dando continuidad a la aplicación de modelos de inteligencia tributaria, así como a impulsar un sistema </w:t>
      </w:r>
      <w:r w:rsidRPr="007A27A5">
        <w:rPr>
          <w:rFonts w:ascii="Times New Roman" w:eastAsia="Batang" w:hAnsi="Times New Roman" w:cs="Times New Roman"/>
          <w:sz w:val="24"/>
          <w:szCs w:val="24"/>
        </w:rPr>
        <w:lastRenderedPageBreak/>
        <w:t>eficiente de recaudación y fiscalización focalizada que contribuyan al fortalecimiento de los ingresos propios, garantizando recursos para la atención de las y los mexiquenses, en especial de los sectores más vulnerables.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correspondencia con el primer y segundo párrafo de la fracción II del artículo 5 de la Ley de Disciplina Financiera de las Entidades Federativas y los Municipios y en apego a lo dispuesto por el artículo 7 del Código Financiero del Estado de México y Municipios, la presente Iniciativa considera los Criterios Generales de Política Económica de la SHCP como marco de referencia para la elaboración de las estimaciones de ingresos para el Ejercicio Fiscal 2026, considerando los siguientes indicadores macroeconómicos:</w:t>
      </w:r>
    </w:p>
    <w:p w:rsidR="00DE3CD9" w:rsidRPr="007A27A5" w:rsidRDefault="00DE3CD9" w:rsidP="00DE3CD9">
      <w:pPr>
        <w:spacing w:after="0" w:line="240" w:lineRule="auto"/>
        <w:jc w:val="both"/>
        <w:rPr>
          <w:rFonts w:ascii="Times New Roman" w:eastAsia="Batang" w:hAnsi="Times New Roman" w:cs="Times New Roman"/>
          <w:sz w:val="24"/>
          <w:szCs w:val="24"/>
        </w:rPr>
      </w:pPr>
    </w:p>
    <w:tbl>
      <w:tblPr>
        <w:tblStyle w:val="Tablaconcuadrcula12"/>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414"/>
        <w:gridCol w:w="4414"/>
      </w:tblGrid>
      <w:tr w:rsidR="00DE3CD9" w:rsidRPr="007A27A5" w:rsidTr="009B7DCC">
        <w:trPr>
          <w:jc w:val="center"/>
        </w:trPr>
        <w:tc>
          <w:tcPr>
            <w:tcW w:w="4414" w:type="dxa"/>
            <w:shd w:val="clear" w:color="auto" w:fill="D9D9D9"/>
          </w:tcPr>
          <w:p w:rsidR="00DE3CD9" w:rsidRPr="007A27A5" w:rsidRDefault="00DE3CD9" w:rsidP="00DE3CD9">
            <w:pPr>
              <w:shd w:val="clear" w:color="000000" w:fill="FFFFFF"/>
              <w:spacing w:before="100" w:beforeAutospacing="1" w:afterAutospacing="1" w:line="240" w:lineRule="auto"/>
              <w:jc w:val="center"/>
              <w:textAlignment w:val="top"/>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Concepto</w:t>
            </w:r>
          </w:p>
        </w:tc>
        <w:tc>
          <w:tcPr>
            <w:tcW w:w="4414" w:type="dxa"/>
            <w:shd w:val="clear" w:color="auto" w:fill="D9D9D9"/>
          </w:tcPr>
          <w:p w:rsidR="00DE3CD9" w:rsidRPr="007A27A5" w:rsidRDefault="00DE3CD9" w:rsidP="00DE3CD9">
            <w:pPr>
              <w:shd w:val="clear" w:color="000000" w:fill="FFFFFF"/>
              <w:spacing w:before="100" w:beforeAutospacing="1" w:afterAutospacing="1" w:line="240" w:lineRule="auto"/>
              <w:jc w:val="center"/>
              <w:textAlignment w:val="top"/>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2026</w:t>
            </w:r>
          </w:p>
        </w:tc>
      </w:tr>
      <w:tr w:rsidR="00DE3CD9" w:rsidRPr="007A27A5" w:rsidTr="009B7DCC">
        <w:trPr>
          <w:jc w:val="center"/>
        </w:trPr>
        <w:tc>
          <w:tcPr>
            <w:tcW w:w="4414" w:type="dxa"/>
          </w:tcPr>
          <w:p w:rsidR="00DE3CD9" w:rsidRPr="007A27A5" w:rsidRDefault="00DE3CD9" w:rsidP="00DE3CD9">
            <w:pPr>
              <w:shd w:val="clear" w:color="000000" w:fill="FFFFFF"/>
              <w:spacing w:before="100" w:beforeAutospacing="1" w:afterAutospacing="1" w:line="240" w:lineRule="auto"/>
              <w:jc w:val="both"/>
              <w:textAlignment w:val="top"/>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Crecimiento económico</w:t>
            </w:r>
          </w:p>
        </w:tc>
        <w:tc>
          <w:tcPr>
            <w:tcW w:w="4414" w:type="dxa"/>
          </w:tcPr>
          <w:p w:rsidR="00DE3CD9" w:rsidRPr="007A27A5" w:rsidRDefault="00DE3CD9" w:rsidP="00DE3CD9">
            <w:pPr>
              <w:shd w:val="clear" w:color="000000" w:fill="FFFFFF"/>
              <w:spacing w:before="100" w:beforeAutospacing="1" w:afterAutospacing="1" w:line="240" w:lineRule="auto"/>
              <w:jc w:val="center"/>
              <w:textAlignment w:val="top"/>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Rango de 1.8 y 2.8 por ciento.</w:t>
            </w:r>
          </w:p>
        </w:tc>
      </w:tr>
      <w:tr w:rsidR="00DE3CD9" w:rsidRPr="007A27A5" w:rsidTr="009B7DCC">
        <w:trPr>
          <w:jc w:val="center"/>
        </w:trPr>
        <w:tc>
          <w:tcPr>
            <w:tcW w:w="4414" w:type="dxa"/>
          </w:tcPr>
          <w:p w:rsidR="00DE3CD9" w:rsidRPr="007A27A5" w:rsidRDefault="00DE3CD9" w:rsidP="00DE3CD9">
            <w:pPr>
              <w:shd w:val="clear" w:color="000000" w:fill="FFFFFF"/>
              <w:spacing w:before="100" w:beforeAutospacing="1" w:afterAutospacing="1" w:line="240" w:lineRule="auto"/>
              <w:jc w:val="both"/>
              <w:textAlignment w:val="top"/>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Inflación</w:t>
            </w:r>
          </w:p>
        </w:tc>
        <w:tc>
          <w:tcPr>
            <w:tcW w:w="4414" w:type="dxa"/>
          </w:tcPr>
          <w:p w:rsidR="00DE3CD9" w:rsidRPr="007A27A5" w:rsidRDefault="00DE3CD9" w:rsidP="00DE3CD9">
            <w:pPr>
              <w:shd w:val="clear" w:color="000000" w:fill="FFFFFF"/>
              <w:spacing w:before="100" w:beforeAutospacing="1" w:afterAutospacing="1" w:line="240" w:lineRule="auto"/>
              <w:jc w:val="center"/>
              <w:textAlignment w:val="top"/>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3.0 por ciento.</w:t>
            </w:r>
          </w:p>
        </w:tc>
      </w:tr>
      <w:tr w:rsidR="00DE3CD9" w:rsidRPr="007A27A5" w:rsidTr="009B7DCC">
        <w:trPr>
          <w:jc w:val="center"/>
        </w:trPr>
        <w:tc>
          <w:tcPr>
            <w:tcW w:w="4414" w:type="dxa"/>
          </w:tcPr>
          <w:p w:rsidR="00DE3CD9" w:rsidRPr="007A27A5" w:rsidRDefault="00DE3CD9" w:rsidP="00DE3CD9">
            <w:pPr>
              <w:shd w:val="clear" w:color="000000" w:fill="FFFFFF"/>
              <w:spacing w:before="100" w:beforeAutospacing="1" w:afterAutospacing="1" w:line="240" w:lineRule="auto"/>
              <w:jc w:val="both"/>
              <w:textAlignment w:val="top"/>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Tipo de cambio nominal promedio</w:t>
            </w:r>
          </w:p>
        </w:tc>
        <w:tc>
          <w:tcPr>
            <w:tcW w:w="4414" w:type="dxa"/>
          </w:tcPr>
          <w:p w:rsidR="00DE3CD9" w:rsidRPr="007A27A5" w:rsidRDefault="00DE3CD9" w:rsidP="00DE3CD9">
            <w:pPr>
              <w:shd w:val="clear" w:color="000000" w:fill="FFFFFF"/>
              <w:spacing w:before="100" w:beforeAutospacing="1" w:afterAutospacing="1" w:line="240" w:lineRule="auto"/>
              <w:jc w:val="center"/>
              <w:textAlignment w:val="top"/>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19.3 pesos por dólar.</w:t>
            </w:r>
          </w:p>
        </w:tc>
      </w:tr>
      <w:tr w:rsidR="00DE3CD9" w:rsidRPr="007A27A5" w:rsidTr="009B7DCC">
        <w:trPr>
          <w:jc w:val="center"/>
        </w:trPr>
        <w:tc>
          <w:tcPr>
            <w:tcW w:w="4414" w:type="dxa"/>
          </w:tcPr>
          <w:p w:rsidR="00DE3CD9" w:rsidRPr="007A27A5" w:rsidRDefault="00DE3CD9" w:rsidP="00DE3CD9">
            <w:pPr>
              <w:shd w:val="clear" w:color="000000" w:fill="FFFFFF"/>
              <w:spacing w:before="100" w:beforeAutospacing="1" w:afterAutospacing="1" w:line="240" w:lineRule="auto"/>
              <w:jc w:val="both"/>
              <w:textAlignment w:val="top"/>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Precio promedio del petróleo</w:t>
            </w:r>
          </w:p>
        </w:tc>
        <w:tc>
          <w:tcPr>
            <w:tcW w:w="4414" w:type="dxa"/>
          </w:tcPr>
          <w:p w:rsidR="00DE3CD9" w:rsidRPr="007A27A5" w:rsidRDefault="00DE3CD9" w:rsidP="00DE3CD9">
            <w:pPr>
              <w:shd w:val="clear" w:color="000000" w:fill="FFFFFF"/>
              <w:spacing w:before="100" w:beforeAutospacing="1" w:afterAutospacing="1" w:line="240" w:lineRule="auto"/>
              <w:jc w:val="center"/>
              <w:textAlignment w:val="top"/>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54.9 dólares por barril.</w:t>
            </w:r>
          </w:p>
        </w:tc>
      </w:tr>
    </w:tbl>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Fuente: Criterios Generales de Política Económica para el ejercicio fiscal 2026, SHCP.</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Con estas premisas, para el Ejercicio Fiscal 2026 se estiman ingresos estatales por 410 mil 341.6 millones de pesos, 5.6 por ciento mayor en términos nominales en relación con la Ley de Ingresos del Estado de México para el Ejercicio Fiscal de 2025. La propuesta está alineada al Proyecto de Presupuesto de Egresos del Gobierno del Estado de México para el Ejercicio Fiscal 2026, con el propósito de dotar al Estado de los recursos necesarios para el cumplimiento de sus obligaciones, sin perder de vista el compromiso con la ciudadanía y la responsabilidad de cuidar de su economía.</w:t>
      </w:r>
    </w:p>
    <w:p w:rsidR="00DE3CD9" w:rsidRPr="007A27A5" w:rsidRDefault="00DE3CD9" w:rsidP="00DE3CD9">
      <w:pPr>
        <w:spacing w:after="0" w:line="240" w:lineRule="auto"/>
        <w:jc w:val="both"/>
        <w:rPr>
          <w:rFonts w:ascii="Times New Roman" w:eastAsia="Batang" w:hAnsi="Times New Roman" w:cs="Times New Roman"/>
          <w:b/>
          <w:bCs/>
          <w:sz w:val="24"/>
          <w:szCs w:val="24"/>
          <w:highlight w:val="cyan"/>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Cumplimiento de lo dispuesto en la Ley de Disciplina Financiera de las Entidades Federativas y los Municipios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La fracción IV del artículo 5 de la Ley de Disciplina Financiera de las Entidades Federativas y los Municipios, establece que las Entidades Federativas deberán presentar los resultados de las finanzas públicas que abarquen un periodo de los cinco últimos años y el ejercicio fiscal en cuestión, de acuerdo con los formatos que emita el Consejo Nacional de Armonización Contable para tal efecto. </w:t>
      </w:r>
    </w:p>
    <w:p w:rsidR="00DE3CD9" w:rsidRPr="007A27A5" w:rsidRDefault="00DE3CD9" w:rsidP="00DE3CD9">
      <w:pPr>
        <w:spacing w:after="0" w:line="240" w:lineRule="auto"/>
        <w:jc w:val="both"/>
        <w:rPr>
          <w:rFonts w:ascii="Times New Roman" w:eastAsia="Batang" w:hAnsi="Times New Roman" w:cs="Times New Roman"/>
        </w:rPr>
      </w:pPr>
    </w:p>
    <w:tbl>
      <w:tblPr>
        <w:tblW w:w="9317" w:type="dxa"/>
        <w:jc w:val="center"/>
        <w:tblCellMar>
          <w:left w:w="70" w:type="dxa"/>
          <w:right w:w="70" w:type="dxa"/>
        </w:tblCellMar>
        <w:tblLook w:val="04A0" w:firstRow="1" w:lastRow="0" w:firstColumn="1" w:lastColumn="0" w:noHBand="0" w:noVBand="1"/>
      </w:tblPr>
      <w:tblGrid>
        <w:gridCol w:w="3144"/>
        <w:gridCol w:w="1054"/>
        <w:gridCol w:w="1049"/>
        <w:gridCol w:w="1035"/>
        <w:gridCol w:w="1063"/>
        <w:gridCol w:w="1059"/>
        <w:gridCol w:w="913"/>
      </w:tblGrid>
      <w:tr w:rsidR="00DE3CD9" w:rsidRPr="007A27A5" w:rsidTr="00DE3CD9">
        <w:trPr>
          <w:trHeight w:val="20"/>
          <w:tblHeader/>
          <w:jc w:val="center"/>
        </w:trPr>
        <w:tc>
          <w:tcPr>
            <w:tcW w:w="9317" w:type="dxa"/>
            <w:gridSpan w:val="7"/>
            <w:tcBorders>
              <w:top w:val="single" w:sz="4" w:space="0" w:color="auto"/>
              <w:left w:val="single" w:sz="4" w:space="0" w:color="auto"/>
              <w:bottom w:val="nil"/>
              <w:right w:val="single" w:sz="4" w:space="0" w:color="000000"/>
            </w:tcBorders>
            <w:shd w:val="clear" w:color="000000"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GOBIERNO DEL ESTADO DE MÉXICO</w:t>
            </w:r>
          </w:p>
        </w:tc>
      </w:tr>
      <w:tr w:rsidR="00DE3CD9" w:rsidRPr="007A27A5" w:rsidTr="00DE3CD9">
        <w:trPr>
          <w:trHeight w:val="20"/>
          <w:tblHeader/>
          <w:jc w:val="center"/>
        </w:trPr>
        <w:tc>
          <w:tcPr>
            <w:tcW w:w="9317" w:type="dxa"/>
            <w:gridSpan w:val="7"/>
            <w:tcBorders>
              <w:top w:val="nil"/>
              <w:left w:val="single" w:sz="4" w:space="0" w:color="auto"/>
              <w:bottom w:val="nil"/>
              <w:right w:val="single" w:sz="4" w:space="0" w:color="000000"/>
            </w:tcBorders>
            <w:shd w:val="clear" w:color="000000"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Resultados de Ingresos - LDF</w:t>
            </w:r>
          </w:p>
        </w:tc>
      </w:tr>
      <w:tr w:rsidR="00DE3CD9" w:rsidRPr="007A27A5" w:rsidTr="00DE3CD9">
        <w:trPr>
          <w:trHeight w:val="20"/>
          <w:tblHeader/>
          <w:jc w:val="center"/>
        </w:trPr>
        <w:tc>
          <w:tcPr>
            <w:tcW w:w="9317" w:type="dxa"/>
            <w:gridSpan w:val="7"/>
            <w:tcBorders>
              <w:top w:val="nil"/>
              <w:left w:val="single" w:sz="4" w:space="0" w:color="auto"/>
              <w:bottom w:val="nil"/>
              <w:right w:val="single" w:sz="4" w:space="0" w:color="000000"/>
            </w:tcBorders>
            <w:shd w:val="clear" w:color="000000"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(PESOS)</w:t>
            </w:r>
          </w:p>
        </w:tc>
      </w:tr>
      <w:tr w:rsidR="00DE3CD9" w:rsidRPr="007A27A5" w:rsidTr="00DE3CD9">
        <w:trPr>
          <w:trHeight w:val="20"/>
          <w:tblHeader/>
          <w:jc w:val="center"/>
        </w:trPr>
        <w:tc>
          <w:tcPr>
            <w:tcW w:w="9317" w:type="dxa"/>
            <w:gridSpan w:val="7"/>
            <w:tcBorders>
              <w:top w:val="nil"/>
              <w:left w:val="single" w:sz="4" w:space="0" w:color="auto"/>
              <w:bottom w:val="single" w:sz="4" w:space="0" w:color="auto"/>
              <w:right w:val="single" w:sz="4" w:space="0" w:color="000000"/>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r>
      <w:tr w:rsidR="00DE3CD9" w:rsidRPr="007A27A5" w:rsidTr="00DE3CD9">
        <w:trPr>
          <w:trHeight w:val="20"/>
          <w:tblHeader/>
          <w:jc w:val="center"/>
        </w:trPr>
        <w:tc>
          <w:tcPr>
            <w:tcW w:w="314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Concepto</w:t>
            </w:r>
          </w:p>
        </w:tc>
        <w:tc>
          <w:tcPr>
            <w:tcW w:w="1054"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xml:space="preserve">2020 </w:t>
            </w:r>
            <w:r w:rsidRPr="007A27A5">
              <w:rPr>
                <w:rFonts w:ascii="Times New Roman" w:eastAsia="Times New Roman" w:hAnsi="Times New Roman" w:cs="Times New Roman"/>
                <w:b/>
                <w:bCs/>
                <w:color w:val="000000"/>
                <w:sz w:val="10"/>
                <w:szCs w:val="10"/>
                <w:vertAlign w:val="superscript"/>
                <w:lang w:eastAsia="es-MX"/>
              </w:rPr>
              <w:t>1</w:t>
            </w:r>
          </w:p>
        </w:tc>
        <w:tc>
          <w:tcPr>
            <w:tcW w:w="1049"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xml:space="preserve">2021 </w:t>
            </w:r>
            <w:r w:rsidRPr="007A27A5">
              <w:rPr>
                <w:rFonts w:ascii="Times New Roman" w:eastAsia="Times New Roman" w:hAnsi="Times New Roman" w:cs="Times New Roman"/>
                <w:b/>
                <w:bCs/>
                <w:color w:val="000000"/>
                <w:sz w:val="10"/>
                <w:szCs w:val="10"/>
                <w:vertAlign w:val="superscript"/>
                <w:lang w:eastAsia="es-MX"/>
              </w:rPr>
              <w:t>1</w:t>
            </w:r>
          </w:p>
        </w:tc>
        <w:tc>
          <w:tcPr>
            <w:tcW w:w="1035"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xml:space="preserve">2022 </w:t>
            </w:r>
            <w:r w:rsidRPr="007A27A5">
              <w:rPr>
                <w:rFonts w:ascii="Times New Roman" w:eastAsia="Times New Roman" w:hAnsi="Times New Roman" w:cs="Times New Roman"/>
                <w:b/>
                <w:bCs/>
                <w:color w:val="000000"/>
                <w:sz w:val="10"/>
                <w:szCs w:val="10"/>
                <w:vertAlign w:val="superscript"/>
                <w:lang w:eastAsia="es-MX"/>
              </w:rPr>
              <w:t>1</w:t>
            </w:r>
          </w:p>
        </w:tc>
        <w:tc>
          <w:tcPr>
            <w:tcW w:w="1063"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xml:space="preserve">2023 </w:t>
            </w:r>
            <w:r w:rsidRPr="007A27A5">
              <w:rPr>
                <w:rFonts w:ascii="Times New Roman" w:eastAsia="Times New Roman" w:hAnsi="Times New Roman" w:cs="Times New Roman"/>
                <w:b/>
                <w:bCs/>
                <w:color w:val="000000"/>
                <w:sz w:val="10"/>
                <w:szCs w:val="10"/>
                <w:vertAlign w:val="superscript"/>
                <w:lang w:eastAsia="es-MX"/>
              </w:rPr>
              <w:t>1</w:t>
            </w:r>
          </w:p>
        </w:tc>
        <w:tc>
          <w:tcPr>
            <w:tcW w:w="1059"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xml:space="preserve">2024 </w:t>
            </w:r>
            <w:r w:rsidRPr="007A27A5">
              <w:rPr>
                <w:rFonts w:ascii="Times New Roman" w:eastAsia="Times New Roman" w:hAnsi="Times New Roman" w:cs="Times New Roman"/>
                <w:b/>
                <w:bCs/>
                <w:color w:val="000000"/>
                <w:sz w:val="10"/>
                <w:szCs w:val="10"/>
                <w:vertAlign w:val="superscript"/>
                <w:lang w:eastAsia="es-MX"/>
              </w:rPr>
              <w:t>1</w:t>
            </w:r>
          </w:p>
        </w:tc>
        <w:tc>
          <w:tcPr>
            <w:tcW w:w="909"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xml:space="preserve">2025 </w:t>
            </w:r>
            <w:r w:rsidRPr="007A27A5">
              <w:rPr>
                <w:rFonts w:ascii="Times New Roman" w:eastAsia="Times New Roman" w:hAnsi="Times New Roman" w:cs="Times New Roman"/>
                <w:b/>
                <w:bCs/>
                <w:color w:val="000000"/>
                <w:sz w:val="10"/>
                <w:szCs w:val="10"/>
                <w:vertAlign w:val="superscript"/>
                <w:lang w:eastAsia="es-MX"/>
              </w:rPr>
              <w:t>2</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54"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49"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35"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63"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59"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909"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0"/>
                <w:szCs w:val="10"/>
                <w:lang w:eastAsia="es-MX"/>
              </w:rPr>
            </w:pPr>
            <w:r w:rsidRPr="007A27A5">
              <w:rPr>
                <w:rFonts w:ascii="Times New Roman" w:eastAsia="Times New Roman" w:hAnsi="Times New Roman" w:cs="Times New Roman"/>
                <w:b/>
                <w:bCs/>
                <w:i/>
                <w:iCs/>
                <w:color w:val="000000"/>
                <w:sz w:val="10"/>
                <w:szCs w:val="10"/>
                <w:lang w:eastAsia="es-MX"/>
              </w:rPr>
              <w:t>1. Ingresos de Libre Disposición (1=A+B+C+D+E+F+G+H+I+J+K+L)</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195,981,166,225</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201,515,851,583</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224,598,412,853</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246,578,326,884</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254,902,131,278</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285,853,381,727</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0"/>
                <w:szCs w:val="10"/>
                <w:lang w:eastAsia="es-MX"/>
              </w:rPr>
            </w:pPr>
            <w:r w:rsidRPr="007A27A5">
              <w:rPr>
                <w:rFonts w:ascii="Times New Roman" w:eastAsia="Times New Roman" w:hAnsi="Times New Roman" w:cs="Times New Roman"/>
                <w:b/>
                <w:bCs/>
                <w:i/>
                <w:iCs/>
                <w:color w:val="000000"/>
                <w:sz w:val="10"/>
                <w:szCs w:val="10"/>
                <w:lang w:eastAsia="es-MX"/>
              </w:rPr>
              <w:t>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A. Impuestos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20,850,708,719</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22,785,947,819</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24,627,207,526</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27,513,293,688</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31,207,428,133</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31,598,044,627</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B. Cuotas y Aportaciones de Seguridad Social</w:t>
            </w:r>
            <w:r w:rsidRPr="007A27A5">
              <w:rPr>
                <w:rFonts w:ascii="Times New Roman" w:eastAsia="Times New Roman" w:hAnsi="Times New Roman" w:cs="Times New Roman"/>
                <w:color w:val="000000"/>
                <w:sz w:val="10"/>
                <w:szCs w:val="10"/>
                <w:vertAlign w:val="superscript"/>
                <w:lang w:eastAsia="es-MX"/>
              </w:rPr>
              <w:t>4</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24,014,043,000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22,762,859,000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27,383,260,000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30,033,324,000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28,271,610,509</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34,174,035,079</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C. Contribuciones de Mejoras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492,405,777</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703,868,291</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568,989,832</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779,115,781</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764,185,923</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663,812,963</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D. Derechos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9,541,071,421</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11,437,422,221</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11,954,316,265</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13,053,953,525</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16,337,100,534</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19,148,749,870</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E. Productos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743,171,688</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611,956,686</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1,754,656,827</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3,366,574,753</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4,685,811,519</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3,316,387,592</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F. Aprovechamientos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2,460,735,348</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5,593,747,583</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4,855,525,298</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4,822,296,628</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3,088,849,830</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12,922,356,011</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G. Ingresos por Ventas de Bienes y Prestación de Servicios</w:t>
            </w:r>
            <w:r w:rsidRPr="007A27A5">
              <w:rPr>
                <w:rFonts w:ascii="Times New Roman" w:eastAsia="Times New Roman" w:hAnsi="Times New Roman" w:cs="Times New Roman"/>
                <w:color w:val="000000"/>
                <w:sz w:val="10"/>
                <w:szCs w:val="10"/>
                <w:vertAlign w:val="superscript"/>
                <w:lang w:eastAsia="es-MX"/>
              </w:rPr>
              <w:t>4</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11,036,336,000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11,077,255,000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12,949,056,000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7,515,362,000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8,230,470,442</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5,814,718,033</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H. Participaciones</w:t>
            </w:r>
            <w:r w:rsidRPr="007A27A5">
              <w:rPr>
                <w:rFonts w:ascii="Times New Roman" w:eastAsia="Times New Roman" w:hAnsi="Times New Roman" w:cs="Times New Roman"/>
                <w:color w:val="000000"/>
                <w:sz w:val="10"/>
                <w:szCs w:val="10"/>
                <w:vertAlign w:val="superscript"/>
                <w:lang w:eastAsia="es-MX"/>
              </w:rPr>
              <w:t>3</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121,004,716,006</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120,248,680,482</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133,237,161,269</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151,936,980,836</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153,954,223,724</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168,949,053,203</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I. Incentivos Derivados de la Colaboración Fiscal</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5,837,978,266</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6,294,114,502</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7,268,239,835</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7,557,425,673</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8,362,450,663</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9,266,224,349</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J. Transferencias y Asignaciones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K. Convenios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L. Otros Ingresos de Libre Disposición</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0"/>
                <w:szCs w:val="10"/>
                <w:lang w:eastAsia="es-MX"/>
              </w:rPr>
            </w:pPr>
            <w:r w:rsidRPr="007A27A5">
              <w:rPr>
                <w:rFonts w:ascii="Times New Roman" w:eastAsia="Times New Roman" w:hAnsi="Times New Roman" w:cs="Times New Roman"/>
                <w:b/>
                <w:bCs/>
                <w:i/>
                <w:iCs/>
                <w:color w:val="000000"/>
                <w:sz w:val="10"/>
                <w:szCs w:val="10"/>
                <w:lang w:eastAsia="es-MX"/>
              </w:rPr>
              <w:t>2. Transferencias Federales Etiquetadas (2=A+B+C+D+E)</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96,145,660,721</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97,577,856,690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106,397,397,891</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117,157,947,557</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120,474,406,634</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112,014,053,545</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0"/>
                <w:szCs w:val="10"/>
                <w:lang w:eastAsia="es-MX"/>
              </w:rPr>
            </w:pPr>
            <w:r w:rsidRPr="007A27A5">
              <w:rPr>
                <w:rFonts w:ascii="Times New Roman" w:eastAsia="Times New Roman" w:hAnsi="Times New Roman" w:cs="Times New Roman"/>
                <w:b/>
                <w:bCs/>
                <w:i/>
                <w:iCs/>
                <w:color w:val="000000"/>
                <w:sz w:val="10"/>
                <w:szCs w:val="10"/>
                <w:lang w:eastAsia="es-MX"/>
              </w:rPr>
              <w:t>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A. Aportaciones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80,778,001,588</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82,342,231,812</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89,089,122,832</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100,214,064,319</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101,697,382,984</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96,453,596,919</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B. Convenios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11,014,311,149</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8,578,484,353</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12,590,381,166</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12,019,230,700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11,120,717,731</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10,007,524,194</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C. Fondo Distintos de Aportaciones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25,759,750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601,079,000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740,261,321</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600,862,000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3,134,747,824</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D. Transferencias, Asignaciones, Subsidios y Subvenciones, y Pensiones y Jubilaciones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4,327,588,234</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6,056,061,525</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3,977,632,572</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4,323,790,538</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4,521,558,095</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5,552,932,432</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E. Otras Transferencias Federales Etiquetadas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0</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0"/>
                <w:szCs w:val="10"/>
                <w:lang w:eastAsia="es-MX"/>
              </w:rPr>
            </w:pPr>
            <w:r w:rsidRPr="007A27A5">
              <w:rPr>
                <w:rFonts w:ascii="Times New Roman" w:eastAsia="Times New Roman" w:hAnsi="Times New Roman" w:cs="Times New Roman"/>
                <w:b/>
                <w:bCs/>
                <w:i/>
                <w:iCs/>
                <w:color w:val="000000"/>
                <w:sz w:val="10"/>
                <w:szCs w:val="10"/>
                <w:lang w:eastAsia="es-MX"/>
              </w:rPr>
              <w:t>3. Ingresos Derivados de Financiamientos (3=A)</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21,203,997,000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24,652,204,000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18,612,342,000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17,044,178,000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15,657,682,544</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8,411,123,678</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0"/>
                <w:szCs w:val="10"/>
                <w:lang w:eastAsia="es-MX"/>
              </w:rPr>
            </w:pPr>
            <w:r w:rsidRPr="007A27A5">
              <w:rPr>
                <w:rFonts w:ascii="Times New Roman" w:eastAsia="Times New Roman" w:hAnsi="Times New Roman" w:cs="Times New Roman"/>
                <w:b/>
                <w:bCs/>
                <w:i/>
                <w:iCs/>
                <w:color w:val="000000"/>
                <w:sz w:val="10"/>
                <w:szCs w:val="10"/>
                <w:lang w:eastAsia="es-MX"/>
              </w:rPr>
              <w:t>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xml:space="preserve">     A. Ingresos Derivados de Financiamientos</w:t>
            </w:r>
            <w:r w:rsidRPr="007A27A5">
              <w:rPr>
                <w:rFonts w:ascii="Times New Roman" w:eastAsia="Times New Roman" w:hAnsi="Times New Roman" w:cs="Times New Roman"/>
                <w:color w:val="000000"/>
                <w:sz w:val="10"/>
                <w:szCs w:val="10"/>
                <w:vertAlign w:val="superscript"/>
                <w:lang w:eastAsia="es-MX"/>
              </w:rPr>
              <w:t>4</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21,203,997,000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24,652,204,000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18,612,342,000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17,044,178,000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15,657,682,544</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8,411,123,678</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0"/>
                <w:szCs w:val="10"/>
                <w:lang w:eastAsia="es-MX"/>
              </w:rPr>
            </w:pPr>
            <w:r w:rsidRPr="007A27A5">
              <w:rPr>
                <w:rFonts w:ascii="Times New Roman" w:eastAsia="Times New Roman" w:hAnsi="Times New Roman" w:cs="Times New Roman"/>
                <w:b/>
                <w:bCs/>
                <w:i/>
                <w:iCs/>
                <w:color w:val="000000"/>
                <w:sz w:val="10"/>
                <w:szCs w:val="10"/>
                <w:lang w:eastAsia="es-MX"/>
              </w:rPr>
              <w:t>4. Total de Resultados de Ingresos (4=1+2+3)</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313,330,823,946</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323,745,912,273</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349,608,152,743</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380,780,452,441</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391,034,220,457</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406,278,558,949</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lastRenderedPageBreak/>
              <w:t>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Datos Informativos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 Ingresos Derivados de Financiamientos con Fuente de Pago de Recursos de Libre Disposición</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16,251,754,808</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15,975,182,001</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12,133,308,000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12,721,670,000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14,094,183,413</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7,413,289,755</w:t>
            </w:r>
          </w:p>
        </w:tc>
      </w:tr>
      <w:tr w:rsidR="00DE3CD9" w:rsidRPr="007A27A5" w:rsidTr="00DE3CD9">
        <w:trPr>
          <w:trHeight w:val="20"/>
          <w:jc w:val="center"/>
        </w:trPr>
        <w:tc>
          <w:tcPr>
            <w:tcW w:w="3144" w:type="dxa"/>
            <w:tcBorders>
              <w:top w:val="nil"/>
              <w:left w:val="single" w:sz="4" w:space="0" w:color="auto"/>
              <w:bottom w:val="nil"/>
              <w:right w:val="single" w:sz="4" w:space="0" w:color="auto"/>
            </w:tcBorders>
            <w:vAlign w:val="center"/>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2. Ingresos Derivados de Financiamientos con Fuente de Pago de Transferencias Federales Etiquetadas</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4,952,242,192</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8,677,021,999</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6,479,034,000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4,322,508,000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1,563,499,132</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997,833,923</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r w:rsidR="00DE3CD9" w:rsidRPr="007A27A5" w:rsidTr="00DE3CD9">
        <w:trPr>
          <w:trHeight w:val="20"/>
          <w:jc w:val="center"/>
        </w:trPr>
        <w:tc>
          <w:tcPr>
            <w:tcW w:w="3144"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0"/>
                <w:szCs w:val="10"/>
                <w:lang w:eastAsia="es-MX"/>
              </w:rPr>
            </w:pPr>
            <w:r w:rsidRPr="007A27A5">
              <w:rPr>
                <w:rFonts w:ascii="Times New Roman" w:eastAsia="Times New Roman" w:hAnsi="Times New Roman" w:cs="Times New Roman"/>
                <w:b/>
                <w:bCs/>
                <w:i/>
                <w:iCs/>
                <w:color w:val="000000"/>
                <w:sz w:val="10"/>
                <w:szCs w:val="10"/>
                <w:lang w:eastAsia="es-MX"/>
              </w:rPr>
              <w:t>3. Ingresos Derivados de Financiamiento (3=1+2)</w:t>
            </w:r>
          </w:p>
        </w:tc>
        <w:tc>
          <w:tcPr>
            <w:tcW w:w="1054"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21,203,997,000</w:t>
            </w:r>
          </w:p>
        </w:tc>
        <w:tc>
          <w:tcPr>
            <w:tcW w:w="104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24,652,204,000</w:t>
            </w:r>
          </w:p>
        </w:tc>
        <w:tc>
          <w:tcPr>
            <w:tcW w:w="1035"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18,612,342,000</w:t>
            </w:r>
          </w:p>
        </w:tc>
        <w:tc>
          <w:tcPr>
            <w:tcW w:w="1063"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17,044,178,000</w:t>
            </w:r>
          </w:p>
        </w:tc>
        <w:tc>
          <w:tcPr>
            <w:tcW w:w="105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15,657,682,544</w:t>
            </w:r>
          </w:p>
        </w:tc>
        <w:tc>
          <w:tcPr>
            <w:tcW w:w="90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0"/>
                <w:szCs w:val="10"/>
                <w:lang w:eastAsia="es-MX"/>
              </w:rPr>
            </w:pPr>
            <w:r w:rsidRPr="007A27A5">
              <w:rPr>
                <w:rFonts w:ascii="Times New Roman" w:eastAsia="Times New Roman" w:hAnsi="Times New Roman" w:cs="Times New Roman"/>
                <w:b/>
                <w:bCs/>
                <w:color w:val="000000"/>
                <w:sz w:val="10"/>
                <w:szCs w:val="10"/>
                <w:lang w:eastAsia="es-MX"/>
              </w:rPr>
              <w:t>8,411,123,678</w:t>
            </w:r>
          </w:p>
        </w:tc>
      </w:tr>
      <w:tr w:rsidR="00DE3CD9" w:rsidRPr="007A27A5" w:rsidTr="00DE3CD9">
        <w:trPr>
          <w:trHeight w:val="20"/>
          <w:jc w:val="center"/>
        </w:trPr>
        <w:tc>
          <w:tcPr>
            <w:tcW w:w="3144" w:type="dxa"/>
            <w:tcBorders>
              <w:top w:val="nil"/>
              <w:left w:val="single" w:sz="4" w:space="0" w:color="auto"/>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4"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49"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35"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63"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1059"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c>
          <w:tcPr>
            <w:tcW w:w="909"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0"/>
                <w:szCs w:val="10"/>
                <w:lang w:eastAsia="es-MX"/>
              </w:rPr>
            </w:pPr>
            <w:r w:rsidRPr="007A27A5">
              <w:rPr>
                <w:rFonts w:ascii="Times New Roman" w:eastAsia="Times New Roman" w:hAnsi="Times New Roman" w:cs="Times New Roman"/>
                <w:color w:val="000000"/>
                <w:sz w:val="10"/>
                <w:szCs w:val="10"/>
                <w:lang w:eastAsia="es-MX"/>
              </w:rPr>
              <w:t> </w:t>
            </w:r>
          </w:p>
        </w:tc>
      </w:tr>
    </w:tbl>
    <w:p w:rsidR="00DE3CD9" w:rsidRPr="007A27A5" w:rsidRDefault="00DE3CD9" w:rsidP="00DE3CD9">
      <w:pPr>
        <w:spacing w:after="0" w:line="240" w:lineRule="auto"/>
        <w:ind w:left="339" w:hanging="339"/>
        <w:jc w:val="both"/>
        <w:rPr>
          <w:rFonts w:ascii="Times New Roman" w:eastAsia="Batang" w:hAnsi="Times New Roman" w:cs="Times New Roman"/>
          <w:sz w:val="12"/>
          <w:szCs w:val="24"/>
        </w:rPr>
      </w:pPr>
      <w:r w:rsidRPr="007A27A5">
        <w:rPr>
          <w:rFonts w:ascii="Times New Roman" w:eastAsia="Batang" w:hAnsi="Times New Roman" w:cs="Times New Roman"/>
          <w:sz w:val="12"/>
          <w:szCs w:val="24"/>
          <w:vertAlign w:val="superscript"/>
        </w:rPr>
        <w:t>1</w:t>
      </w:r>
      <w:r w:rsidRPr="007A27A5">
        <w:rPr>
          <w:rFonts w:ascii="Times New Roman" w:eastAsia="Batang" w:hAnsi="Times New Roman" w:cs="Times New Roman"/>
          <w:sz w:val="12"/>
          <w:szCs w:val="24"/>
        </w:rPr>
        <w:t xml:space="preserve"> Los importes corresponden al momento contable de los ingresos devengados.</w:t>
      </w:r>
    </w:p>
    <w:p w:rsidR="00DE3CD9" w:rsidRPr="007A27A5" w:rsidRDefault="00DE3CD9" w:rsidP="00DE3CD9">
      <w:pPr>
        <w:spacing w:after="0" w:line="240" w:lineRule="auto"/>
        <w:ind w:left="339" w:hanging="339"/>
        <w:jc w:val="both"/>
        <w:rPr>
          <w:rFonts w:ascii="Times New Roman" w:eastAsia="Batang" w:hAnsi="Times New Roman" w:cs="Times New Roman"/>
          <w:sz w:val="12"/>
          <w:szCs w:val="24"/>
        </w:rPr>
      </w:pPr>
      <w:r w:rsidRPr="007A27A5">
        <w:rPr>
          <w:rFonts w:ascii="Times New Roman" w:eastAsia="Batang" w:hAnsi="Times New Roman" w:cs="Times New Roman"/>
          <w:sz w:val="12"/>
          <w:szCs w:val="24"/>
          <w:vertAlign w:val="superscript"/>
        </w:rPr>
        <w:t>2</w:t>
      </w:r>
      <w:r w:rsidRPr="007A27A5">
        <w:rPr>
          <w:rFonts w:ascii="Times New Roman" w:eastAsia="Batang" w:hAnsi="Times New Roman" w:cs="Times New Roman"/>
          <w:sz w:val="12"/>
          <w:szCs w:val="24"/>
        </w:rPr>
        <w:t xml:space="preserve"> Los importes corresponden a los ingresos devengados al cierre trimestral más reciente disponible y estimados para el resto del ejercicio.</w:t>
      </w:r>
    </w:p>
    <w:p w:rsidR="00DE3CD9" w:rsidRPr="007A27A5" w:rsidRDefault="00DE3CD9" w:rsidP="00DE3CD9">
      <w:pPr>
        <w:spacing w:after="0" w:line="240" w:lineRule="auto"/>
        <w:ind w:left="339" w:hanging="339"/>
        <w:jc w:val="both"/>
        <w:rPr>
          <w:rFonts w:ascii="Times New Roman" w:eastAsia="Batang" w:hAnsi="Times New Roman" w:cs="Times New Roman"/>
          <w:sz w:val="12"/>
          <w:szCs w:val="24"/>
        </w:rPr>
      </w:pPr>
      <w:r w:rsidRPr="007A27A5">
        <w:rPr>
          <w:rFonts w:ascii="Times New Roman" w:eastAsia="Batang" w:hAnsi="Times New Roman" w:cs="Times New Roman"/>
          <w:sz w:val="12"/>
          <w:szCs w:val="24"/>
          <w:vertAlign w:val="superscript"/>
        </w:rPr>
        <w:t>3</w:t>
      </w:r>
      <w:r w:rsidRPr="007A27A5">
        <w:rPr>
          <w:rFonts w:ascii="Times New Roman" w:eastAsia="Batang" w:hAnsi="Times New Roman" w:cs="Times New Roman"/>
          <w:sz w:val="12"/>
          <w:szCs w:val="24"/>
        </w:rPr>
        <w:t xml:space="preserve"> Incluye el Fondo de Estabilización de las Entidades Federativas.</w:t>
      </w:r>
    </w:p>
    <w:p w:rsidR="00DE3CD9" w:rsidRPr="007A27A5" w:rsidRDefault="00DE3CD9" w:rsidP="00DE3CD9">
      <w:pPr>
        <w:spacing w:after="0" w:line="240" w:lineRule="auto"/>
        <w:ind w:left="339" w:hanging="339"/>
        <w:jc w:val="both"/>
        <w:rPr>
          <w:rFonts w:ascii="Times New Roman" w:eastAsia="Batang" w:hAnsi="Times New Roman" w:cs="Times New Roman"/>
          <w:sz w:val="12"/>
          <w:szCs w:val="24"/>
        </w:rPr>
      </w:pPr>
      <w:r w:rsidRPr="007A27A5">
        <w:rPr>
          <w:rFonts w:ascii="Times New Roman" w:eastAsia="Batang" w:hAnsi="Times New Roman" w:cs="Times New Roman"/>
          <w:sz w:val="12"/>
          <w:szCs w:val="24"/>
          <w:vertAlign w:val="superscript"/>
        </w:rPr>
        <w:t>4</w:t>
      </w:r>
      <w:r w:rsidRPr="007A27A5">
        <w:rPr>
          <w:rFonts w:ascii="Times New Roman" w:eastAsia="Batang" w:hAnsi="Times New Roman" w:cs="Times New Roman"/>
          <w:sz w:val="12"/>
          <w:szCs w:val="24"/>
        </w:rPr>
        <w:t xml:space="preserve"> Para el año 2025 se considera el importe autorizado en la Ley de Ingresos del Estado de México para el Ejercicio Fiscal 2025.</w:t>
      </w:r>
    </w:p>
    <w:p w:rsidR="00DE3CD9" w:rsidRPr="007A27A5" w:rsidRDefault="00DE3CD9" w:rsidP="00DE3CD9">
      <w:pPr>
        <w:widowControl w:val="0"/>
        <w:autoSpaceDE w:val="0"/>
        <w:autoSpaceDN w:val="0"/>
        <w:spacing w:after="0" w:line="240" w:lineRule="auto"/>
        <w:rPr>
          <w:rFonts w:ascii="Times New Roman" w:eastAsia="Microsoft Sans Serif" w:hAnsi="Times New Roman" w:cs="Times New Roman"/>
          <w:sz w:val="20"/>
          <w:szCs w:val="20"/>
        </w:rPr>
      </w:pPr>
    </w:p>
    <w:p w:rsidR="00DE3CD9" w:rsidRPr="007A27A5" w:rsidRDefault="00DE3CD9" w:rsidP="00DE3CD9">
      <w:pPr>
        <w:spacing w:after="0" w:line="240" w:lineRule="auto"/>
        <w:ind w:left="-567"/>
        <w:jc w:val="both"/>
        <w:rPr>
          <w:rFonts w:ascii="Times New Roman" w:eastAsia="Batang" w:hAnsi="Times New Roman" w:cs="Times New Roman"/>
          <w:sz w:val="12"/>
          <w:szCs w:val="24"/>
        </w:rPr>
      </w:pPr>
    </w:p>
    <w:tbl>
      <w:tblPr>
        <w:tblW w:w="9655" w:type="dxa"/>
        <w:jc w:val="center"/>
        <w:tblCellMar>
          <w:left w:w="70" w:type="dxa"/>
          <w:right w:w="70" w:type="dxa"/>
        </w:tblCellMar>
        <w:tblLook w:val="04A0" w:firstRow="1" w:lastRow="0" w:firstColumn="1" w:lastColumn="0" w:noHBand="0" w:noVBand="1"/>
      </w:tblPr>
      <w:tblGrid>
        <w:gridCol w:w="2992"/>
        <w:gridCol w:w="1087"/>
        <w:gridCol w:w="1088"/>
        <w:gridCol w:w="1129"/>
        <w:gridCol w:w="1077"/>
        <w:gridCol w:w="1087"/>
        <w:gridCol w:w="1195"/>
      </w:tblGrid>
      <w:tr w:rsidR="00DE3CD9" w:rsidRPr="007A27A5" w:rsidTr="00DE3CD9">
        <w:trPr>
          <w:trHeight w:val="22"/>
          <w:tblHeader/>
          <w:jc w:val="center"/>
        </w:trPr>
        <w:tc>
          <w:tcPr>
            <w:tcW w:w="9655" w:type="dxa"/>
            <w:gridSpan w:val="7"/>
            <w:tcBorders>
              <w:top w:val="single" w:sz="4" w:space="0" w:color="auto"/>
              <w:left w:val="single" w:sz="4" w:space="0" w:color="auto"/>
              <w:bottom w:val="nil"/>
              <w:right w:val="single" w:sz="4" w:space="0" w:color="000000"/>
            </w:tcBorders>
            <w:shd w:val="clear" w:color="000000"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GOBIERNO DEL ESTADO DE MÉXICO</w:t>
            </w:r>
          </w:p>
        </w:tc>
      </w:tr>
      <w:tr w:rsidR="00DE3CD9" w:rsidRPr="007A27A5" w:rsidTr="00DE3CD9">
        <w:trPr>
          <w:trHeight w:val="22"/>
          <w:tblHeader/>
          <w:jc w:val="center"/>
        </w:trPr>
        <w:tc>
          <w:tcPr>
            <w:tcW w:w="9655" w:type="dxa"/>
            <w:gridSpan w:val="7"/>
            <w:tcBorders>
              <w:top w:val="nil"/>
              <w:left w:val="single" w:sz="4" w:space="0" w:color="auto"/>
              <w:bottom w:val="nil"/>
              <w:right w:val="single" w:sz="4" w:space="0" w:color="000000"/>
            </w:tcBorders>
            <w:shd w:val="clear" w:color="000000"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Proyecciones de Ingresos - LDF</w:t>
            </w:r>
          </w:p>
        </w:tc>
      </w:tr>
      <w:tr w:rsidR="00DE3CD9" w:rsidRPr="007A27A5" w:rsidTr="00DE3CD9">
        <w:trPr>
          <w:trHeight w:val="22"/>
          <w:tblHeader/>
          <w:jc w:val="center"/>
        </w:trPr>
        <w:tc>
          <w:tcPr>
            <w:tcW w:w="9655" w:type="dxa"/>
            <w:gridSpan w:val="7"/>
            <w:tcBorders>
              <w:top w:val="nil"/>
              <w:left w:val="single" w:sz="4" w:space="0" w:color="auto"/>
              <w:bottom w:val="nil"/>
              <w:right w:val="single" w:sz="4" w:space="0" w:color="000000"/>
            </w:tcBorders>
            <w:shd w:val="clear" w:color="000000"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(PESOS)</w:t>
            </w:r>
          </w:p>
        </w:tc>
      </w:tr>
      <w:tr w:rsidR="00DE3CD9" w:rsidRPr="007A27A5" w:rsidTr="00DE3CD9">
        <w:trPr>
          <w:trHeight w:val="22"/>
          <w:tblHeader/>
          <w:jc w:val="center"/>
        </w:trPr>
        <w:tc>
          <w:tcPr>
            <w:tcW w:w="9655" w:type="dxa"/>
            <w:gridSpan w:val="7"/>
            <w:tcBorders>
              <w:top w:val="nil"/>
              <w:left w:val="single" w:sz="4" w:space="0" w:color="auto"/>
              <w:bottom w:val="single" w:sz="4" w:space="0" w:color="auto"/>
              <w:right w:val="single" w:sz="4" w:space="0" w:color="000000"/>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(CIFRAS NOMINALES)</w:t>
            </w:r>
          </w:p>
        </w:tc>
      </w:tr>
      <w:tr w:rsidR="00DE3CD9" w:rsidRPr="007A27A5" w:rsidTr="00DE3CD9">
        <w:trPr>
          <w:trHeight w:val="22"/>
          <w:tblHeader/>
          <w:jc w:val="center"/>
        </w:trPr>
        <w:tc>
          <w:tcPr>
            <w:tcW w:w="299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Concepto</w:t>
            </w:r>
          </w:p>
        </w:tc>
        <w:tc>
          <w:tcPr>
            <w:tcW w:w="1087"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2026</w:t>
            </w:r>
          </w:p>
        </w:tc>
        <w:tc>
          <w:tcPr>
            <w:tcW w:w="1088"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2027</w:t>
            </w:r>
          </w:p>
        </w:tc>
        <w:tc>
          <w:tcPr>
            <w:tcW w:w="1129"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2028</w:t>
            </w:r>
          </w:p>
        </w:tc>
        <w:tc>
          <w:tcPr>
            <w:tcW w:w="1077"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2029</w:t>
            </w:r>
          </w:p>
        </w:tc>
        <w:tc>
          <w:tcPr>
            <w:tcW w:w="1087"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2030</w:t>
            </w:r>
          </w:p>
        </w:tc>
        <w:tc>
          <w:tcPr>
            <w:tcW w:w="1192" w:type="dxa"/>
            <w:tcBorders>
              <w:top w:val="single" w:sz="4" w:space="0" w:color="auto"/>
              <w:left w:val="nil"/>
              <w:bottom w:val="single" w:sz="4" w:space="0" w:color="auto"/>
              <w:right w:val="single" w:sz="4" w:space="0" w:color="auto"/>
            </w:tcBorders>
            <w:shd w:val="clear" w:color="000000" w:fill="D9D9D9"/>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2031</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8"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29"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77"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92" w:type="dxa"/>
            <w:tcBorders>
              <w:top w:val="nil"/>
              <w:left w:val="nil"/>
              <w:bottom w:val="nil"/>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2"/>
                <w:szCs w:val="12"/>
                <w:lang w:eastAsia="es-MX"/>
              </w:rPr>
            </w:pPr>
            <w:r w:rsidRPr="007A27A5">
              <w:rPr>
                <w:rFonts w:ascii="Times New Roman" w:eastAsia="Times New Roman" w:hAnsi="Times New Roman" w:cs="Times New Roman"/>
                <w:b/>
                <w:bCs/>
                <w:i/>
                <w:iCs/>
                <w:color w:val="000000"/>
                <w:sz w:val="12"/>
                <w:szCs w:val="12"/>
                <w:lang w:eastAsia="es-MX"/>
              </w:rPr>
              <w:t>1. Ingresos de Libre Disposición (1=A+B+C+D+E+F+G+H+I+J+K+L)</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285,168,743,672</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297,627,963,479</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310,276,635,554</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323,822,772,164</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340,008,216,601</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355,918,500,504</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2"/>
                <w:szCs w:val="12"/>
                <w:lang w:eastAsia="es-MX"/>
              </w:rPr>
            </w:pPr>
            <w:r w:rsidRPr="007A27A5">
              <w:rPr>
                <w:rFonts w:ascii="Times New Roman" w:eastAsia="Times New Roman" w:hAnsi="Times New Roman" w:cs="Times New Roman"/>
                <w:b/>
                <w:bCs/>
                <w:i/>
                <w:iCs/>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A. Impuestos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32,584,261,832</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33,921,591,606</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35,463,327,944</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37,075,136,199</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38,760,201,137</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40,521,852,279</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B. Cuotas y Aportaciones de Seguridad Social</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36,284,001,218</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37,933,109,073</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39,657,168,881</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41,459,587,206</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43,343,925,445</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45,313,906,856</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C. Contribuciones de Mejoras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1,101,698,337</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1,080,840,651</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1,116,329,858</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1,153,432,050</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1,192,220,537</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1,232,771,959</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D. Derechos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22,502,973,974</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23,202,543,719</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23,929,696,339</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25,230,478,122</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26,609,306,811</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28,070,865,217</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E. Productos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3,689,807,742</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3,857,509,504</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4,032,833,310</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4,216,125,585</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4,407,748,493</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4,608,080,662</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F. Aprovechamientos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3,335,050,082</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3,486,628,107</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3,645,095,356</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3,810,764,938</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3,983,964,203</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4,165,035,377</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G. Ingresos por Ventas de Bienes y Prestación de Servicios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4,727,975,454</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4,942,861,940</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5,167,515,016</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5,402,378,569</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5,647,916,680</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5,904,614,487</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H. Participaciones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171,644,953,399</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180,406,883,272</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188,073,381,599</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195,870,190,003</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206,025,942,330</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215,612,296,041</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I. Incentivos Derivados de la Colaboración Fiscal</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9,298,021,634</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8,795,995,607</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9,191,287,251</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9,604,679,492</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10,036,990,965</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10,489,077,626</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J. Transferencias y Asignaciones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K. Convenios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L. Otros Ingresos de Libre Disposición</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2"/>
                <w:szCs w:val="12"/>
                <w:lang w:eastAsia="es-MX"/>
              </w:rPr>
            </w:pPr>
            <w:r w:rsidRPr="007A27A5">
              <w:rPr>
                <w:rFonts w:ascii="Times New Roman" w:eastAsia="Times New Roman" w:hAnsi="Times New Roman" w:cs="Times New Roman"/>
                <w:b/>
                <w:bCs/>
                <w:i/>
                <w:iCs/>
                <w:color w:val="000000"/>
                <w:sz w:val="12"/>
                <w:szCs w:val="12"/>
                <w:lang w:eastAsia="es-MX"/>
              </w:rPr>
              <w:t>2. Transferencias Federales Etiquetadas (2=A+B+C+D+E)</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116,534,313,862</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121,830,798,426</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127,368,008,215</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133,156,884,186</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139,208,864,576</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145,535,907,471</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2"/>
                <w:szCs w:val="12"/>
                <w:lang w:eastAsia="es-MX"/>
              </w:rPr>
            </w:pPr>
            <w:r w:rsidRPr="007A27A5">
              <w:rPr>
                <w:rFonts w:ascii="Times New Roman" w:eastAsia="Times New Roman" w:hAnsi="Times New Roman" w:cs="Times New Roman"/>
                <w:b/>
                <w:bCs/>
                <w:i/>
                <w:iCs/>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A. Aportaciones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100,748,910,789</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105,327,948,784</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110,115,104,056</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115,119,835,534</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120,352,032,062</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125,822,031,920</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B. Convenios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10,305,149,100</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10,773,518,126</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11,263,174,525</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11,775,085,807</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12,310,263,457</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12,869,764,931</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C. Fondo Distintos de Aportaciones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D. Transferencias, Asignaciones, Subsidios y Subvenciones, y Pensiones y Jubilaciones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5,480,253,973</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5,729,331,516</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5,989,729,634</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6,261,962,845</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6,546,569,057</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6,844,110,620</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E. Otras Transferencias Federales Etiquetadas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0</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2"/>
                <w:szCs w:val="12"/>
                <w:lang w:eastAsia="es-MX"/>
              </w:rPr>
            </w:pPr>
            <w:r w:rsidRPr="007A27A5">
              <w:rPr>
                <w:rFonts w:ascii="Times New Roman" w:eastAsia="Times New Roman" w:hAnsi="Times New Roman" w:cs="Times New Roman"/>
                <w:b/>
                <w:bCs/>
                <w:i/>
                <w:iCs/>
                <w:color w:val="000000"/>
                <w:sz w:val="12"/>
                <w:szCs w:val="12"/>
                <w:lang w:eastAsia="es-MX"/>
              </w:rPr>
              <w:t>3. Ingresos Derivados de Financiamientos (3=A)</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8,638,557,728</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9,410,640,209</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10,239,641,089</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11,113,533,209</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11,986,611,164</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12,834,658,848</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2"/>
                <w:szCs w:val="12"/>
                <w:lang w:eastAsia="es-MX"/>
              </w:rPr>
            </w:pPr>
            <w:r w:rsidRPr="007A27A5">
              <w:rPr>
                <w:rFonts w:ascii="Times New Roman" w:eastAsia="Times New Roman" w:hAnsi="Times New Roman" w:cs="Times New Roman"/>
                <w:b/>
                <w:bCs/>
                <w:i/>
                <w:iCs/>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xml:space="preserve">     A. Ingresos Derivados de Financiamientos</w:t>
            </w:r>
            <w:r w:rsidRPr="007A27A5">
              <w:rPr>
                <w:rFonts w:ascii="Times New Roman" w:eastAsia="Times New Roman" w:hAnsi="Times New Roman" w:cs="Times New Roman"/>
                <w:color w:val="000000"/>
                <w:sz w:val="12"/>
                <w:szCs w:val="12"/>
                <w:vertAlign w:val="superscript"/>
                <w:lang w:eastAsia="es-MX"/>
              </w:rPr>
              <w:t>*</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8,638,557,728</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9,410,640,209</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10,239,641,089</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11,113,533,209</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11,986,611,164</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12,834,658,848</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2"/>
                <w:szCs w:val="12"/>
                <w:lang w:eastAsia="es-MX"/>
              </w:rPr>
            </w:pPr>
            <w:r w:rsidRPr="007A27A5">
              <w:rPr>
                <w:rFonts w:ascii="Times New Roman" w:eastAsia="Times New Roman" w:hAnsi="Times New Roman" w:cs="Times New Roman"/>
                <w:b/>
                <w:bCs/>
                <w:i/>
                <w:iCs/>
                <w:color w:val="000000"/>
                <w:sz w:val="12"/>
                <w:szCs w:val="12"/>
                <w:lang w:eastAsia="es-MX"/>
              </w:rPr>
              <w:t>4. Total de Ingresos Proyectados (4=1+2+3)</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410,341,615,262</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428,869,402,114</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447,884,284,858</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468,093,189,559</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491,203,692,341</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514,289,066,823</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Datos Informativos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 Ingresos Derivados de Financiamientos con Fuente de Pago de Recursos de Libre Disposición</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7,260,799,070</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7,590,802,387</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7,935,804,356</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8,296,486,664</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8,673,561,983</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9,067,775,375</w:t>
            </w:r>
          </w:p>
        </w:tc>
      </w:tr>
      <w:tr w:rsidR="00DE3CD9" w:rsidRPr="007A27A5" w:rsidTr="00DE3CD9">
        <w:trPr>
          <w:trHeight w:val="22"/>
          <w:jc w:val="center"/>
        </w:trPr>
        <w:tc>
          <w:tcPr>
            <w:tcW w:w="2992" w:type="dxa"/>
            <w:tcBorders>
              <w:top w:val="nil"/>
              <w:left w:val="single" w:sz="4" w:space="0" w:color="auto"/>
              <w:bottom w:val="nil"/>
              <w:right w:val="single" w:sz="4" w:space="0" w:color="auto"/>
            </w:tcBorders>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 Ingresos Derivados de Financiamientos con Fuente de Pago de Transferencias Federales Etiquetadas</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1,377,758,658</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1,819,837,822</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2,303,836,733</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2,817,046,545</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3,313,049,181</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3,766,883,473</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r>
      <w:tr w:rsidR="00DE3CD9" w:rsidRPr="007A27A5" w:rsidTr="00DE3CD9">
        <w:trPr>
          <w:trHeight w:val="22"/>
          <w:jc w:val="center"/>
        </w:trPr>
        <w:tc>
          <w:tcPr>
            <w:tcW w:w="2992" w:type="dxa"/>
            <w:tcBorders>
              <w:top w:val="nil"/>
              <w:left w:val="single" w:sz="4" w:space="0" w:color="auto"/>
              <w:bottom w:val="nil"/>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b/>
                <w:bCs/>
                <w:i/>
                <w:iCs/>
                <w:color w:val="000000"/>
                <w:sz w:val="12"/>
                <w:szCs w:val="12"/>
                <w:lang w:eastAsia="es-MX"/>
              </w:rPr>
            </w:pPr>
            <w:r w:rsidRPr="007A27A5">
              <w:rPr>
                <w:rFonts w:ascii="Times New Roman" w:eastAsia="Times New Roman" w:hAnsi="Times New Roman" w:cs="Times New Roman"/>
                <w:b/>
                <w:bCs/>
                <w:i/>
                <w:iCs/>
                <w:color w:val="000000"/>
                <w:sz w:val="12"/>
                <w:szCs w:val="12"/>
                <w:lang w:eastAsia="es-MX"/>
              </w:rPr>
              <w:t>3. Ingresos Derivados de Financiamiento (3=1+2)</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8,638,557,728</w:t>
            </w:r>
          </w:p>
        </w:tc>
        <w:tc>
          <w:tcPr>
            <w:tcW w:w="1088"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9,410,640,209</w:t>
            </w:r>
          </w:p>
        </w:tc>
        <w:tc>
          <w:tcPr>
            <w:tcW w:w="1129"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10,239,641,089</w:t>
            </w:r>
          </w:p>
        </w:tc>
        <w:tc>
          <w:tcPr>
            <w:tcW w:w="107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11,113,533,209</w:t>
            </w:r>
          </w:p>
        </w:tc>
        <w:tc>
          <w:tcPr>
            <w:tcW w:w="1087"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11,986,611,164</w:t>
            </w:r>
          </w:p>
        </w:tc>
        <w:tc>
          <w:tcPr>
            <w:tcW w:w="1192" w:type="dxa"/>
            <w:tcBorders>
              <w:top w:val="nil"/>
              <w:left w:val="nil"/>
              <w:bottom w:val="nil"/>
              <w:right w:val="single" w:sz="4" w:space="0" w:color="auto"/>
            </w:tcBorders>
            <w:noWrap/>
            <w:vAlign w:val="bottom"/>
            <w:hideMark/>
          </w:tcPr>
          <w:p w:rsidR="00DE3CD9" w:rsidRPr="007A27A5" w:rsidRDefault="00DE3CD9" w:rsidP="00DE3CD9">
            <w:pPr>
              <w:spacing w:after="0" w:line="240" w:lineRule="auto"/>
              <w:jc w:val="right"/>
              <w:rPr>
                <w:rFonts w:ascii="Times New Roman" w:eastAsia="Times New Roman" w:hAnsi="Times New Roman" w:cs="Times New Roman"/>
                <w:b/>
                <w:bCs/>
                <w:color w:val="000000"/>
                <w:sz w:val="12"/>
                <w:szCs w:val="12"/>
                <w:lang w:eastAsia="es-MX"/>
              </w:rPr>
            </w:pPr>
            <w:r w:rsidRPr="007A27A5">
              <w:rPr>
                <w:rFonts w:ascii="Times New Roman" w:eastAsia="Times New Roman" w:hAnsi="Times New Roman" w:cs="Times New Roman"/>
                <w:b/>
                <w:bCs/>
                <w:color w:val="000000"/>
                <w:sz w:val="12"/>
                <w:szCs w:val="12"/>
                <w:lang w:eastAsia="es-MX"/>
              </w:rPr>
              <w:t>12,834,658,848</w:t>
            </w:r>
          </w:p>
        </w:tc>
      </w:tr>
      <w:tr w:rsidR="00DE3CD9" w:rsidRPr="007A27A5" w:rsidTr="00DE3CD9">
        <w:trPr>
          <w:trHeight w:val="22"/>
          <w:jc w:val="center"/>
        </w:trPr>
        <w:tc>
          <w:tcPr>
            <w:tcW w:w="2992" w:type="dxa"/>
            <w:tcBorders>
              <w:top w:val="nil"/>
              <w:left w:val="single" w:sz="4" w:space="0" w:color="auto"/>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8"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29"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77"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087"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c>
          <w:tcPr>
            <w:tcW w:w="1192" w:type="dxa"/>
            <w:tcBorders>
              <w:top w:val="nil"/>
              <w:left w:val="nil"/>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12"/>
                <w:szCs w:val="12"/>
                <w:lang w:eastAsia="es-MX"/>
              </w:rPr>
            </w:pPr>
            <w:r w:rsidRPr="007A27A5">
              <w:rPr>
                <w:rFonts w:ascii="Times New Roman" w:eastAsia="Times New Roman" w:hAnsi="Times New Roman" w:cs="Times New Roman"/>
                <w:color w:val="000000"/>
                <w:sz w:val="12"/>
                <w:szCs w:val="12"/>
                <w:lang w:eastAsia="es-MX"/>
              </w:rPr>
              <w:t> </w:t>
            </w:r>
          </w:p>
        </w:tc>
      </w:tr>
    </w:tbl>
    <w:p w:rsidR="00DE3CD9" w:rsidRPr="007A27A5" w:rsidRDefault="00DE3CD9" w:rsidP="00634930">
      <w:pPr>
        <w:spacing w:after="0" w:line="240" w:lineRule="auto"/>
        <w:ind w:left="-142"/>
        <w:jc w:val="both"/>
        <w:rPr>
          <w:rFonts w:ascii="Times New Roman" w:eastAsia="Batang" w:hAnsi="Times New Roman" w:cs="Times New Roman"/>
          <w:sz w:val="16"/>
          <w:szCs w:val="16"/>
        </w:rPr>
      </w:pPr>
      <w:r w:rsidRPr="007A27A5">
        <w:rPr>
          <w:rFonts w:ascii="Times New Roman" w:eastAsia="Batang" w:hAnsi="Times New Roman" w:cs="Times New Roman"/>
          <w:sz w:val="16"/>
          <w:szCs w:val="16"/>
        </w:rPr>
        <w:t>*Incluye Pasivos que se generen como resultado de erogaciones que se devenguen en el Ejercicio Fiscal pero que queden pendiente de liquidar al cierre del mismo.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monto estimado de los ingresos se compone por:</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Impuestos:</w:t>
      </w:r>
      <w:r w:rsidRPr="007A27A5">
        <w:rPr>
          <w:rFonts w:ascii="Times New Roman" w:eastAsia="Batang" w:hAnsi="Times New Roman" w:cs="Times New Roman"/>
          <w:sz w:val="24"/>
          <w:szCs w:val="24"/>
        </w:rPr>
        <w:t xml:space="preserve"> Para efectuar la estimación se consideró el comportamiento histórico de los ingresos observados en los últimos cinco ejercicios fiscales, así como el pronóstico de ingresos para el cierre del Ejercicio Fiscal 2025; además de tomar como base la inflación y el crecimiento económico real del país. La Iniciativa contempla los siguientes impuestos vigentes en el presente Ejercicio Fiscal:</w:t>
      </w:r>
    </w:p>
    <w:p w:rsidR="00DE3CD9" w:rsidRPr="007A27A5" w:rsidRDefault="00DE3CD9" w:rsidP="00DE3CD9">
      <w:pPr>
        <w:spacing w:after="0" w:line="240" w:lineRule="auto"/>
        <w:ind w:left="720"/>
        <w:contextualSpacing/>
        <w:jc w:val="both"/>
        <w:rPr>
          <w:rFonts w:ascii="Times New Roman" w:eastAsia="Batang" w:hAnsi="Times New Roman" w:cs="Times New Roman"/>
          <w:b/>
          <w:bCs/>
          <w:sz w:val="24"/>
          <w:szCs w:val="24"/>
        </w:rPr>
      </w:pPr>
    </w:p>
    <w:p w:rsidR="00DE3CD9" w:rsidRPr="007A27A5" w:rsidRDefault="00DE3CD9" w:rsidP="00F068E2">
      <w:pPr>
        <w:numPr>
          <w:ilvl w:val="0"/>
          <w:numId w:val="4"/>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Sobre Tenencia o Uso de Vehículos</w:t>
      </w:r>
    </w:p>
    <w:p w:rsidR="00DE3CD9" w:rsidRPr="007A27A5" w:rsidRDefault="00DE3CD9" w:rsidP="00F068E2">
      <w:pPr>
        <w:numPr>
          <w:ilvl w:val="0"/>
          <w:numId w:val="4"/>
        </w:numPr>
        <w:spacing w:after="0" w:line="240" w:lineRule="auto"/>
        <w:ind w:right="137"/>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Sobre la Adquisición de Vehículos Automotores Usados</w:t>
      </w:r>
    </w:p>
    <w:p w:rsidR="00DE3CD9" w:rsidRPr="007A27A5" w:rsidRDefault="00DE3CD9" w:rsidP="00F068E2">
      <w:pPr>
        <w:numPr>
          <w:ilvl w:val="0"/>
          <w:numId w:val="4"/>
        </w:numPr>
        <w:spacing w:after="0" w:line="240" w:lineRule="auto"/>
        <w:ind w:right="137"/>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Sobre la Prestación de Servicios de Hospedaje</w:t>
      </w:r>
    </w:p>
    <w:p w:rsidR="00DE3CD9" w:rsidRPr="007A27A5" w:rsidRDefault="00DE3CD9" w:rsidP="00F068E2">
      <w:pPr>
        <w:numPr>
          <w:ilvl w:val="0"/>
          <w:numId w:val="4"/>
        </w:numPr>
        <w:spacing w:after="0" w:line="240" w:lineRule="auto"/>
        <w:ind w:right="137"/>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 la Venta Final de Bebidas con Contenido Alcohólico</w:t>
      </w:r>
    </w:p>
    <w:p w:rsidR="00DE3CD9" w:rsidRPr="007A27A5" w:rsidRDefault="00DE3CD9" w:rsidP="00F068E2">
      <w:pPr>
        <w:numPr>
          <w:ilvl w:val="0"/>
          <w:numId w:val="4"/>
        </w:numPr>
        <w:spacing w:after="0" w:line="240" w:lineRule="auto"/>
        <w:ind w:right="137"/>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 Casas de Empeño</w:t>
      </w:r>
    </w:p>
    <w:p w:rsidR="00DE3CD9" w:rsidRPr="007A27A5" w:rsidRDefault="00DE3CD9" w:rsidP="00F068E2">
      <w:pPr>
        <w:numPr>
          <w:ilvl w:val="0"/>
          <w:numId w:val="4"/>
        </w:numPr>
        <w:spacing w:after="0" w:line="240" w:lineRule="auto"/>
        <w:ind w:right="137"/>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Sobre Erogaciones por Remuneraciones al Trabajo Personal</w:t>
      </w:r>
    </w:p>
    <w:p w:rsidR="00DE3CD9" w:rsidRPr="007A27A5" w:rsidRDefault="00DE3CD9" w:rsidP="00F068E2">
      <w:pPr>
        <w:numPr>
          <w:ilvl w:val="0"/>
          <w:numId w:val="4"/>
        </w:numPr>
        <w:spacing w:after="0" w:line="240" w:lineRule="auto"/>
        <w:ind w:right="137"/>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Impuestos Ecológicos</w:t>
      </w:r>
    </w:p>
    <w:p w:rsidR="00DE3CD9" w:rsidRPr="007A27A5" w:rsidRDefault="00DE3CD9" w:rsidP="00F068E2">
      <w:pPr>
        <w:numPr>
          <w:ilvl w:val="0"/>
          <w:numId w:val="4"/>
        </w:numPr>
        <w:spacing w:after="0" w:line="240" w:lineRule="auto"/>
        <w:ind w:right="137"/>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Sobre Loterías, Rifas, Sorteos, Concursos y Juegos Permitidos con Cruce de Apuestas</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Cuotas y Aportaciones de Seguridad Social: </w:t>
      </w:r>
      <w:r w:rsidRPr="007A27A5">
        <w:rPr>
          <w:rFonts w:ascii="Times New Roman" w:eastAsia="Batang" w:hAnsi="Times New Roman" w:cs="Times New Roman"/>
          <w:sz w:val="24"/>
          <w:szCs w:val="24"/>
        </w:rPr>
        <w:t>El monto por cuotas de Instituciones Públicas y aportaciones de los servidores públicos se estimó con base en la Ley de Seguridad Social para los Servidores Públicos del Estado de México y Municipios, partiendo de una proyección realizada con base en las determinaciones históricas del Gobierno del Estado de México, los Municipios y Organismos Auxiliares.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Contribuciones de Mejoras: </w:t>
      </w:r>
      <w:r w:rsidRPr="007A27A5">
        <w:rPr>
          <w:rFonts w:ascii="Times New Roman" w:eastAsia="Batang" w:hAnsi="Times New Roman" w:cs="Times New Roman"/>
          <w:sz w:val="24"/>
          <w:szCs w:val="24"/>
        </w:rPr>
        <w:t>Para determinar los ingresos por concepto de contribuciones o aportaciones de mejora, se utilizó el factor de crecimiento económico real e inflación esperados para el Ejercicio Fiscal 2026, así como el comportamiento histórico de los ingresos observados en los últimos cinco ejercicios fiscales y el pronóstico de ingresos para el cierre del Ejercicio Fiscal de 2025.</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Adicionalmente, se contempla la implementación de una aportación de mejora para la mitigación del impacto en la infraestructura vial estatal.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Derechos: </w:t>
      </w:r>
      <w:r w:rsidRPr="007A27A5">
        <w:rPr>
          <w:rFonts w:ascii="Times New Roman" w:eastAsia="Batang" w:hAnsi="Times New Roman" w:cs="Times New Roman"/>
          <w:sz w:val="24"/>
          <w:szCs w:val="24"/>
        </w:rPr>
        <w:t>Para el caso de los ingresos por concepto de los Derechos que se pagan al Estado por aquellos bienes y servicios que proporciona en el ejercicio de sus funciones de derecho público, éstos se proyectaron con base en las transacciones realizadas en los más recientes ejercicios fiscales, los montos determinados en la Ley de Ingresos del Estado de México para el Ejercicio Fiscal 2025, el cierre esperado del Ejercicio Fiscal de 2025 y considerando un crecimiento derivado de la actualización anual de los mismos conforme al factor propuesto en la presente Iniciativa de 1.060, así como el factor adicional propuesto para la implementación de acciones para obras de infraestructura vial.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Productos: </w:t>
      </w:r>
      <w:r w:rsidRPr="007A27A5">
        <w:rPr>
          <w:rFonts w:ascii="Times New Roman" w:eastAsia="Batang" w:hAnsi="Times New Roman" w:cs="Times New Roman"/>
          <w:sz w:val="24"/>
          <w:szCs w:val="24"/>
        </w:rPr>
        <w:t>La estimación del monto de los recursos por concepto de Productos consideró el comportamiento histórico de los ingresos observados en los años recientes, el pronóstico de ingresos para el cierre del Ejercicio Fiscal de 2025, así como el factor de la inflación esperada y el crecimiento económico real para el Ejercicio Fiscal 2026 congruentes con los Criterios Generales de Política Económica aplicables.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Aprovechamientos: </w:t>
      </w:r>
      <w:r w:rsidRPr="007A27A5">
        <w:rPr>
          <w:rFonts w:ascii="Times New Roman" w:eastAsia="Batang" w:hAnsi="Times New Roman" w:cs="Times New Roman"/>
          <w:sz w:val="24"/>
          <w:szCs w:val="24"/>
        </w:rPr>
        <w:t>El rubro de Aprovechamientos considera los ingresos que percibe el Estado por el ejercicio de funciones de derecho público distintos de las contribuciones, los ingresos derivados de financiamientos, los ingresos de los organismos descentralizados y empresas de participación estatal, así como los ingresos relacionados con la actividad propia del Estado, como lo son las multas administrativas, los reintegros y los resarcimientos, entre otros.</w:t>
      </w:r>
    </w:p>
    <w:p w:rsidR="00DE3CD9" w:rsidRPr="007A27A5" w:rsidRDefault="00DE3CD9" w:rsidP="00DE3CD9">
      <w:pPr>
        <w:spacing w:after="0" w:line="240" w:lineRule="auto"/>
        <w:ind w:left="720"/>
        <w:contextualSpacing/>
        <w:jc w:val="both"/>
        <w:rPr>
          <w:rFonts w:ascii="Times New Roman" w:eastAsia="Batang" w:hAnsi="Times New Roman" w:cs="Times New Roman"/>
          <w:b/>
          <w:bCs/>
          <w:sz w:val="24"/>
          <w:szCs w:val="24"/>
        </w:rPr>
      </w:pP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estimar los recursos por Aprovechamientos, se tomó como base el comportamiento estacional histórico de los ingresos de los ejercicios fiscales más recientes, los importes determinados para los Aprovechamientos en la Ley de Ingresos del Estado de México del Ejercicio Fiscal inmediato anterior y la proyección de ingresos para el cierre del Ejercicio Fiscal 2025.</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sz w:val="24"/>
          <w:szCs w:val="24"/>
        </w:rPr>
        <w:lastRenderedPageBreak/>
        <w:t xml:space="preserve">Ingresos por Venta de Bienes, Prestación de Servicios y Otros Ingresos: </w:t>
      </w:r>
      <w:r w:rsidRPr="007A27A5">
        <w:rPr>
          <w:rFonts w:ascii="Times New Roman" w:eastAsia="Batang" w:hAnsi="Times New Roman" w:cs="Times New Roman"/>
          <w:sz w:val="24"/>
          <w:szCs w:val="24"/>
        </w:rPr>
        <w:t>Este rubro se integra por los ingresos propios obtenidos por el Instituto de Seguridad Social del Estado de México y Municipios (ISSEMYM); por las entidades de la administración pública estatal y paraestatal, por los poderes Legislativo y Judicial y por los órganos autónomos estatales, por sus actividades de producción, comercialización o prestación de servicios, así como otros ingresos por sus actividades diversas no inherentes a su operación, que generen recursos.</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La estimación se realizó conforme a la información proporcionada por cada Ente Público, así como el comportamiento histórico de su recaudación establecida en la Cuenta Pública. </w:t>
      </w:r>
    </w:p>
    <w:p w:rsidR="00DE3CD9" w:rsidRPr="007A27A5" w:rsidRDefault="00DE3CD9" w:rsidP="00DE3CD9">
      <w:pPr>
        <w:spacing w:after="0" w:line="240" w:lineRule="auto"/>
        <w:ind w:left="720"/>
        <w:contextualSpacing/>
        <w:jc w:val="both"/>
        <w:rPr>
          <w:rFonts w:ascii="Times New Roman" w:eastAsia="Batang" w:hAnsi="Times New Roman" w:cs="Times New Roman"/>
          <w:b/>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sz w:val="24"/>
          <w:szCs w:val="24"/>
        </w:rPr>
        <w:t xml:space="preserve">Participaciones, Aportaciones, Convenios, Incentivos derivados de la  Colaboración Fiscal y Fondos Distintos de Aportaciones: </w:t>
      </w:r>
      <w:r w:rsidRPr="007A27A5">
        <w:rPr>
          <w:rFonts w:ascii="Times New Roman" w:eastAsia="Batang" w:hAnsi="Times New Roman" w:cs="Times New Roman"/>
          <w:sz w:val="24"/>
          <w:szCs w:val="24"/>
        </w:rPr>
        <w:t xml:space="preserve">Para emitir una estimación de dichos ingresos se tomaron en cuenta los siguientes elementos: los Criterios Generales de Política Económica, la Recaudación Federal Participable del artículo 1 de la Ley de Ingresos de la Federación; los datos establecidos en los anexos analíticos del Proyecto de Presupuesto de Egresos de la Federación, y las fórmulas de distribución señaladas en la Ley de Coordinación Fiscal para algunos de los fondos que integran este rubro, todos aplicables para el Ejercicio Fiscal 2026. </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Respecto a la estimación de los Incentivos Derivados de la Colaboración Fiscal, se consideraron los datos esperados para el cierre del Ejercicio Fiscal 2025, los pronósticos esperados de inflación y crecimiento económico para 2026, así como lo establecido en el Convenio de Colaboración Administrativa en Materia Fiscal Federal celebrado entre la SHCP y el Gobierno del Estado de México. </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ese sentido, se observó lo establecido en el artículo 5 de la Ley de Disciplina Financiera de las Entidades Federativas y los Municipios el cual indica que las estimaciones de participaciones y transferencias federales etiquetadas que se incluyan no deberán exceder a las previstas en la Ley de Ingresos de la Federación y en el Presupuesto de Egresos de la Federación del Ejercicio Fiscal correspondiente.</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3"/>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sz w:val="24"/>
          <w:szCs w:val="24"/>
        </w:rPr>
        <w:t xml:space="preserve">Transferencias, Asignaciones, Subsidios y Subvenciones, y Pensiones y Jubilaciones: </w:t>
      </w:r>
      <w:r w:rsidRPr="007A27A5">
        <w:rPr>
          <w:rFonts w:ascii="Times New Roman" w:eastAsia="Batang" w:hAnsi="Times New Roman" w:cs="Times New Roman"/>
          <w:sz w:val="24"/>
          <w:szCs w:val="24"/>
        </w:rPr>
        <w:t>En este rubro se integran los montos por subsidios educativos que el Estado recibe de la Federación, necesarios para atender temas prioritarios del sector. Para su estimación, se consideró el comportamiento observado durante los últimos ejercicios fiscales, así como la información actualizada y proporcionada por diversos Entes Públicos, a fin de mantener una proyección realista y congruente con las tendencias observadas.</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20"/>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b/>
          <w:sz w:val="24"/>
          <w:szCs w:val="24"/>
        </w:rPr>
        <w:t xml:space="preserve">Ingresos Derivados de Financiamientos: </w:t>
      </w:r>
      <w:r w:rsidRPr="007A27A5">
        <w:rPr>
          <w:rFonts w:ascii="Times New Roman" w:eastAsia="Batang" w:hAnsi="Times New Roman" w:cs="Times New Roman"/>
          <w:sz w:val="24"/>
          <w:szCs w:val="24"/>
        </w:rPr>
        <w:t>La estructura de la deuda pública del Gobierno del Estado de México se encuentra organizada en estricto apego a lo establecido en la Ley de Disciplina Financiera de las Entidades Federativas y los Municipios, así como en el Código Financiero del Estado de México y Municipios, la cual se encuentra administrada mediante un Fideicomiso Maestro, que tiene afecto en patrimonio, como garantía y fuente de pago, los Derechos y los flujos del 100 por ciento de las Participaciones Estatales y el Fondo de Aportaciones para el Fortalecimiento de las Entidades Federativas (FAFEF).</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Al 31 de julio de 2025, el 9.03 por ciento de la deuda pública estatal se encuentra contratada a tasa fija. Adicionalmente, se han celebrado Contratos de Intercambio de Flujos (Swaps) </w:t>
      </w:r>
      <w:r w:rsidRPr="007A27A5">
        <w:rPr>
          <w:rFonts w:ascii="Times New Roman" w:eastAsia="Batang" w:hAnsi="Times New Roman" w:cs="Times New Roman"/>
          <w:sz w:val="24"/>
          <w:szCs w:val="24"/>
        </w:rPr>
        <w:lastRenderedPageBreak/>
        <w:t>que representan el 27.85 por ciento de la deuda, con el objetivo de proteger la Hacienda Pública Estatal de variaciones inesperadas en la tasa de referencia, mediante la incorporación de instrumentos financieros. En conjunto, ambas modalidades representan el 36.88 por ciento del total de los créditos contratados.</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Es de destacar que los créditos vigentes del Gobierno del Estado de México están suscritos en moneda nacional y se encuentran libres de riesgo cambiario, por lo que el tipo de cambio no afecta los montos contratados ni el servicio de la deuda directamente. </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Las necesidades de financiamiento del Gobierno Estatal, para el periodo 2026-2031, estarán orientadas al desarrollo de la Inversión Pública Productiva, garantizando que todas las acciones del manejo de la deuda mantengan un enfoque responsable y transparente. A continuación, se presenta el perfil de vencimiento de la deuda en dicho periodo.</w:t>
      </w:r>
    </w:p>
    <w:p w:rsidR="00DE3CD9" w:rsidRPr="007A27A5" w:rsidRDefault="00DE3CD9" w:rsidP="00DE3CD9">
      <w:pPr>
        <w:spacing w:after="0" w:line="240" w:lineRule="auto"/>
        <w:ind w:left="426"/>
        <w:jc w:val="both"/>
        <w:rPr>
          <w:rFonts w:ascii="Times New Roman" w:eastAsia="Batang" w:hAnsi="Times New Roman" w:cs="Times New Roman"/>
          <w:sz w:val="24"/>
          <w:szCs w:val="24"/>
        </w:rPr>
      </w:pPr>
    </w:p>
    <w:p w:rsidR="00DE3CD9" w:rsidRPr="007A27A5" w:rsidRDefault="00DE3CD9" w:rsidP="00DE3CD9">
      <w:pPr>
        <w:spacing w:after="0" w:line="240" w:lineRule="auto"/>
        <w:ind w:left="426"/>
        <w:jc w:val="center"/>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 xml:space="preserve">Proyección de Amortización de la Deuda Pública del Estado de México </w:t>
      </w:r>
    </w:p>
    <w:p w:rsidR="00DE3CD9" w:rsidRPr="007A27A5" w:rsidRDefault="00DE3CD9" w:rsidP="00DE3CD9">
      <w:pPr>
        <w:spacing w:after="0" w:line="240" w:lineRule="auto"/>
        <w:ind w:left="426"/>
        <w:jc w:val="center"/>
        <w:rPr>
          <w:rFonts w:ascii="Times New Roman" w:eastAsia="Batang" w:hAnsi="Times New Roman" w:cs="Times New Roman"/>
          <w:sz w:val="24"/>
          <w:szCs w:val="24"/>
        </w:rPr>
      </w:pPr>
      <w:r w:rsidRPr="007A27A5">
        <w:rPr>
          <w:rFonts w:ascii="Times New Roman" w:eastAsia="Batang" w:hAnsi="Times New Roman" w:cs="Times New Roman"/>
          <w:b/>
          <w:bCs/>
          <w:sz w:val="24"/>
          <w:szCs w:val="24"/>
        </w:rPr>
        <w:t>2026-2031</w:t>
      </w:r>
    </w:p>
    <w:p w:rsidR="00DE3CD9" w:rsidRPr="007A27A5" w:rsidRDefault="00DE3CD9" w:rsidP="00DE3CD9">
      <w:pPr>
        <w:spacing w:after="0" w:line="240" w:lineRule="auto"/>
        <w:ind w:left="426"/>
        <w:jc w:val="center"/>
        <w:rPr>
          <w:rFonts w:ascii="Times New Roman" w:eastAsia="Batang" w:hAnsi="Times New Roman" w:cs="Times New Roman"/>
          <w:sz w:val="24"/>
          <w:szCs w:val="24"/>
        </w:rPr>
      </w:pPr>
    </w:p>
    <w:tbl>
      <w:tblPr>
        <w:tblW w:w="8494" w:type="dxa"/>
        <w:jc w:val="center"/>
        <w:tblCellMar>
          <w:left w:w="70" w:type="dxa"/>
          <w:right w:w="70" w:type="dxa"/>
        </w:tblCellMar>
        <w:tblLook w:val="04A0" w:firstRow="1" w:lastRow="0" w:firstColumn="1" w:lastColumn="0" w:noHBand="0" w:noVBand="1"/>
      </w:tblPr>
      <w:tblGrid>
        <w:gridCol w:w="1294"/>
        <w:gridCol w:w="1200"/>
        <w:gridCol w:w="1200"/>
        <w:gridCol w:w="1200"/>
        <w:gridCol w:w="1200"/>
        <w:gridCol w:w="1200"/>
        <w:gridCol w:w="1200"/>
      </w:tblGrid>
      <w:tr w:rsidR="00DE3CD9" w:rsidRPr="007A27A5" w:rsidTr="00DE3CD9">
        <w:trPr>
          <w:trHeight w:val="300"/>
          <w:jc w:val="center"/>
        </w:trPr>
        <w:tc>
          <w:tcPr>
            <w:tcW w:w="1294"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2026</w:t>
            </w:r>
          </w:p>
        </w:tc>
        <w:tc>
          <w:tcPr>
            <w:tcW w:w="12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2027</w:t>
            </w:r>
          </w:p>
        </w:tc>
        <w:tc>
          <w:tcPr>
            <w:tcW w:w="12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2028</w:t>
            </w:r>
          </w:p>
        </w:tc>
        <w:tc>
          <w:tcPr>
            <w:tcW w:w="12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2029</w:t>
            </w:r>
          </w:p>
        </w:tc>
        <w:tc>
          <w:tcPr>
            <w:tcW w:w="12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2030</w:t>
            </w:r>
          </w:p>
        </w:tc>
        <w:tc>
          <w:tcPr>
            <w:tcW w:w="12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2031</w:t>
            </w:r>
          </w:p>
        </w:tc>
      </w:tr>
      <w:tr w:rsidR="00DE3CD9" w:rsidRPr="007A27A5" w:rsidTr="00DE3CD9">
        <w:trPr>
          <w:trHeight w:val="300"/>
          <w:jc w:val="center"/>
        </w:trPr>
        <w:tc>
          <w:tcPr>
            <w:tcW w:w="1294" w:type="dxa"/>
            <w:tcBorders>
              <w:top w:val="single" w:sz="4" w:space="0" w:color="auto"/>
              <w:left w:val="single" w:sz="4" w:space="0" w:color="auto"/>
              <w:bottom w:val="single" w:sz="4" w:space="0" w:color="auto"/>
              <w:right w:val="single" w:sz="4" w:space="0" w:color="auto"/>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Sector Central</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1,377.76</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1,819.84</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2,303.84</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2,817.05</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3,313.05</w:t>
            </w:r>
          </w:p>
        </w:tc>
        <w:tc>
          <w:tcPr>
            <w:tcW w:w="1200" w:type="dxa"/>
            <w:tcBorders>
              <w:top w:val="single" w:sz="4" w:space="0" w:color="auto"/>
              <w:left w:val="single" w:sz="4" w:space="0" w:color="auto"/>
              <w:bottom w:val="single" w:sz="4" w:space="0" w:color="auto"/>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3,766.88</w:t>
            </w:r>
          </w:p>
        </w:tc>
      </w:tr>
      <w:tr w:rsidR="00DE3CD9" w:rsidRPr="007A27A5" w:rsidTr="00DE3CD9">
        <w:trPr>
          <w:trHeight w:val="300"/>
          <w:jc w:val="center"/>
        </w:trPr>
        <w:tc>
          <w:tcPr>
            <w:tcW w:w="3694" w:type="dxa"/>
            <w:gridSpan w:val="3"/>
            <w:tcBorders>
              <w:top w:val="single" w:sz="4" w:space="0" w:color="auto"/>
              <w:left w:val="nil"/>
              <w:bottom w:val="nil"/>
              <w:right w:val="nil"/>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Cifras en millones de pesos</w:t>
            </w:r>
          </w:p>
        </w:tc>
        <w:tc>
          <w:tcPr>
            <w:tcW w:w="1200" w:type="dxa"/>
            <w:tcBorders>
              <w:top w:val="single" w:sz="4" w:space="0" w:color="auto"/>
              <w:left w:val="nil"/>
              <w:bottom w:val="nil"/>
              <w:right w:val="nil"/>
            </w:tcBorders>
            <w:noWrap/>
            <w:vAlign w:val="bottom"/>
            <w:hideMark/>
          </w:tcPr>
          <w:p w:rsidR="00DE3CD9" w:rsidRPr="007A27A5" w:rsidRDefault="00DE3CD9" w:rsidP="00DE3CD9">
            <w:pPr>
              <w:spacing w:after="0" w:line="240" w:lineRule="auto"/>
              <w:rPr>
                <w:rFonts w:ascii="Times New Roman" w:eastAsia="Times New Roman" w:hAnsi="Times New Roman" w:cs="Times New Roman"/>
                <w:color w:val="000000"/>
                <w:sz w:val="24"/>
                <w:szCs w:val="24"/>
                <w:lang w:eastAsia="es-MX"/>
              </w:rPr>
            </w:pPr>
          </w:p>
        </w:tc>
        <w:tc>
          <w:tcPr>
            <w:tcW w:w="1200" w:type="dxa"/>
            <w:tcBorders>
              <w:top w:val="single" w:sz="4" w:space="0" w:color="auto"/>
              <w:left w:val="nil"/>
              <w:bottom w:val="nil"/>
              <w:right w:val="nil"/>
            </w:tcBorders>
            <w:noWrap/>
            <w:vAlign w:val="bottom"/>
            <w:hideMark/>
          </w:tcPr>
          <w:p w:rsidR="00DE3CD9" w:rsidRPr="007A27A5" w:rsidRDefault="00DE3CD9" w:rsidP="00DE3CD9">
            <w:pPr>
              <w:spacing w:after="0" w:line="240" w:lineRule="auto"/>
              <w:rPr>
                <w:rFonts w:ascii="Times New Roman" w:eastAsia="Times New Roman" w:hAnsi="Times New Roman" w:cs="Times New Roman"/>
                <w:sz w:val="24"/>
                <w:szCs w:val="24"/>
                <w:lang w:eastAsia="es-MX"/>
              </w:rPr>
            </w:pPr>
          </w:p>
        </w:tc>
        <w:tc>
          <w:tcPr>
            <w:tcW w:w="1200" w:type="dxa"/>
            <w:tcBorders>
              <w:top w:val="single" w:sz="4" w:space="0" w:color="auto"/>
              <w:left w:val="nil"/>
              <w:bottom w:val="nil"/>
              <w:right w:val="nil"/>
            </w:tcBorders>
            <w:noWrap/>
            <w:vAlign w:val="bottom"/>
            <w:hideMark/>
          </w:tcPr>
          <w:p w:rsidR="00DE3CD9" w:rsidRPr="007A27A5" w:rsidRDefault="00DE3CD9" w:rsidP="00DE3CD9">
            <w:pPr>
              <w:spacing w:after="0" w:line="240" w:lineRule="auto"/>
              <w:rPr>
                <w:rFonts w:ascii="Times New Roman" w:eastAsia="Times New Roman" w:hAnsi="Times New Roman" w:cs="Times New Roman"/>
                <w:sz w:val="24"/>
                <w:szCs w:val="24"/>
                <w:lang w:eastAsia="es-MX"/>
              </w:rPr>
            </w:pPr>
          </w:p>
        </w:tc>
        <w:tc>
          <w:tcPr>
            <w:tcW w:w="1200" w:type="dxa"/>
            <w:tcBorders>
              <w:top w:val="single" w:sz="4" w:space="0" w:color="auto"/>
              <w:left w:val="nil"/>
              <w:bottom w:val="nil"/>
              <w:right w:val="nil"/>
            </w:tcBorders>
            <w:noWrap/>
            <w:vAlign w:val="bottom"/>
            <w:hideMark/>
          </w:tcPr>
          <w:p w:rsidR="00DE3CD9" w:rsidRPr="007A27A5" w:rsidRDefault="00DE3CD9" w:rsidP="00DE3CD9">
            <w:pPr>
              <w:spacing w:after="0" w:line="240" w:lineRule="auto"/>
              <w:rPr>
                <w:rFonts w:ascii="Times New Roman" w:eastAsia="Times New Roman" w:hAnsi="Times New Roman" w:cs="Times New Roman"/>
                <w:sz w:val="24"/>
                <w:szCs w:val="24"/>
                <w:lang w:eastAsia="es-MX"/>
              </w:rPr>
            </w:pPr>
          </w:p>
        </w:tc>
      </w:tr>
    </w:tbl>
    <w:p w:rsidR="00DE3CD9" w:rsidRPr="007A27A5" w:rsidRDefault="00DE3CD9" w:rsidP="00DE3CD9">
      <w:pPr>
        <w:spacing w:after="0" w:line="240" w:lineRule="auto"/>
        <w:jc w:val="both"/>
        <w:rPr>
          <w:rFonts w:ascii="Times New Roman" w:eastAsia="Batang" w:hAnsi="Times New Roman" w:cs="Times New Roman"/>
          <w:sz w:val="24"/>
          <w:szCs w:val="24"/>
          <w:highlight w:val="green"/>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 fin de que el Gobierno del Estado de México cuente con una estructura de Deuda Pública más sólida y sostenible, se solicita a esta Honorable Legislatura, en los términos del artículo 2 que integra la presente Iniciativa, se autorice al Ejecutivo del Estado por sí o por conducto de la Secretaría de Finanzas</w:t>
      </w:r>
      <w:r w:rsidRPr="007A27A5">
        <w:rPr>
          <w:rFonts w:ascii="Times New Roman" w:eastAsia="Batang" w:hAnsi="Times New Roman" w:cs="Times New Roman"/>
          <w:i/>
          <w:iCs/>
          <w:sz w:val="24"/>
          <w:szCs w:val="24"/>
        </w:rPr>
        <w:t xml:space="preserve">, </w:t>
      </w:r>
      <w:r w:rsidRPr="007A27A5">
        <w:rPr>
          <w:rFonts w:ascii="Times New Roman" w:eastAsia="Batang" w:hAnsi="Times New Roman" w:cs="Times New Roman"/>
          <w:sz w:val="24"/>
          <w:szCs w:val="24"/>
        </w:rPr>
        <w:t>la contratación de Instrumentos derivados que conlleven obligaciones de pago a cargo del Estado, hasta por 16,000 millones de pesos, a un plazo máximo de 1,800 días a partir de su contratación o inicio de la cobertura. Estos instrumentos estarán destinados a cubrir los riesgos de tasa de interés de los créditos contratados previamente y que forman parte del saldo de la Deuda Pública del Gobierno del Estado de México vigente, los cuales podrán compartir la misma fuente de pago de los financiamientos que respaldan.</w:t>
      </w:r>
    </w:p>
    <w:p w:rsidR="00DE3CD9" w:rsidRPr="007A27A5" w:rsidRDefault="00DE3CD9" w:rsidP="00DE3CD9">
      <w:pPr>
        <w:spacing w:after="0" w:line="240" w:lineRule="auto"/>
        <w:ind w:left="426"/>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este sentido y conforme a lo establecido en la Ley de Ingresos del Estado de México vigente, la presente Iniciativa dispone que, a efecto de mantener la Deuda Pública de la Entidad en niveles sostenibles, el saldo total de la misma, al cierre del Ejercicio Fiscal 2026, no deberá rebasar el techo de financiamiento establecido en la Ley de Disciplina Financiera de las Entidades Federativas y los Municipios, observando además lo dispuesto por el artículo 260 Ter del Código Financiero del Estado de México y Municipios.</w:t>
      </w:r>
    </w:p>
    <w:p w:rsidR="00DE3CD9" w:rsidRPr="007A27A5" w:rsidRDefault="00DE3CD9" w:rsidP="00DE3CD9">
      <w:pPr>
        <w:spacing w:after="0" w:line="240" w:lineRule="auto"/>
        <w:ind w:left="426"/>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En cuanto a los Organismos Auxiliares del Gobierno del Estado, se precisa que, no se solicita autorización para contratar Deuda Pública, durante el Ejercicio Fiscal 2026. En su caso, dichos Organismos Auxiliares únicamente podrán refinanciar y/o reestructurar créditos u obligaciones de garantía o pago siempre que las condiciones del mercado resulten favorables. </w:t>
      </w:r>
    </w:p>
    <w:p w:rsidR="00DE3CD9" w:rsidRPr="007A27A5" w:rsidRDefault="00DE3CD9" w:rsidP="00DE3CD9">
      <w:pPr>
        <w:spacing w:after="0" w:line="240" w:lineRule="auto"/>
        <w:ind w:left="426"/>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Riesgos para la estimación de ingresos</w:t>
      </w: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Si bien la planeación fiscal y económica, así como la política se ha formulado con criterios de prudencia y solidez, se reconocen diversos factores de riesgo que podrían incidir en la consecución de las proyecciones establecidas para el Ejercicio Fiscal 2026:</w:t>
      </w:r>
    </w:p>
    <w:p w:rsidR="00DE3CD9" w:rsidRPr="007A27A5" w:rsidRDefault="00DE3CD9" w:rsidP="00F068E2">
      <w:pPr>
        <w:numPr>
          <w:ilvl w:val="0"/>
          <w:numId w:val="1"/>
        </w:num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Que una intensificación del actual entorno de incertidumbre en torno a las políticas que eventualmente adopte Estados Unidos, especialmente en materia comercial, así como de factores internos específicos, lo cual afectaría de manera negativa la demanda externa y el gasto en consumo e inversión de México.</w:t>
      </w:r>
    </w:p>
    <w:p w:rsidR="00DE3CD9" w:rsidRPr="007A27A5" w:rsidRDefault="00DE3CD9" w:rsidP="00F068E2">
      <w:pPr>
        <w:numPr>
          <w:ilvl w:val="0"/>
          <w:numId w:val="1"/>
        </w:num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Que un posible agravamiento de diversos conflictos geopolíticos en distintas regiones del mundo podría impactar de forma adversa tanto a la economía global en su conjunto como a los flujos del comercio internacional.</w:t>
      </w:r>
    </w:p>
    <w:p w:rsidR="00DE3CD9" w:rsidRPr="007A27A5" w:rsidRDefault="00DE3CD9" w:rsidP="00F068E2">
      <w:pPr>
        <w:numPr>
          <w:ilvl w:val="0"/>
          <w:numId w:val="2"/>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Que la economía estadounidense crezca por debajo de lo previsto, ya sea por factores cíclicos o por las propias políticas aplicadas en ese país, lo cual reduciría la demanda externa que impulsa a México.</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2"/>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Que se presenten episodios de inestabilidad en los mercados financieros, tanto nacionales como internacionales, con posibles efectos adversos sobre la inversión y el financiamiento.</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2"/>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Que eventos climáticos severos afecten de manera negativa la actividad económica nacional y estatal.</w:t>
      </w: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 xml:space="preserve">Política de ingresos </w:t>
      </w: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política de ingresos para el Estado de México en 2026 se sostiene en una estrategia integral destinada a fortalecer las finanzas públicas, promover la equidad tributaria y facilitar el cumplimiento de las obligaciones fiscales. En este marco y considerando el contexto anteriormente expuesto, se somete a consideración de esa Legislatura la siguiente Ley de Ingresos del Estado de México para el Ejercicio Fiscal 2026, la cual incorpora los artículos que a continuación se describen, con el propósito de fortalecer las finanzas públicas del Estado, promover la eficiencia recaudatoria y garantizar la sostenibilidad de los ingresos.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Con el objetivo de garantizar el bienestar de la población mexiquense y sanear las finanzas públicas de la entidad, el Gobierno del Estado de México no contemplará deuda por tercer año consecutivo, manteniendo así la política de la actual administración, esto previsto en el artículo 2.</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propone mantener en el artículo 3 las disposiciones previstas para que los Ingresos de las Entidades Públicas se recauden a través de la Caja General de Gobierno bajo la suscripción del convenio de colaboración con el Gobierno del Estado.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Respecto del programa de incentivos se plantea modificar la redacción del artículo 4 con la finalidad de que éstos se entreguen considerando la viabilidad financiera correspondiente.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Se sugiere mantener en el artículo 5 la posibilidad de que el Ejecutivo Estatal, previa autorización de la Legislatura, pueda reducir los importes de Impuestos y Derechos mediante la suscripción de convenios con el Gobierno Federal en el marco del Sistema Nacional de Coordinación Fiscal con el objetivo de que el Estado obtenga mayores participaciones federales. </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conserva en el artículo 6 la tasa aplicable al pago extemporáneo de créditos fiscales con el propósito de preservar el valor real de los créditos fiscales y garantizar la equidad entre los contribuyentes.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Con el propósito de fortalecer la recaudación estatal y promover el cumplimiento oportuno de las obligaciones fiscales, se propone a esa Soberanía incrementar la tasa de recargos aplicable cuando se concedan prórrogas para el pago de créditos fiscales del artículo 7, así como la tasa de </w:t>
      </w:r>
      <w:r w:rsidRPr="007A27A5">
        <w:rPr>
          <w:rFonts w:ascii="Times New Roman" w:eastAsia="Batang" w:hAnsi="Times New Roman" w:cs="Times New Roman"/>
          <w:sz w:val="24"/>
          <w:szCs w:val="24"/>
        </w:rPr>
        <w:lastRenderedPageBreak/>
        <w:t>actualización del primer párrafo del artículo 8 correspondiente a los créditos fiscales cubiertos fuera de los plazos establecidos por la normativa vigente. Esta medida busca incentivar la puntualidad en el cumplimiento de las obligaciones tributarias, compensar el rezago en la captación de ingresos y preservar el valor real de los recursos públicos, en congruencia con los principios de equidad, proporcionalidad y eficiencia tributaria.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apoyo a la economía de los hogares y las empresas se considera mantener para el Ejercicio Fiscal 2026, el factor de actualización de derechos en 1.060 del segundo párrafo del artículo 8, asegurando que los servicios que prestan las dependencias del Estado sigan siendo accesibles y fomentando un enfoque proporcional y equitativo sensible a las condiciones económicas actuales.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Asimismo, se conserva la posibilidad en el artículo 9 de que el Ejecutivo del Estado otorgue un subsidio de hasta el 100 por ciento respecto del pago de los derechos cuando se realicen campañas de regularización.</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refrenda la opción para que los contribuyentes puedan realizar el pago del Impuesto Sobre Erogaciones por Remuneraciones al Trabajo Personal durante los meses de enero y febrero en una sola exhibición, respecto del monto anual que no se hubiera causado aún, establecida en el artículo 10.</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Durante el Ejercicio Fiscal 2026, el Gobierno del Estado de México propone en el artículo 11 mantener e implementar subsidios del 100 por ciento en el pago del Impuesto sobre Erogaciones por Remuneraciones al Trabajo Personal, aplicables a contribuyentes que generen nuevos empleos, inicien operaciones o trasladen sus fuentes de trabajo a la entidad durante el Ejercicio Fiscal 2026. Estos beneficios se otorgarán por diferentes periodos de 60, 36, 24 o 12 meses según el tipo de contribuyente y las características de los empleos creados.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Con ello, se busca estimular la inversión productiva, fomentar la inserción laboral de grupos vulnerables, promover la relocalización de empresas y apoyar la contratación de adultos mayores, jóvenes recién egresados, personas pertenecientes a comunidades indígenas, repatriados, liberados o trabajadoras del hogar, además se busca apoyar a aquellos que contribuyen de manera significativa al desarrollo social, cultural y económico del Estado de México como mujeres jefas de familia titulares de unidades económicas con hasta tres empleados, con el propósito de impulsar el emprendimiento femenino, fortalecer la economía local y promover la autonomía financiera de las mujeres mexiquenses. Asimismo, se contempla el otorgamiento del subsidio a empresas que maquilen productos de exportación en el Estado de México y las dedicadas a la producción de obras cinematográficas o audiovisuales, así como a empresas que promuevan o difundan actividades deportivas, musicales, teatrales, dancísticas o artísticas, que contribuyen al fortalecimiento de la identidad cultural y la cohesión social. Esta política de incentivos representa una herramienta estratégica para consolidar la reactivación económica y promover un desarrollo incluyente y sostenible en la entidad.</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Además, se propone otorgar un beneficio fiscal del 100 por ciento en el pago del Impuesto sobre Erogaciones por Remuneraciones al Trabajo Personal a las organizaciones legalmente constituidas sin fines de lucro dedicadas a la protección, rescate y preservación de animales, con el fin de fortalecer su labor en favor del bienestar animal, así como apoyar la sostenibilidad operativa de dichas organizaciones que día a día realizan una de las acciones más loables que es cuidar y proteger a los seres sintientes.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Con el objetivo de seguir fomentando el turismo en la Entidad, el Gobierno del Estado de México prevé otorgar un subsidio del 50 por ciento por una estancia mayor a 15 días consecutivos respecto del Impuesto Sobre la Prestación de Servicios de Hospedaje, previsto en el artículo 12.</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los programas promotores de vivienda de interés social, social progresiva y popular, así como para los programas de regularización de tenencia de la tierra se mantiene el beneficio fiscal del 100 por ciento, en el pago de derechos respecto de la transmisión y otorgamiento para la adquisición y construcción de la vivienda social que presta el Instituto de la Función Registral del Estado de México, conforme al primer párrafo del artículo 13. Además, se sugiere mantener en favor de los beneficiarios antes descritos la publicación sin costo de los edictos en el Periódico Oficial “Gaceta del Gobierno” en el segundo párrafo del mismo artículo.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Por otro lado, la vivienda constituye un componente esencial del bienestar y la cohesión social, por lo que resulta necesario fortalecer el marco normativo que facilite la planeación, ejecución y regularización de desarrollos habitacionales con enfoque social, garantizando mayores oportunidades de acceso para los sectores con menores recursos. En ese sentido, en el tercer párrafo del artículo 13 se prevé la exención del 100 por ciento, durante el Ejercicio Fiscal 2026, respecto de las contribuciones, aprovechamientos y sus accesorios derivados de los trámites, permisos, autorizaciones, registros, inscripciones y demás conceptos que se requieran para el desarrollo eficiente de los Programas de Vivienda Social Gubernamental, en términos del Código Administrativo del Estado de México y demás normativa aplicable, así como de los actos de inscripción o regularización de viviendas derivados de dichos programas, conforme a los convenios o instrumentos de coordinación que al efecto se celebren.</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Asimismo, para el pago de derechos del certificado de libertad o existencia de gravámenes y la inscripción de la propiedad de bienes inmuebles de apertura de Unidades Económicas de Bajo Impacto se contempla en el artículo 14 el beneficio del 100 por ciento.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conserva en el artículo 15 la redacción respecto de las referencias en el Código Financiero y en la Ley de Ingresos por el cambio de nombre de dependencias y organismos.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Se plantea mantener la previsión del mecanismo bajo el cual las dependencias estatales establezcan las cuotas y tarifas que cobren por concepto de aprovechamientos y productos garantizando su aplicación en el Ejercicio Fiscal 2026, con base en los principios de eficiencia y razonabilidad económica, conforme a los artículos 16 y 17, respectivamente. </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Además, en el artículo 17 Bis se propone mantener los montos máximos de cada operación para la enajenación de bienes muebles e inmuebles mediante la figura de adjudicación directa.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el artículo 18 se propone conservar el esquema bajo el cual las entidades públicas informan los precios y tarifas por los bienes y servicios que presten durante el Ejercicio Fiscal 2026.</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Asimismo, se mantiene la posibilidad establecida en el artículo 19 para la cancelación de créditos fiscales cuyo importe al 31 de diciembre de 2021 sea inferior a 136 </w:t>
      </w:r>
      <w:proofErr w:type="spellStart"/>
      <w:r w:rsidRPr="007A27A5">
        <w:rPr>
          <w:rFonts w:ascii="Times New Roman" w:eastAsia="Batang" w:hAnsi="Times New Roman" w:cs="Times New Roman"/>
          <w:sz w:val="24"/>
          <w:szCs w:val="24"/>
        </w:rPr>
        <w:t>UMAs</w:t>
      </w:r>
      <w:proofErr w:type="spellEnd"/>
      <w:r w:rsidRPr="007A27A5">
        <w:rPr>
          <w:rFonts w:ascii="Times New Roman" w:eastAsia="Batang" w:hAnsi="Times New Roman" w:cs="Times New Roman"/>
          <w:sz w:val="24"/>
          <w:szCs w:val="24"/>
        </w:rPr>
        <w:t>, conforme a los supuestos previstos en dicho precepto, promoviendo la eficiencia administrativa y la depuración de cuentas públicas menores.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Se estima pertinente ratificar los convenios que haya celebrado el Ejecutivo del Estado, con la Federación, Municipios y Organismos Autónomos, así como los apoyos financieros a cuenta de participaciones otorgadas por el Ejecutivo a los Municipios, conforme al artículo 20.</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Estado de México reconoce que la política de ingresos también puede incentivar comportamientos responsables con la sociedad y el medio ambiente. En este sentido, se somete la continuidad en el artículo 21 de la aplicación de los subsidios que promueven la sostenibilidad y el desarrollo social: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5"/>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Subsidios en Impuestos Ecológicos, incluyendo un 100 por ciento por 12 meses para contribuyentes que inicien operaciones y un 50 por ciento para quienes implementen Planes de Manejo de Residuos, fomentando la protección ambiental y el uso eficiente de recursos.</w:t>
      </w:r>
    </w:p>
    <w:p w:rsidR="00DE3CD9" w:rsidRPr="007A27A5" w:rsidRDefault="00DE3CD9" w:rsidP="00F068E2">
      <w:pPr>
        <w:numPr>
          <w:ilvl w:val="0"/>
          <w:numId w:val="5"/>
        </w:numPr>
        <w:spacing w:after="0" w:line="240" w:lineRule="auto"/>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Subsidios del 30 por ciento para la sustitución de vehículos por eléctricos e híbridos, del 100 por ciento para disposición de residuos de construcción y del 50 por ciento para el uso de agua residual tratada o captación de agua pluvial.</w:t>
      </w:r>
    </w:p>
    <w:p w:rsidR="00634930" w:rsidRDefault="00634930"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Con estas acciones, la política de ingresos no solo garantiza la suficiencia fiscal, sino que también contribuye a generar un impacto positivo en la sociedad y el medio ambiente, alineando la recaudación con principios de responsabilidad social.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propone mantener en el artículo tercero transitorio que los ingresos que obtenga el Estado con motivo de la aplicación del Presupuesto de Egresos de la Federación no considerados en el artículo 1 de esta Ley, sean registrados en el Fondo que se trate o bien como otros apoyos federales.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plantea establecer en el artículo cuarto transitorio que cualquier mención a aportaciones o contribuciones de mejora en otras disposiciones se entenderá referida a las contribuciones de mejora previstas en esta Ley.</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somete la posibilidad de mantener en el artículo quinto transitorio el periodo para la publicación de las Reglas de Carácter General vinculadas con diversos artículos del mismo ordenamiento.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considera adecuado señalar en el artículo sexto transitorio, la sanción a la que estará sujeta una Entidad Pública por no firmar los convenios previstos en el artículo 3, segundo párrafo de esta Ley.</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el Ejercicio Fiscal 2026 se pone a consideración de esa Soberanía conservar los programas de regularización de adeudos federales y de adeudos con el Gobierno del Estado de México previstos en los artículos séptimo y octavo transitorios, respectivamente, con el objetivo de apoyar a los Municipios y Entes Públicos con el cumplimiento de sus obligaciones fiscales, permitiéndoles sanear sus finanzas y reforzar su capacidad operativa.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considera oportuno establecer en el artículo noveno transitorio un Programa de Regularización Fiscal para contribuyentes mexiquenses, que facilitará el pago de contribuciones disminuyendo la carga impositiva, otorgando beneficios a quienes regularicen su situación fiscal.</w:t>
      </w: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contempla en el artículo décimo transitorio dar continuidad a la obligación de informar por escrito a las Comisiones de Planeación y Gasto Público, así como de Finanzas Públicas de esa Legislatura, de la contratación de Instrumentos Derivados que conlleven obligaciones de pago a cargo del Estado, en caso de hacer uso de la autorización a la que hace referencia el primer párrafo del artículo 2 de la presente Ley.</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Por otra parte, se pone a consideración de esa Legislatura la autorización para el Ejecutivo del Estado de la aplicación en el artículo décimo primero transitorio de un factor de actualización adicional de los derechos por servicios prestados por el Sector Central, con el objeto de atender las demandas ciudadanas por el daño que presenta la infraestructura vial estatal.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Finalmente, en el artículo décimo segundo transitorio se precisan los detalles para la aplicación de lo dispuesto en el párrafo tercero del artículo 13, así como el plazo para que se emitan y/o adecuen las disposiciones administrativas aplicables.</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Bajo este contexto, es importante señalar que la Ley de Ingresos del Estado de México para el Ejercicio Fiscal 2026 no es solo un instrumento de política pública; es la expresión de un compromiso profundo con el humanismo, la justicia, la equidad y la transparencia. Esta Iniciativa refleja la convicción de que un gobierno responsable debe estar al servicio de las personas, escuchar sus necesidades, reconocer sus esfuerzos y ofrecerles certezas, oportunidades y un futuro digno.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Con esta Ley de Ingresos, el Estado de México reafirma su vocación de transformar la recaudación en confianza, en desarrollo y en bienestar para todas y todos los mexiquenses, sin dejar a nadie atrás ni fuera del progreso. Se trata de un paso firme hacia un Estado sólido, moderno y humano, donde la equidad y la responsabilidad se traduzcan en hechos concretos, tangibles y sostenibles.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Por todo lo anterior, se somete a consideración de esa Honorable Legislatura la presente Iniciativa, a fin de que, si lo estiman procedente, sea aprobada en sus términos.</w:t>
      </w:r>
    </w:p>
    <w:p w:rsidR="00DE3CD9" w:rsidRPr="007A27A5" w:rsidRDefault="00DE3CD9" w:rsidP="00DE3CD9">
      <w:pPr>
        <w:spacing w:after="0" w:line="240" w:lineRule="auto"/>
        <w:rPr>
          <w:rFonts w:ascii="Times New Roman" w:eastAsia="Batang" w:hAnsi="Times New Roman" w:cs="Times New Roman"/>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DECRETO NÚMERO:</w:t>
      </w: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 xml:space="preserve">LA H. “LXII” LEGISLATURA </w:t>
      </w: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DEL ESTADO DE MÉXICO</w:t>
      </w: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DECRETA:</w:t>
      </w:r>
    </w:p>
    <w:p w:rsidR="00DE3CD9" w:rsidRPr="007A27A5" w:rsidRDefault="00DE3CD9" w:rsidP="00DE3CD9">
      <w:pPr>
        <w:spacing w:after="0" w:line="240" w:lineRule="auto"/>
        <w:ind w:right="48"/>
        <w:jc w:val="center"/>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LEY DE INGRESOS DEL ESTADO DE MÉXICO</w:t>
      </w:r>
    </w:p>
    <w:p w:rsidR="00DE3CD9" w:rsidRPr="007A27A5" w:rsidRDefault="00DE3CD9" w:rsidP="00DE3CD9">
      <w:pPr>
        <w:spacing w:after="0" w:line="240" w:lineRule="auto"/>
        <w:ind w:right="48"/>
        <w:jc w:val="center"/>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PARA EL EJERCICIO FISCAL 2026</w:t>
      </w:r>
    </w:p>
    <w:p w:rsidR="00DE3CD9" w:rsidRPr="007A27A5" w:rsidRDefault="00DE3CD9" w:rsidP="00DE3CD9">
      <w:pPr>
        <w:spacing w:after="0" w:line="240" w:lineRule="auto"/>
        <w:ind w:right="48"/>
        <w:jc w:val="both"/>
        <w:rPr>
          <w:rFonts w:ascii="Times New Roman" w:eastAsia="Batang" w:hAnsi="Times New Roman" w:cs="Times New Roman"/>
          <w:b/>
          <w:bCs/>
          <w:sz w:val="24"/>
          <w:szCs w:val="24"/>
        </w:rPr>
      </w:pPr>
    </w:p>
    <w:p w:rsidR="00DE3CD9" w:rsidRPr="007A27A5" w:rsidRDefault="00DE3CD9" w:rsidP="00DE3CD9">
      <w:pPr>
        <w:spacing w:after="0" w:line="240" w:lineRule="auto"/>
        <w:ind w:right="48"/>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Artículo 1.- </w:t>
      </w:r>
      <w:r w:rsidRPr="007A27A5">
        <w:rPr>
          <w:rFonts w:ascii="Times New Roman" w:eastAsia="Batang" w:hAnsi="Times New Roman" w:cs="Times New Roman"/>
          <w:sz w:val="24"/>
          <w:szCs w:val="24"/>
        </w:rPr>
        <w:t>La Hacienda Pública del Estado de México percibirá durante el Ejercicio Fiscal 2026, los ingresos provenientes de los conceptos y en las cantidades estimadas que a continuación se enumeran:</w:t>
      </w:r>
    </w:p>
    <w:p w:rsidR="00DE3CD9" w:rsidRPr="007A27A5" w:rsidRDefault="00DE3CD9" w:rsidP="00DE3CD9">
      <w:pPr>
        <w:spacing w:after="0" w:line="240" w:lineRule="auto"/>
        <w:ind w:right="48"/>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 xml:space="preserve"> </w:t>
      </w:r>
    </w:p>
    <w:tbl>
      <w:tblPr>
        <w:tblW w:w="9426" w:type="dxa"/>
        <w:jc w:val="center"/>
        <w:tblLayout w:type="fixed"/>
        <w:tblCellMar>
          <w:left w:w="70" w:type="dxa"/>
          <w:right w:w="70" w:type="dxa"/>
        </w:tblCellMar>
        <w:tblLook w:val="0000" w:firstRow="0" w:lastRow="0" w:firstColumn="0" w:lastColumn="0" w:noHBand="0" w:noVBand="0"/>
      </w:tblPr>
      <w:tblGrid>
        <w:gridCol w:w="314"/>
        <w:gridCol w:w="423"/>
        <w:gridCol w:w="853"/>
        <w:gridCol w:w="709"/>
        <w:gridCol w:w="734"/>
        <w:gridCol w:w="1999"/>
        <w:gridCol w:w="1559"/>
        <w:gridCol w:w="1417"/>
        <w:gridCol w:w="1418"/>
      </w:tblGrid>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(Pesos)</w:t>
            </w:r>
          </w:p>
        </w:tc>
      </w:tr>
      <w:tr w:rsidR="00DE3CD9" w:rsidRPr="007A27A5" w:rsidTr="00DE3CD9">
        <w:trPr>
          <w:trHeight w:val="20"/>
          <w:jc w:val="center"/>
        </w:trPr>
        <w:tc>
          <w:tcPr>
            <w:tcW w:w="737"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Total</w:t>
            </w: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410,341,615,262</w:t>
            </w: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1.</w:t>
            </w:r>
          </w:p>
        </w:tc>
        <w:tc>
          <w:tcPr>
            <w:tcW w:w="1985"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Impuestos:</w:t>
            </w: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32,584,261,832</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Impuestos sobre el Patrimonio: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11,234,583,672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Sobre Tenencia o Uso de Vehículos.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11,063,530,106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Sobre la Adquisición de Vehículos Automotores Usados.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171,053,566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Impuestos sobre la Producción, el Consumo y las Transacciones: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457,442,939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Sobre la Prestación de Servicios de Hospedaje.</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170,513,165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 la Venta Final de Bebidas con Contenido Alcohólico.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280,427,394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 Casas de Empeño.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6,502,380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Impuestos sobre Nóminas y Asimilables: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19,938,545,741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Sobre Erogaciones por Remuneraciones al Trabajo Personal.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19,938,545,741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1.6</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Impuestos Ecológicos: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297,798,959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1.6.1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Impuestos Ambientales.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297,798,959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Accesorios de Impuestos: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382,452,164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Multas.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36,524,085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1.7.2</w:t>
            </w:r>
          </w:p>
        </w:tc>
        <w:tc>
          <w:tcPr>
            <w:tcW w:w="144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Recargos.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345,520,364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Gastos de Ejecución.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407,439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Indemnización por Devolución de Cheques.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276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w:t>
            </w:r>
          </w:p>
        </w:tc>
        <w:tc>
          <w:tcPr>
            <w:tcW w:w="2296"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Impuestos: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273,438,357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Sobre Loterías, Rifas, Sorteos, Concursos y Juegos Permitidos con Cruce de Apuestas.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273,438,357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1.9</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Impuestos no Comprendidos en la Ley de Ingresos Vigente, Causados en Ejercicios Fiscales Anteriores Pendientes de Liquidación o Pago.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2.</w:t>
            </w:r>
          </w:p>
        </w:tc>
        <w:tc>
          <w:tcPr>
            <w:tcW w:w="4718" w:type="dxa"/>
            <w:gridSpan w:val="5"/>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Cuotas y Aportaciones de Seguridad Social: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36,284,001,218</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2.1</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Aportaciones para Fondos de Vivienda.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2.2</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Cuotas para la Seguridad Social.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36,284,001,218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2.3</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Cuotas de Ahorro para el Retiro.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2.4</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Otras Cuotas y Aportaciones para la Seguridad Social.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2.5</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Accesorios de Cuotas y Aportaciones de Seguridad Social.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3.</w:t>
            </w:r>
          </w:p>
        </w:tc>
        <w:tc>
          <w:tcPr>
            <w:tcW w:w="4718" w:type="dxa"/>
            <w:gridSpan w:val="5"/>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Contribuciones de Mejoras: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1,101,698,337</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Contribuciones de Mejoras por Obras Públicas: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1,101,698,337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Para Obra Pública y Acciones de Beneficio Social.  </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124,065,399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Para Obras de Impacto Vial.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387,880,383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Por Servicios Ambientales.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Movilidad Sustentable.</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114,057,182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Para la Mitigación del Impacto en la Infraestructura Vial Estatal.  </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300,000,000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Accesorios de Contribuciones de Mejoras por Obras Públicas: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25,695,373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3.1.6.1</w:t>
            </w: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Multas.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48,502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3.1.6.2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Recargos.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25,050,850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3.1.6.3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Gastos de Ejecución.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596,003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3.1.6.4</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Indemnización por Devolución de Cheques.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3.9</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Contribuciones de Mejoras no Comprendidas en la Ley de Ingresos Vigente, Causadas en Ejercicios Fiscales Anteriores Pendientes de Liquidación o Pago.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4.</w:t>
            </w:r>
          </w:p>
        </w:tc>
        <w:tc>
          <w:tcPr>
            <w:tcW w:w="1985"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Derechos:</w:t>
            </w: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22,502,973,974</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4.1</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Derechos por el Uso, Goce, Aprovechamiento o Explotación de Bienes de Dominio Público.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Derechos por Prestación de Servicios: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18,672,462,469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Seguridad.</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4,791,986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General de Gobierno: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32,413,178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4.3.2.1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General de Gobierno.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4.3.2.2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Coordinación General de Protección Civil.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32,413,178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Finanzas.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8,727,488,911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Educación, Ciencia, Tecnología e Innovación: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208,469,395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4.3.4.1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Educación, Ciencia, Tecnología e Innovación.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158,469,395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4.3.4.2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los Servicios Educativos Integrados al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Desarrollo Urbano e Infraestructura: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161,361,335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4.3.5.1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Desarrollo Urbano e Infraestructura.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161,361,335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del Agua: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2,328,030,530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4.3.6.1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del Agua.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4.3.6.2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Comisión del Agua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2,328,030,530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la Contraloría.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2,181,315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Movilidad:</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1,438,377,828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4.3.8.1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 Movilidad.</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1,268,863,570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4.3.8.2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Junta de Caminos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56,014,258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4.3.8.3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Del Sistema de Autopistas, Aeropuertos, Servicios Conexos y Auxiliares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113,500,000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del Medio Ambiente y Desarrollo Sostenible.</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1,395,190,579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Consejería Jurídica: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4,371,290,535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4.3.10.1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Consejería Jurídica.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4.3.10.2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Dirección General de Legalización y del Periódico Oficial "Gaceta del Gobierno".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22,992,904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4.3.10.3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Dirección General del Registro Civil.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204,799,082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4.3.10.4</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Del Instituto de la Función Registral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4,141,923,121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4.3.10.5</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Dirección General de Procedimientos y Asuntos Notariales.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1,575,428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 la Secretaría del Trabajo.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2,866,877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4.3.12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Del Poder Judicial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4.4</w:t>
            </w:r>
          </w:p>
        </w:tc>
        <w:tc>
          <w:tcPr>
            <w:tcW w:w="2296"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Otros Derechos. </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4.5</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Accesorios de Derechos: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3,830,511,505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4.5.1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Multas.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3,707,106,414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4.5.2</w:t>
            </w:r>
          </w:p>
        </w:tc>
        <w:tc>
          <w:tcPr>
            <w:tcW w:w="144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Recargos.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123,369,825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4.5.3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Gastos de Ejecución.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35,266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4.5.4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Indemnización por Devolución de Cheques.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4.9</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Derechos no Comprendidos en la Ley de Ingresos Vigente, Causados en Ejercicios Fiscales Anteriores Pendientes de Liquidación o Pago.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5.</w:t>
            </w:r>
          </w:p>
        </w:tc>
        <w:tc>
          <w:tcPr>
            <w:tcW w:w="1985"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Productos:</w:t>
            </w: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3,689,807,742</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5.1</w:t>
            </w:r>
          </w:p>
        </w:tc>
        <w:tc>
          <w:tcPr>
            <w:tcW w:w="1562"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Productos:</w:t>
            </w: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3,689,807,742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5.1.1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Financieros: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3,640,000,000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5.1.1.1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Utilidades y Rendimientos de Otras Inversiones en Créditos y Valores.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3,640,000,000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5.1.2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Productos que Generan Ingresos Corrientes: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49,807,742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5.1.2.1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Periódico Oficial.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17,217,385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5.1.2.2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Impresos y Papel Especial.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26,521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5.1.2.3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Productos.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32,563,836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5.9</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Productos no Comprendidos en la Ley de Ingresos Vigente, Causados en Ejercicios Fiscales Anteriores Pendientes de Liquidación o Pago.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6.</w:t>
            </w:r>
          </w:p>
        </w:tc>
        <w:tc>
          <w:tcPr>
            <w:tcW w:w="2719"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Aprovechamientos: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3,335,050,082</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w:t>
            </w:r>
          </w:p>
        </w:tc>
        <w:tc>
          <w:tcPr>
            <w:tcW w:w="2296"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Aprovechamientos: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3,279,581,445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Multas Administrativas.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24,427,327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Indemnizaciones.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5,299,735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6.1.3</w:t>
            </w:r>
          </w:p>
        </w:tc>
        <w:tc>
          <w:tcPr>
            <w:tcW w:w="144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Reintegros.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411,454,666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Aprovechamientos: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2,838,399,717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6.1.4.1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Donativos, Herencias, Cesiones y Legados.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6.1.4.2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Resarcimientos.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11,070,865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6.1.4.3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Aprovechamientos Diversos que se derivan de la Aplicación del Código Administrativo del Estado de México y del Código Financiero del Estado de México y Municipios.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74,711,574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6.1.4.4</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Remanentes de Entidades Públicas.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772,772,016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6.1.4.5</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Aprovechamientos.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1,979,845,262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6.2</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Aprovechamientos Patrimoniales: </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18,541,474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6.2.1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Arrendamiento y Explotación de Bienes Muebles e Inmuebles. </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18,541,474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6.2.2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Enajenación de Bienes Muebles e Inmuebles no Sujetos a ser Inventariados.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6.3</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Accesorios de Aprovechamientos: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36,927,163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6.3.1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Multas.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35,070,050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6.3.2</w:t>
            </w:r>
          </w:p>
        </w:tc>
        <w:tc>
          <w:tcPr>
            <w:tcW w:w="144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Recargos.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3,228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6.3.3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Gastos de Ejecución.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1,853,166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6.3.4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Indemnización por Devolución de Cheques.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719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6.9</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Aprovechamientos no Comprendidos en la Ley de Ingresos Vigente, Causados en Ejercicios Fiscales Anteriores Pendientes de Liquidación o Pago.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7.</w:t>
            </w:r>
          </w:p>
        </w:tc>
        <w:tc>
          <w:tcPr>
            <w:tcW w:w="6277" w:type="dxa"/>
            <w:gridSpan w:val="6"/>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Ingresos por Venta de Bienes, Prestación de Servicios y Otros Ingresos:</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4,727,975,454</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7.1</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por Venta de Bienes y Prestación de Servicios de Instituciones Públicas de Seguridad Social: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1,130,319,377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7.1.1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Seguridad Social del Estado de México y Municipios.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1,130,319,377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7.2</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por Venta de Bienes y Prestación de Servicios de Empresas Productivas del Estado.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por Venta de Bienes y Prestación de Servicios de Entidades Paraestatales y Fideicomisos No Empresariales y No Financieros: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2,419,887,166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Sistema para el Desarrollo Integral de la Familia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50,217,862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Sistema Mexiquense de Medios Públicos.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13,400,000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Mexiquense de la Pirotecnia.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133,332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Información e Investigación Geográfica, Estadística y Catastral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15,889,309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Comité de Planeación para el Desarrollo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Hacendario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30,210,980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Capacitación y Adiestramiento para el Trabajo Industrial.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26,500,000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Servicios Educativos Integrados al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Ecatepec.</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64,897,350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Tecnológica de Nezahualcóyotl.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35,391,477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Colegio de Estudios Científicos y Tecnológicos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89,699,498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Tecnológica "Fidel Velázquez".</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46,795,803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Tecnológica de Tecámac.</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36,400,001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Colegio de Bachilleres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68,000,000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Coacalco.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40,930,074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Tecnológica del Sur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Cuautitlán Izcalli.</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59,824,214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del Oriente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26,525,238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7.3.19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Huixquilucan.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26,117,434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Jilotepec.</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15,342,498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Tianguistenco.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Mexiquense de la Infraestructura Física Educativa.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21,885,231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Chalco.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13,200,001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Jocotitlán.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Colegio de Educación Profesional Técnica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245,752,005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Valle de Bravo.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21,000,000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Ixtapaluca.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20,500,000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Villa Guerrero.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20,380,599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7.3.29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Consejo Mexiquense de Ciencia y Tecnología.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40,545,349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San Felipe del Progreso.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18,000,003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Chimalhuacán.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34,482,183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Estatal del Valle de Ecatepec.</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40,440,188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Tecnológica del Valle de Toluca.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33,720,221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Intercultural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6,437,316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del Valle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43,468,646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del Valle de Toluca.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35,745,666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Estatal de Energía y Cambio Climático.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Comisión del Agua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7.3.39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Investigación y Capacitación Agropecuaria, Acuícola y Forestal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2,520,000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Protectora de Bosques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154,055,108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Fomento Minero y Estudios Geológicos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Mexiquense del Emprendedor.</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Junta de Caminos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Sistema de Autopistas, Aeropuertos, Servicios Conexos y Auxiliares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Comisión Estatal de Parques Naturales y de la Fauna.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55,000,001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Consejo Estatal para el Desarrollo Integral de los Pueblos Indígenas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Mexiquense de la Juventud.</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Junta de Asistencia Privada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10,800,004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7.3.49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Consejo de Investigación y Evaluación de la Política Social.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Salud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189,482,951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Comisión de Conciliación y Arbitraje Médico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Materno Infantil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Hospital Regional de Alta Especialidad de Zumpango.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82,249,327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Mexiquense de la Vivienda Social.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11,041,000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Investigación y Fomento de las Artesanías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1,298,966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la Función Registral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Procuraduría de Protección al Ambiente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13,966,047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Centro de Control de Confianza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115,500,000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7.3.59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 Tecámac.</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24,160,680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Mexiquense del Bicentenario.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141,304,242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Estatal del Valle de Toluca.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17,387,385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Banco de Tejidos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9,600,000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Fideicomiso Público Irrevocable de Administración, Financiamiento, Inversión y Pago para la Construcción de </w:t>
            </w:r>
            <w:r w:rsidRPr="007A27A5">
              <w:rPr>
                <w:rFonts w:ascii="Times New Roman" w:eastAsia="Batang" w:hAnsi="Times New Roman" w:cs="Times New Roman"/>
                <w:color w:val="000000"/>
                <w:sz w:val="20"/>
                <w:szCs w:val="20"/>
              </w:rPr>
              <w:lastRenderedPageBreak/>
              <w:t>Centros Preventivos y de Readaptación Social en el Estado de México -denominado "Fideicomiso C3".</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lastRenderedPageBreak/>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Sistema de Transporte Masivo y Teleférico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8,974,628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 Texcoco.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21,887,643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Digital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30,954,953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 Atlautla.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7,150,000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 Atlacomulco.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8,317,321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7.3.69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 Cuautitlán Izcalli.</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 Otzolotepec.</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5,499,223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Politécnica de Chimalhuacán.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8,645,869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Tecnológica de Zinacantepec.</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5,352,432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Tecnológico de Estudios Superiores de Chicoloapan.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3,760,500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Comisión Técnica del Agua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Inspección General de las Instituciones de Seguridad Pública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Procuraduría del Colono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Mexiquense para la Discapacidad.</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Formación Continua, Profesionalización e Investigación del Magisterio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7.3.79</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Centro Regional de Formación Docente e Investigación Educativa.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1,070,000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7.3.80</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Políticas Públicas del Estado de México y sus Municipios.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7.3.81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Mexiquense de Seguridad.</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98,543,133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7.3.82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Unidad de Asuntos Internos.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7.3.83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Fideicomiso para el Desarrollo de Parques y Zonas Industriales en 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30,902,193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7.3.84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Centro de Conciliación Laboral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1,611,082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7.3.85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Secretaría Ejecutiva del Sistema Estatal Anticorrupción.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7.3.86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Ingresos y Beneficios.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7.4</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por Venta de Bienes y Prestación de Servicios de Entidades Paraestatales Empresariales No Financieras con Participación Estatal Mayoritaria: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254,421,956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7.4.1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roofErr w:type="spellStart"/>
            <w:r w:rsidRPr="007A27A5">
              <w:rPr>
                <w:rFonts w:ascii="Times New Roman" w:eastAsia="Batang" w:hAnsi="Times New Roman" w:cs="Times New Roman"/>
                <w:color w:val="000000"/>
                <w:sz w:val="20"/>
                <w:szCs w:val="20"/>
              </w:rPr>
              <w:t>Reciclagua</w:t>
            </w:r>
            <w:proofErr w:type="spellEnd"/>
            <w:r w:rsidRPr="007A27A5">
              <w:rPr>
                <w:rFonts w:ascii="Times New Roman" w:eastAsia="Batang" w:hAnsi="Times New Roman" w:cs="Times New Roman"/>
                <w:color w:val="000000"/>
                <w:sz w:val="20"/>
                <w:szCs w:val="20"/>
              </w:rPr>
              <w:t xml:space="preserve"> Ambiental, S.A. de C.V.</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254,421,956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7.5</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por Venta de Bienes y Prestación de Servicios de Entidades Paraestatales Empresariales Financieras Monetarias con Participación Estatal Mayoritaria.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7.6</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por Venta de Bienes y Prestación de Servicios de Entidades Paraestatales Empresariales Financieras No Monetarias con Participación Estatal Mayoritaria.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7.7</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por Venta de Bienes y Prestación de Servicios de Fideicomisos Financieros Públicos con Participación Estatal Mayoritaria.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Ingresos por Venta de Bienes y Prestación de Servicios de los Poderes Legislativo y Judicial, y de los Órganos Autónomos: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923,346,955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Poder Legislativo.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7.8.2</w:t>
            </w:r>
          </w:p>
        </w:tc>
        <w:tc>
          <w:tcPr>
            <w:tcW w:w="144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Poder Judicial.</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Organismos Autónomos: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848,346,955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7.8.3.1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Comisión de Derechos Humanos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7,961,237</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7.8.3.2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Fiscalía General de Justicia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10,000,000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7.8.3.3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de Transparencia, Acceso a la Información Pública y Protección de Datos Personales del Estado de México y Municipios.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241,500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7.8.3.4</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Instituto Electoral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1,654,090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7.8.3.5</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Tribunal Electoral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4,000,000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7.8.3.6</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Autónoma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820,890,128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7.8.3.7</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Tribunal de Justicia Administrativa del Estado de México. </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3,600,000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7.9</w:t>
            </w:r>
          </w:p>
        </w:tc>
        <w:tc>
          <w:tcPr>
            <w:tcW w:w="2296"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Ingresos.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8.</w:t>
            </w:r>
          </w:p>
        </w:tc>
        <w:tc>
          <w:tcPr>
            <w:tcW w:w="6277" w:type="dxa"/>
            <w:gridSpan w:val="6"/>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Participaciones, Aportaciones, Convenios, Incentivos Derivados de la Colaboración Fiscal y Fondos Distintos de Aportaciones:</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291,997,034,922</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w:t>
            </w:r>
          </w:p>
        </w:tc>
        <w:tc>
          <w:tcPr>
            <w:tcW w:w="2296"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Participaciones: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171,644,953,399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General de Participaciones.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143,377,252,818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Fiscalización y Recaudación.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7,090,214,461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Fomento Municipal.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5,818,119,975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Participaciones en Impuesto Especial sobre Producción y Servicios.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2,612,181,334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Compensación.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443,542,066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Impuesto sobre la Renta Participable:</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12,303,642,745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8.1.6.1</w:t>
            </w: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Estatal.</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8,254,668,931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8.1.6.2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Municipal.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4,048,973,814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w:t>
            </w:r>
          </w:p>
        </w:tc>
        <w:tc>
          <w:tcPr>
            <w:tcW w:w="2296"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Aportaciones:</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100,748,910,789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Aportaciones para la Nómina Educativa y Gasto Operativo (FONE):</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52,534,411,749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8.2.1.1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Servicios Personales.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39,606,220,801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8.2.1.2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de Gasto Corriente.</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829,958,989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8.2.1.3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Gasto de Operación.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3,876,190,644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8.2.1.4</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Compensación.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8,222,041,315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Aportaciones para los Servicios de Salud (FASSA).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2,956,909,620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Aportaciones para la Infraestructura Social (FAIS):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8,695,299,374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8.2.3.1</w:t>
            </w: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Estatal.</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1,053,996,516</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8.2.3.2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Municipal.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7,641,302,858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8.2.4</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Fondo de Aportaciones para el Fortalecimiento de los Municipios y de </w:t>
            </w:r>
            <w:r w:rsidRPr="007A27A5">
              <w:rPr>
                <w:rFonts w:ascii="Times New Roman" w:eastAsia="Batang" w:hAnsi="Times New Roman" w:cs="Times New Roman"/>
                <w:color w:val="000000"/>
                <w:sz w:val="20"/>
                <w:szCs w:val="20"/>
              </w:rPr>
              <w:lastRenderedPageBreak/>
              <w:t>las Demarcaciones Territoriales del Distrito Federal (FORTAMUN).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lastRenderedPageBreak/>
              <w:t>18,371,940,612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8.2.5</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Aportaciones Múltiples (FAM):</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4,532,419,005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8.2.5.1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Asistencia Social.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2,073,931,271</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8.2.5.2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Infraestructura Educativa Básica.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1,812,285,950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8.2.5.3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Infraestructura Educativa Media Superior.</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157,098,554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8.2.5.4</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Infraestructura Educativa Superior.</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489,103,230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8.2.6</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Aportaciones para la Seguridad Pública de los Estados y del Distrito Federal (FASP).</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684,622,349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8.2.7</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Aportaciones para la Educación Tecnológica y de Adultos (FAETA):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1,414,577,052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8.2.7.1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Educación Tecnológica.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1,189,825,514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8.2.7.2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Educación de Adultos.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224,751,538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8.2.8</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Aportaciones para el Fortalecimiento de las Entidades Federativas (FAFEF).</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11,558,731,028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8.3</w:t>
            </w:r>
          </w:p>
        </w:tc>
        <w:tc>
          <w:tcPr>
            <w:tcW w:w="1562"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Convenios:</w:t>
            </w: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10,305,149,100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8.3.1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Secretaría de Salud.</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9,962,645,595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8.3.2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Secretaría de Educación Pública.</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8.3.3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Convenios.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342,503,505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Incentivos derivados de la Colaboración Fiscal: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9,298,021,634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Montos que la Federación cubra al Estado por las Actividades de Colaboración Administrativa que este último realice, en los términos de los Convenios que al efecto se celebren: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8,899,516,665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8.4.1.1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Impuesto sobre Automóviles Nuevos.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2,073,602,182</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8.4.1.2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Fiscalización.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3,210,774,205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8.4.1.3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 Incentivos: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3,615,140,278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8.4.1.3.1</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Gasolinas.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2,492,832,918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8.4.1.3.2</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Adeudos de la Tenencia Federal.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935,555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8.4.1.3.3</w:t>
            </w: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1,121,371,805</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Montos que los Municipios cubran al Estado por Actividades de Colaboración Administrativa que este último realice, en los términos de los Convenios que al efecto se realicen.</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8.4.3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Montos que la Federación cubra al Estado derivados del Fondo de Compensación del Impuesto sobre Automóviles Nuevos.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398,504,969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8.5</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 xml:space="preserve">Fondos Distintos de Aportaciones: </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8.5.1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Fideicomiso para la Infraestructura de los Estados (FIES).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8.5.2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Fondo de Estabilización de los Ingresos de las Entidades Federativas (FEIEF).</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8.5.3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Otras Aportaciones Federales.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lastRenderedPageBreak/>
              <w:t>9.</w:t>
            </w:r>
          </w:p>
        </w:tc>
        <w:tc>
          <w:tcPr>
            <w:tcW w:w="6277" w:type="dxa"/>
            <w:gridSpan w:val="6"/>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Transferencias, Asignaciones, Subsidios y Subvenciones, y Pensiones y Jubilaciones:</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5,480,253,973</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9.3</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Subsidios y Subvenciones: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5,480,253,973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9.3.1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Subsidios Educativos: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5,480,253,973</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9.3.1.1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Subsidios Educativos.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3,049,428,854</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9.3.1.2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SEP Apoyos Extraordinarios.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9.3.1.3</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Universidad Autónoma del Estado de México.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2,430,825,119</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3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99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0.</w:t>
            </w:r>
          </w:p>
        </w:tc>
        <w:tc>
          <w:tcPr>
            <w:tcW w:w="4718" w:type="dxa"/>
            <w:gridSpan w:val="5"/>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Ingresos Derivados de Financiamientos: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r w:rsidRPr="007A27A5">
              <w:rPr>
                <w:rFonts w:ascii="Times New Roman" w:eastAsia="Batang" w:hAnsi="Times New Roman" w:cs="Times New Roman"/>
                <w:b/>
                <w:bCs/>
                <w:color w:val="000000"/>
                <w:sz w:val="20"/>
                <w:szCs w:val="20"/>
              </w:rPr>
              <w:t>8,638,557,728</w:t>
            </w: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0.3</w:t>
            </w:r>
          </w:p>
        </w:tc>
        <w:tc>
          <w:tcPr>
            <w:tcW w:w="4295" w:type="dxa"/>
            <w:gridSpan w:val="4"/>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Financiamiento Interno: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8,638,557,728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b/>
                <w:bCs/>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0.3.1</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Pasivos que se generen como Resultado de Erogaciones que se Devenguen en el Ejercicio Fiscal pero que queden Pendientes de Liquidar al Cierre del mismo:</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7,260,799,070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0.3.1.1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Sector Central.</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7,260,799,070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0.3.1.2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Sector Auxiliar.</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0.3.2</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Pasivos que se generen como Resultado de la Contratación de Créditos, en Términos del Título Octavo del Código Financiero del Estado de México y Municipios: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1,377,758,658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0.3.2.1</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Monto Neto de los Pasivos que se generen como Resultado de la Contratación de Créditos.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p>
        </w:tc>
        <w:tc>
          <w:tcPr>
            <w:tcW w:w="70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0.3.2.2</w:t>
            </w:r>
          </w:p>
        </w:tc>
        <w:tc>
          <w:tcPr>
            <w:tcW w:w="2733" w:type="dxa"/>
            <w:gridSpan w:val="2"/>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Amortizaciones de los Pasivos que se generen como Resultado de la Contratación de Créditos.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1,377,758,658</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r w:rsidR="00DE3CD9" w:rsidRPr="007A27A5" w:rsidTr="00DE3CD9">
        <w:trPr>
          <w:trHeight w:val="20"/>
          <w:jc w:val="center"/>
        </w:trPr>
        <w:tc>
          <w:tcPr>
            <w:tcW w:w="314"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42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853"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0.3.3</w:t>
            </w:r>
          </w:p>
        </w:tc>
        <w:tc>
          <w:tcPr>
            <w:tcW w:w="3442" w:type="dxa"/>
            <w:gridSpan w:val="3"/>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both"/>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Pasivos que se generen como Resultado de la Contratación de Créditos por los Organismos Auxiliares.</w:t>
            </w:r>
          </w:p>
        </w:tc>
        <w:tc>
          <w:tcPr>
            <w:tcW w:w="1559" w:type="dxa"/>
            <w:tcBorders>
              <w:top w:val="nil"/>
              <w:left w:val="nil"/>
              <w:bottom w:val="nil"/>
              <w:right w:val="nil"/>
            </w:tcBorders>
            <w:shd w:val="solid" w:color="FFFFFF" w:fill="auto"/>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r w:rsidRPr="007A27A5">
              <w:rPr>
                <w:rFonts w:ascii="Times New Roman" w:eastAsia="Batang" w:hAnsi="Times New Roman" w:cs="Times New Roman"/>
                <w:color w:val="000000"/>
                <w:sz w:val="20"/>
                <w:szCs w:val="20"/>
              </w:rPr>
              <w:t>0</w:t>
            </w:r>
          </w:p>
        </w:tc>
        <w:tc>
          <w:tcPr>
            <w:tcW w:w="1417"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c>
          <w:tcPr>
            <w:tcW w:w="1418" w:type="dxa"/>
            <w:tcBorders>
              <w:top w:val="nil"/>
              <w:left w:val="nil"/>
              <w:bottom w:val="nil"/>
              <w:right w:val="nil"/>
            </w:tcBorders>
          </w:tcPr>
          <w:p w:rsidR="00DE3CD9" w:rsidRPr="007A27A5" w:rsidRDefault="00DE3CD9" w:rsidP="00DE3CD9">
            <w:pPr>
              <w:autoSpaceDE w:val="0"/>
              <w:autoSpaceDN w:val="0"/>
              <w:adjustRightInd w:val="0"/>
              <w:spacing w:after="0" w:line="240" w:lineRule="auto"/>
              <w:jc w:val="right"/>
              <w:rPr>
                <w:rFonts w:ascii="Times New Roman" w:eastAsia="Batang" w:hAnsi="Times New Roman" w:cs="Times New Roman"/>
                <w:color w:val="000000"/>
                <w:sz w:val="20"/>
                <w:szCs w:val="20"/>
              </w:rPr>
            </w:pPr>
          </w:p>
        </w:tc>
      </w:tr>
    </w:tbl>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2</w:t>
      </w:r>
      <w:r w:rsidRPr="007A27A5">
        <w:rPr>
          <w:rFonts w:ascii="Times New Roman" w:eastAsia="Batang" w:hAnsi="Times New Roman" w:cs="Times New Roman"/>
          <w:b/>
          <w:sz w:val="24"/>
          <w:szCs w:val="24"/>
        </w:rPr>
        <w:t>.-</w:t>
      </w:r>
      <w:r w:rsidRPr="007A27A5">
        <w:rPr>
          <w:rFonts w:ascii="Times New Roman" w:eastAsia="Batang" w:hAnsi="Times New Roman" w:cs="Times New Roman"/>
          <w:sz w:val="24"/>
          <w:szCs w:val="24"/>
        </w:rPr>
        <w:t xml:space="preserve"> Se autoriza al Gobierno del Estado a través de la persona Titular del Ejecutivo del Estado, por sí o por conducto de la Secretaría de Finanzas, para llevar a cabo la contratación de Instrumentos Derivados que conlleven obligaciones de pago a cargo del Estado, por plazos mayores a un año hasta por un plazo máximo de 1,800 días a partir de su contratación o inicio de la cobertura, para cubrir los riesgos de tasa de interés de los créditos que hayan sido contratados previamente y formen parte del saldo de la deuda pública del Gobierno del Estado de México, hasta por el monto nocional de $16,000,000,000.00 (Dieciséis mil millones de pesos 00/100 M.N.); los cuales tendrán como fuente de pago ingresos locales o participaciones federales, lo anterior, siempre y cuando no se rebase el plazo de los créditos a cubrir ni el techo de las contrataciones, de acuerdo con la clasificación del Sistema de Alertas establecidas en el artículo 46 de la Ley de Disciplina Financiera de las Entidades Federativas y los Municipios, 41 del Reglamento del Registro Público Único de Financiamientos y Obligaciones de Entidades Federativas y Municipios y el artículo 260 Ter del Código Financiero del Estado de México y Municipios.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Los financiamientos para cubrir son los siguientes:</w:t>
      </w:r>
    </w:p>
    <w:p w:rsidR="00DE3CD9" w:rsidRPr="007A27A5" w:rsidRDefault="00DE3CD9" w:rsidP="00DE3CD9">
      <w:pPr>
        <w:spacing w:after="0" w:line="240" w:lineRule="auto"/>
        <w:jc w:val="both"/>
        <w:rPr>
          <w:rFonts w:ascii="Times New Roman" w:eastAsia="Batang" w:hAnsi="Times New Roman" w:cs="Times New Roman"/>
          <w:sz w:val="24"/>
          <w:szCs w:val="24"/>
        </w:rPr>
      </w:pPr>
    </w:p>
    <w:tbl>
      <w:tblPr>
        <w:tblW w:w="9417" w:type="dxa"/>
        <w:jc w:val="center"/>
        <w:tblCellMar>
          <w:left w:w="70" w:type="dxa"/>
          <w:right w:w="70" w:type="dxa"/>
        </w:tblCellMar>
        <w:tblLook w:val="04A0" w:firstRow="1" w:lastRow="0" w:firstColumn="1" w:lastColumn="0" w:noHBand="0" w:noVBand="1"/>
      </w:tblPr>
      <w:tblGrid>
        <w:gridCol w:w="2239"/>
        <w:gridCol w:w="2853"/>
        <w:gridCol w:w="2678"/>
        <w:gridCol w:w="1647"/>
      </w:tblGrid>
      <w:tr w:rsidR="00DE3CD9" w:rsidRPr="007A27A5" w:rsidTr="00221F89">
        <w:trPr>
          <w:trHeight w:val="171"/>
          <w:jc w:val="center"/>
        </w:trPr>
        <w:tc>
          <w:tcPr>
            <w:tcW w:w="9417" w:type="dxa"/>
            <w:gridSpan w:val="4"/>
            <w:tcBorders>
              <w:top w:val="nil"/>
              <w:left w:val="nil"/>
              <w:bottom w:val="single" w:sz="4" w:space="0" w:color="auto"/>
              <w:right w:val="nil"/>
            </w:tcBorders>
            <w:noWrap/>
            <w:vAlign w:val="bottom"/>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CONTRATOS DE CRÉDITO CON TASA VARIABLE</w:t>
            </w:r>
          </w:p>
        </w:tc>
      </w:tr>
      <w:tr w:rsidR="00DE3CD9" w:rsidRPr="007A27A5" w:rsidTr="00221F89">
        <w:trPr>
          <w:trHeight w:val="171"/>
          <w:jc w:val="center"/>
        </w:trPr>
        <w:tc>
          <w:tcPr>
            <w:tcW w:w="1862" w:type="dxa"/>
            <w:tcBorders>
              <w:top w:val="nil"/>
              <w:left w:val="single" w:sz="4" w:space="0" w:color="auto"/>
              <w:bottom w:val="nil"/>
              <w:right w:val="single" w:sz="4" w:space="0" w:color="auto"/>
            </w:tcBorders>
            <w:shd w:val="clear" w:color="000000" w:fill="D0D0D0"/>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PORTAFOLIO</w:t>
            </w:r>
          </w:p>
        </w:tc>
        <w:tc>
          <w:tcPr>
            <w:tcW w:w="0" w:type="auto"/>
            <w:tcBorders>
              <w:top w:val="nil"/>
              <w:left w:val="nil"/>
              <w:bottom w:val="nil"/>
              <w:right w:val="single" w:sz="4" w:space="0" w:color="auto"/>
            </w:tcBorders>
            <w:shd w:val="clear" w:color="000000" w:fill="D0D0D0"/>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CRÉDITOS POR CUBRIR</w:t>
            </w:r>
          </w:p>
        </w:tc>
        <w:tc>
          <w:tcPr>
            <w:tcW w:w="0" w:type="auto"/>
            <w:tcBorders>
              <w:top w:val="nil"/>
              <w:left w:val="nil"/>
              <w:bottom w:val="nil"/>
              <w:right w:val="single" w:sz="4" w:space="0" w:color="auto"/>
            </w:tcBorders>
            <w:shd w:val="clear" w:color="000000" w:fill="D0D0D0"/>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SALDO AL 31/12/2025</w:t>
            </w:r>
          </w:p>
        </w:tc>
        <w:tc>
          <w:tcPr>
            <w:tcW w:w="1733" w:type="dxa"/>
            <w:tcBorders>
              <w:top w:val="nil"/>
              <w:left w:val="nil"/>
              <w:bottom w:val="nil"/>
              <w:right w:val="single" w:sz="4" w:space="0" w:color="auto"/>
            </w:tcBorders>
            <w:shd w:val="clear" w:color="000000" w:fill="D0D0D0"/>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Registro RPU</w:t>
            </w:r>
          </w:p>
        </w:tc>
      </w:tr>
      <w:tr w:rsidR="00DE3CD9" w:rsidRPr="007A27A5" w:rsidTr="00221F89">
        <w:trPr>
          <w:trHeight w:val="171"/>
          <w:jc w:val="center"/>
        </w:trPr>
        <w:tc>
          <w:tcPr>
            <w:tcW w:w="1862" w:type="dxa"/>
            <w:vMerge w:val="restart"/>
            <w:tcBorders>
              <w:top w:val="single" w:sz="8" w:space="0" w:color="auto"/>
              <w:left w:val="single" w:sz="8" w:space="0" w:color="auto"/>
              <w:bottom w:val="single" w:sz="8" w:space="0" w:color="000000"/>
              <w:right w:val="single" w:sz="4"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1</w:t>
            </w: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BBVA 8,500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8,148,771,500.00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P15-1018090</w:t>
            </w:r>
          </w:p>
        </w:tc>
      </w:tr>
      <w:tr w:rsidR="00DE3CD9" w:rsidRPr="007A27A5" w:rsidTr="00221F89">
        <w:trPr>
          <w:trHeight w:val="171"/>
          <w:jc w:val="center"/>
        </w:trPr>
        <w:tc>
          <w:tcPr>
            <w:tcW w:w="1862" w:type="dxa"/>
            <w:vMerge/>
            <w:tcBorders>
              <w:top w:val="single" w:sz="8" w:space="0" w:color="auto"/>
              <w:left w:val="single" w:sz="8" w:space="0" w:color="auto"/>
              <w:bottom w:val="single" w:sz="8" w:space="0" w:color="000000"/>
              <w:right w:val="single" w:sz="4"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BANOBRAS 5,000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4,792,649,067.05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P15-1018092</w:t>
            </w:r>
          </w:p>
        </w:tc>
      </w:tr>
      <w:tr w:rsidR="00DE3CD9" w:rsidRPr="007A27A5" w:rsidTr="00221F89">
        <w:trPr>
          <w:trHeight w:val="171"/>
          <w:jc w:val="center"/>
        </w:trPr>
        <w:tc>
          <w:tcPr>
            <w:tcW w:w="1862" w:type="dxa"/>
            <w:vMerge/>
            <w:tcBorders>
              <w:top w:val="single" w:sz="8" w:space="0" w:color="auto"/>
              <w:left w:val="single" w:sz="8" w:space="0" w:color="auto"/>
              <w:bottom w:val="single" w:sz="8" w:space="0" w:color="000000"/>
              <w:right w:val="single" w:sz="4"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BBVA 800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766,943,200.00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P15-1018089</w:t>
            </w:r>
          </w:p>
        </w:tc>
      </w:tr>
      <w:tr w:rsidR="00DE3CD9" w:rsidRPr="007A27A5" w:rsidTr="00221F89">
        <w:trPr>
          <w:trHeight w:val="171"/>
          <w:jc w:val="center"/>
        </w:trPr>
        <w:tc>
          <w:tcPr>
            <w:tcW w:w="1862" w:type="dxa"/>
            <w:vMerge/>
            <w:tcBorders>
              <w:top w:val="single" w:sz="8" w:space="0" w:color="auto"/>
              <w:left w:val="single" w:sz="8" w:space="0" w:color="auto"/>
              <w:bottom w:val="single" w:sz="8" w:space="0" w:color="000000"/>
              <w:right w:val="single" w:sz="4"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BANOBRAS 5,000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4,793,395,000.00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P15-1018093</w:t>
            </w:r>
          </w:p>
        </w:tc>
      </w:tr>
      <w:tr w:rsidR="00DE3CD9" w:rsidRPr="007A27A5" w:rsidTr="00221F89">
        <w:trPr>
          <w:trHeight w:val="171"/>
          <w:jc w:val="center"/>
        </w:trPr>
        <w:tc>
          <w:tcPr>
            <w:tcW w:w="1862" w:type="dxa"/>
            <w:vMerge/>
            <w:tcBorders>
              <w:top w:val="single" w:sz="8" w:space="0" w:color="auto"/>
              <w:left w:val="single" w:sz="8" w:space="0" w:color="auto"/>
              <w:bottom w:val="single" w:sz="8" w:space="0" w:color="000000"/>
              <w:right w:val="single" w:sz="4"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SANTANDER 3,000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2,717,238,000.00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P15-1018088</w:t>
            </w:r>
          </w:p>
        </w:tc>
      </w:tr>
      <w:tr w:rsidR="00DE3CD9" w:rsidRPr="007A27A5" w:rsidTr="00221F89">
        <w:trPr>
          <w:trHeight w:val="171"/>
          <w:jc w:val="center"/>
        </w:trPr>
        <w:tc>
          <w:tcPr>
            <w:tcW w:w="1862" w:type="dxa"/>
            <w:vMerge/>
            <w:tcBorders>
              <w:top w:val="single" w:sz="8" w:space="0" w:color="auto"/>
              <w:left w:val="single" w:sz="8" w:space="0" w:color="auto"/>
              <w:bottom w:val="single" w:sz="8" w:space="0" w:color="000000"/>
              <w:right w:val="single" w:sz="4"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BANORTE 13,400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12,136,996,400.00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P15-1018091</w:t>
            </w:r>
          </w:p>
        </w:tc>
      </w:tr>
      <w:tr w:rsidR="00DE3CD9" w:rsidRPr="007A27A5" w:rsidTr="00221F89">
        <w:trPr>
          <w:trHeight w:val="171"/>
          <w:jc w:val="center"/>
        </w:trPr>
        <w:tc>
          <w:tcPr>
            <w:tcW w:w="5014" w:type="dxa"/>
            <w:gridSpan w:val="2"/>
            <w:tcBorders>
              <w:top w:val="single" w:sz="8" w:space="0" w:color="auto"/>
              <w:left w:val="single" w:sz="8" w:space="0" w:color="auto"/>
              <w:bottom w:val="single" w:sz="8" w:space="0" w:color="auto"/>
              <w:right w:val="single" w:sz="8" w:space="0" w:color="000000"/>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TOTAL PORTAFOLIO 1</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 xml:space="preserve"> 33,355,993,167.05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w:t>
            </w:r>
          </w:p>
        </w:tc>
      </w:tr>
      <w:tr w:rsidR="00DE3CD9" w:rsidRPr="007A27A5" w:rsidTr="00221F89">
        <w:trPr>
          <w:trHeight w:val="171"/>
          <w:jc w:val="center"/>
        </w:trPr>
        <w:tc>
          <w:tcPr>
            <w:tcW w:w="1862" w:type="dxa"/>
            <w:vMerge w:val="restart"/>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2</w:t>
            </w:r>
          </w:p>
        </w:tc>
        <w:tc>
          <w:tcPr>
            <w:tcW w:w="0" w:type="auto"/>
            <w:tcBorders>
              <w:top w:val="nil"/>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BANOBRAS 1,000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983,578,843.33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P15-0720070</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BANOBRAS 1,500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1,476,480,434.97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P15-0720071</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BANOBRAS 1,500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1,475,589,311.89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P15-0720072</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BANAMEX 1,400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1,352,990,957.84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P15-1220103</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BANOBRAS 600</w:t>
            </w:r>
          </w:p>
        </w:tc>
        <w:tc>
          <w:tcPr>
            <w:tcW w:w="0" w:type="auto"/>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579,915,423.25 </w:t>
            </w:r>
          </w:p>
        </w:tc>
        <w:tc>
          <w:tcPr>
            <w:tcW w:w="1733" w:type="dxa"/>
            <w:tcBorders>
              <w:top w:val="single" w:sz="8" w:space="0" w:color="auto"/>
              <w:left w:val="single" w:sz="4" w:space="0" w:color="auto"/>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P15-1220102</w:t>
            </w:r>
          </w:p>
        </w:tc>
      </w:tr>
      <w:tr w:rsidR="00DE3CD9" w:rsidRPr="007A27A5" w:rsidTr="00221F89">
        <w:trPr>
          <w:trHeight w:val="171"/>
          <w:jc w:val="center"/>
        </w:trPr>
        <w:tc>
          <w:tcPr>
            <w:tcW w:w="5014" w:type="dxa"/>
            <w:gridSpan w:val="2"/>
            <w:tcBorders>
              <w:top w:val="single" w:sz="8" w:space="0" w:color="auto"/>
              <w:left w:val="single" w:sz="8" w:space="0" w:color="auto"/>
              <w:bottom w:val="single" w:sz="8" w:space="0" w:color="auto"/>
              <w:right w:val="single" w:sz="8" w:space="0" w:color="000000"/>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TOTAL PORTAFOLIO 2</w:t>
            </w: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 xml:space="preserve">   5,868,554,971.28 </w:t>
            </w:r>
          </w:p>
        </w:tc>
        <w:tc>
          <w:tcPr>
            <w:tcW w:w="1733" w:type="dxa"/>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w:t>
            </w:r>
          </w:p>
        </w:tc>
      </w:tr>
      <w:tr w:rsidR="00DE3CD9" w:rsidRPr="007A27A5" w:rsidTr="00221F89">
        <w:trPr>
          <w:trHeight w:val="171"/>
          <w:jc w:val="center"/>
        </w:trPr>
        <w:tc>
          <w:tcPr>
            <w:tcW w:w="1862" w:type="dxa"/>
            <w:vMerge w:val="restart"/>
            <w:tcBorders>
              <w:top w:val="nil"/>
              <w:left w:val="single" w:sz="8" w:space="0" w:color="auto"/>
              <w:bottom w:val="single" w:sz="8" w:space="0" w:color="000000"/>
              <w:right w:val="single" w:sz="8" w:space="0" w:color="auto"/>
            </w:tcBorders>
            <w:noWrap/>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3</w:t>
            </w:r>
          </w:p>
        </w:tc>
        <w:tc>
          <w:tcPr>
            <w:tcW w:w="0" w:type="auto"/>
            <w:tcBorders>
              <w:top w:val="nil"/>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BBVA 1,500</w:t>
            </w: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1,218,859,484.04 </w:t>
            </w:r>
          </w:p>
        </w:tc>
        <w:tc>
          <w:tcPr>
            <w:tcW w:w="1733" w:type="dxa"/>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P15-0318010</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SANTANDER 1,500</w:t>
            </w: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1,467,605,956.01 </w:t>
            </w:r>
          </w:p>
        </w:tc>
        <w:tc>
          <w:tcPr>
            <w:tcW w:w="1733" w:type="dxa"/>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P15-0220020</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BANAMEX 2,000</w:t>
            </w: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1,977,214,660.68 </w:t>
            </w:r>
          </w:p>
        </w:tc>
        <w:tc>
          <w:tcPr>
            <w:tcW w:w="1733" w:type="dxa"/>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P15-0621021</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BANOBRAS 1,000</w:t>
            </w: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988,698,957.11 </w:t>
            </w:r>
          </w:p>
        </w:tc>
        <w:tc>
          <w:tcPr>
            <w:tcW w:w="1733" w:type="dxa"/>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P15-0621023</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BANORTE 500</w:t>
            </w:r>
          </w:p>
        </w:tc>
        <w:tc>
          <w:tcPr>
            <w:tcW w:w="0" w:type="auto"/>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494,469,202.51 </w:t>
            </w:r>
          </w:p>
        </w:tc>
        <w:tc>
          <w:tcPr>
            <w:tcW w:w="1733" w:type="dxa"/>
            <w:tcBorders>
              <w:top w:val="single" w:sz="8" w:space="0" w:color="auto"/>
              <w:left w:val="nil"/>
              <w:bottom w:val="nil"/>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P15-0621024</w:t>
            </w:r>
          </w:p>
        </w:tc>
      </w:tr>
      <w:tr w:rsidR="00DE3CD9" w:rsidRPr="007A27A5" w:rsidTr="00221F89">
        <w:trPr>
          <w:trHeight w:val="171"/>
          <w:jc w:val="center"/>
        </w:trPr>
        <w:tc>
          <w:tcPr>
            <w:tcW w:w="1862" w:type="dxa"/>
            <w:vMerge/>
            <w:tcBorders>
              <w:top w:val="nil"/>
              <w:left w:val="single" w:sz="8" w:space="0" w:color="auto"/>
              <w:bottom w:val="single" w:sz="8" w:space="0" w:color="000000"/>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p>
        </w:tc>
        <w:tc>
          <w:tcPr>
            <w:tcW w:w="0" w:type="auto"/>
            <w:tcBorders>
              <w:top w:val="single" w:sz="8" w:space="0" w:color="auto"/>
              <w:left w:val="nil"/>
              <w:bottom w:val="single" w:sz="8" w:space="0" w:color="auto"/>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BBVA 500</w:t>
            </w:r>
          </w:p>
        </w:tc>
        <w:tc>
          <w:tcPr>
            <w:tcW w:w="0" w:type="auto"/>
            <w:tcBorders>
              <w:top w:val="single" w:sz="8" w:space="0" w:color="auto"/>
              <w:left w:val="nil"/>
              <w:bottom w:val="single" w:sz="8" w:space="0" w:color="auto"/>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xml:space="preserve">      494,467,600.48 </w:t>
            </w:r>
          </w:p>
        </w:tc>
        <w:tc>
          <w:tcPr>
            <w:tcW w:w="1733" w:type="dxa"/>
            <w:tcBorders>
              <w:top w:val="single" w:sz="8" w:space="0" w:color="auto"/>
              <w:left w:val="nil"/>
              <w:bottom w:val="single" w:sz="8" w:space="0" w:color="auto"/>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P15-0621022</w:t>
            </w:r>
          </w:p>
        </w:tc>
      </w:tr>
      <w:tr w:rsidR="00DE3CD9" w:rsidRPr="007A27A5" w:rsidTr="00221F89">
        <w:trPr>
          <w:trHeight w:val="171"/>
          <w:jc w:val="center"/>
        </w:trPr>
        <w:tc>
          <w:tcPr>
            <w:tcW w:w="5014" w:type="dxa"/>
            <w:gridSpan w:val="2"/>
            <w:tcBorders>
              <w:top w:val="single" w:sz="8" w:space="0" w:color="auto"/>
              <w:left w:val="single" w:sz="8" w:space="0" w:color="auto"/>
              <w:bottom w:val="single" w:sz="8" w:space="0" w:color="auto"/>
              <w:right w:val="single" w:sz="8" w:space="0" w:color="000000"/>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TOTAL PORTAFOLIO 3</w:t>
            </w:r>
          </w:p>
        </w:tc>
        <w:tc>
          <w:tcPr>
            <w:tcW w:w="0" w:type="auto"/>
            <w:tcBorders>
              <w:top w:val="nil"/>
              <w:left w:val="nil"/>
              <w:bottom w:val="single" w:sz="8" w:space="0" w:color="auto"/>
              <w:right w:val="single" w:sz="8" w:space="0" w:color="auto"/>
            </w:tcBorders>
            <w:vAlign w:val="center"/>
            <w:hideMark/>
          </w:tcPr>
          <w:p w:rsidR="00DE3CD9" w:rsidRPr="007A27A5" w:rsidRDefault="00DE3CD9" w:rsidP="00DE3CD9">
            <w:pPr>
              <w:spacing w:after="0" w:line="240" w:lineRule="auto"/>
              <w:jc w:val="both"/>
              <w:rPr>
                <w:rFonts w:ascii="Times New Roman" w:eastAsia="Times New Roman" w:hAnsi="Times New Roman" w:cs="Times New Roman"/>
                <w:b/>
                <w:bCs/>
                <w:color w:val="000000"/>
                <w:sz w:val="24"/>
                <w:szCs w:val="24"/>
                <w:lang w:eastAsia="es-MX"/>
              </w:rPr>
            </w:pPr>
            <w:r w:rsidRPr="007A27A5">
              <w:rPr>
                <w:rFonts w:ascii="Times New Roman" w:eastAsia="Times New Roman" w:hAnsi="Times New Roman" w:cs="Times New Roman"/>
                <w:b/>
                <w:bCs/>
                <w:color w:val="000000"/>
                <w:sz w:val="24"/>
                <w:szCs w:val="24"/>
                <w:lang w:eastAsia="es-MX"/>
              </w:rPr>
              <w:t xml:space="preserve">   6,641,315,860.83 </w:t>
            </w:r>
          </w:p>
        </w:tc>
        <w:tc>
          <w:tcPr>
            <w:tcW w:w="1733" w:type="dxa"/>
            <w:tcBorders>
              <w:top w:val="nil"/>
              <w:left w:val="nil"/>
              <w:bottom w:val="single" w:sz="8" w:space="0" w:color="auto"/>
              <w:right w:val="single" w:sz="8" w:space="0" w:color="auto"/>
            </w:tcBorders>
            <w:vAlign w:val="center"/>
            <w:hideMark/>
          </w:tcPr>
          <w:p w:rsidR="00DE3CD9" w:rsidRPr="007A27A5" w:rsidRDefault="00DE3CD9" w:rsidP="00DE3CD9">
            <w:pPr>
              <w:spacing w:after="0" w:line="240" w:lineRule="auto"/>
              <w:jc w:val="center"/>
              <w:rPr>
                <w:rFonts w:ascii="Times New Roman" w:eastAsia="Times New Roman" w:hAnsi="Times New Roman" w:cs="Times New Roman"/>
                <w:color w:val="000000"/>
                <w:sz w:val="24"/>
                <w:szCs w:val="24"/>
                <w:lang w:eastAsia="es-MX"/>
              </w:rPr>
            </w:pPr>
            <w:r w:rsidRPr="007A27A5">
              <w:rPr>
                <w:rFonts w:ascii="Times New Roman" w:eastAsia="Times New Roman" w:hAnsi="Times New Roman" w:cs="Times New Roman"/>
                <w:color w:val="000000"/>
                <w:sz w:val="24"/>
                <w:szCs w:val="24"/>
                <w:lang w:eastAsia="es-MX"/>
              </w:rPr>
              <w:t> </w:t>
            </w:r>
          </w:p>
        </w:tc>
      </w:tr>
    </w:tbl>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3.-</w:t>
      </w:r>
      <w:r w:rsidRPr="007A27A5">
        <w:rPr>
          <w:rFonts w:ascii="Times New Roman" w:eastAsia="Batang" w:hAnsi="Times New Roman" w:cs="Times New Roman"/>
          <w:sz w:val="24"/>
          <w:szCs w:val="24"/>
        </w:rPr>
        <w:t xml:space="preserve"> Los ingresos provenientes de los conceptos enumerados en el artículo 1 de esta Ley, se recaudarán por la Secretaría de Finanzas en la Caja General de Gobierno de la Dirección General de Tesorería de la Subsecretaría de Tesorería de la Secretaría de Finanzas; en instituciones del sistema financiero mexicano o en los establecimientos autorizados para realizar las gestiones inherentes a la recaudación, así como por los municipios con los que se celebre convenio para ese efecto, o bien por cuenta de la Dependencia, se realizará la captación de los ingresos públicos para su concentración correspondiente al erario estatal, salvo los ingresos propios de Organismos Autónomos y de los poderes Legislativo y Judicial, así como los afectos en fideicomisos de garantía, fuente de pago o administración e inversión; los cuales serán percibidos de manera directa. Para tal efecto, la Secretaría de Finanzas emitirá y publicará en el Periódico Oficial “Gaceta del Gobierno”, las Reglas de Carácter General que fijen los requisitos, obligaciones y procedimientos relativos a la captación o recepción y los comprobantes de pago de los ingresos públicos.</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Las Entidades Públicas que reciban ingresos de los señalados en el artículo 1 de esta Ley, deberán suscribir un Convenio de Colaboración con el Gobierno del Estado de México, por conducto de la Secretaría de Finanzas, para que dichos ingresos se cobren a través de la Caja General de Gobierno de la Dirección General de Tesorería de la Subsecretaría de Tesorería de la Secretaría de Finanzas, en instituciones del sistema financiero mexicano, o en los establecimientos autorizados para tal efecto, mismos que deberán referirse en dicho Convenio; excluyendo de esta disposición a las Entidades Públicas coordinadas por el sector de seguridad social.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tal efecto, las Entidades Públicas tendrán como plazo límite hasta el 1º de abril del 2026 para realizar la firma de los convenios referidos en el párrafo anterior.</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el caso de que se registren excedentes por ingresos de libre disposición, su aplicación se hará en términos de lo establecido en la Ley de Disciplina Financiera de las Entidades Federativas y los Municipios, el Código Financiero del Estado de México y Municipios y en el Presupuesto de Egresos del Gobierno del Estado de México para el Ejercicio Fiscal correspondiente.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Las cantidades recaudadas deberán depositarse en las cuentas bancarias autorizadas, debiendo inscribirse cualquiera que sea su forma o naturaleza, tanto en los registros de la propia Secretaría como en la Cuenta Pública correspondiente.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Los ingresos que reciban los Organismos Públicos Descentralizados, derivados de Fideicomisos en los que participen en términos del artículo 265 B Bis del Código Financiero del Estado de México y Municipios, deberán aplicarse conforme a la normativa aplicable, y el remanente, en su caso, deberá ser entregado a la Secretaría de Finanzas o a quien </w:t>
      </w:r>
      <w:proofErr w:type="spellStart"/>
      <w:r w:rsidRPr="007A27A5">
        <w:rPr>
          <w:rFonts w:ascii="Times New Roman" w:eastAsia="Batang" w:hAnsi="Times New Roman" w:cs="Times New Roman"/>
          <w:sz w:val="24"/>
          <w:szCs w:val="24"/>
        </w:rPr>
        <w:t>esta</w:t>
      </w:r>
      <w:proofErr w:type="spellEnd"/>
      <w:r w:rsidRPr="007A27A5">
        <w:rPr>
          <w:rFonts w:ascii="Times New Roman" w:eastAsia="Batang" w:hAnsi="Times New Roman" w:cs="Times New Roman"/>
          <w:sz w:val="24"/>
          <w:szCs w:val="24"/>
        </w:rPr>
        <w:t xml:space="preserve"> expresamente designe, para su aplicación de acuerdo con lo dispuesto en la Ley de Disciplina Financiera de las Entidades Federativas y los Municipios y en el Código Financiero del Estado de México y Municipios.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Artículo 4.- </w:t>
      </w:r>
      <w:r w:rsidRPr="007A27A5">
        <w:rPr>
          <w:rFonts w:ascii="Times New Roman" w:eastAsia="Batang" w:hAnsi="Times New Roman" w:cs="Times New Roman"/>
          <w:sz w:val="24"/>
          <w:szCs w:val="24"/>
        </w:rPr>
        <w:t>Los accesorios de los Impuestos estatales que deba percibir el fisco estatal, provenientes de su actividad recaudadora o fiscalizadora, podrán destinarse al establecimiento de un programa de estímulos a la productividad.</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sz w:val="24"/>
          <w:szCs w:val="24"/>
        </w:rPr>
        <w:t>El programa a que se refiere el párrafo anterior se aplicará conforme a lo dispuesto en las Reglas de Carácter General que, para tal efecto, emita y publique la Secretaría de Finanzas en el Periódico Oficial “Gaceta del Gobierno”.</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5.-</w:t>
      </w:r>
      <w:r w:rsidRPr="007A27A5">
        <w:rPr>
          <w:rFonts w:ascii="Times New Roman" w:eastAsia="Batang" w:hAnsi="Times New Roman" w:cs="Times New Roman"/>
          <w:sz w:val="24"/>
          <w:szCs w:val="24"/>
        </w:rPr>
        <w:t xml:space="preserve"> Las tasas, cuotas y tarifas de los Impuestos y Derechos establecidos en el Título Tercero del Código Financiero del Estado de México y Municipios, podrán reducirse cuando la persona Titular del Poder Ejecutivo del Estado, previa autorización de la Legislatura del Estado, así lo convenga con el Gobierno Federal en el marco del Sistema Nacional de Coordinación Fiscal, con el propósito de que el Estado obtenga mayores participaciones derivadas de gravámenes y fondos federales repartibles,  siempre y cuando, sus montos las compensen. Dicha autorización y el convenio respectivo celebrado para tal efecto serán publicados en el Periódico Oficial “Gaceta del Gobierno”.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6.-</w:t>
      </w:r>
      <w:r w:rsidRPr="007A27A5">
        <w:rPr>
          <w:rFonts w:ascii="Times New Roman" w:eastAsia="Batang" w:hAnsi="Times New Roman" w:cs="Times New Roman"/>
          <w:sz w:val="24"/>
          <w:szCs w:val="24"/>
        </w:rPr>
        <w:t xml:space="preserve"> El pago extemporáneo de créditos fiscales, dará lugar al cobro de recargos a la tasa del 1.85 por ciento mensual sobre el monto total de los mismos, por cada mes que transcurra sin hacerse el pago.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7.-</w:t>
      </w:r>
      <w:r w:rsidRPr="007A27A5">
        <w:rPr>
          <w:rFonts w:ascii="Times New Roman" w:eastAsia="Batang" w:hAnsi="Times New Roman" w:cs="Times New Roman"/>
          <w:sz w:val="24"/>
          <w:szCs w:val="24"/>
        </w:rPr>
        <w:t xml:space="preserve"> Cuando se concedan prórrogas para el pago de créditos fiscales, conforme a lo dispuesto en el Código Financiero del Estado de México y Municipios, se causarán recargos sobre saldos insolutos a la tasa del 1.38 por ciento mensual.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8.-</w:t>
      </w:r>
      <w:r w:rsidRPr="007A27A5">
        <w:rPr>
          <w:rFonts w:ascii="Times New Roman" w:eastAsia="Batang" w:hAnsi="Times New Roman" w:cs="Times New Roman"/>
          <w:sz w:val="24"/>
          <w:szCs w:val="24"/>
        </w:rPr>
        <w:t xml:space="preserve"> Los montos de los créditos fiscales pagados fuera de los plazos señalados por la normativa aplicable para el Ejercicio Fiscal 2026, se actualizarán a la tasa del 0.54 por ciento sobre el monto total de los mismos por cada mes que transcurra sin hacerse el pago.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factor de actualización anual a que se refiere el artículo 70 del Código Financiero del Estado de México y Municipios será de 1.060.</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9.-</w:t>
      </w:r>
      <w:r w:rsidRPr="007A27A5">
        <w:rPr>
          <w:rFonts w:ascii="Times New Roman" w:eastAsia="Batang" w:hAnsi="Times New Roman" w:cs="Times New Roman"/>
          <w:sz w:val="24"/>
          <w:szCs w:val="24"/>
        </w:rPr>
        <w:t xml:space="preserve"> Se autoriza a la persona Titular del Ejecutivo del Estado para que, por conducto de la Secretaría de Finanzas y durante el Ejercicio Fiscal 2026, otorgue un subsidio de hasta el 100 por ciento de los Derechos contemplados en el Capítulo Segundo del Título Tercero del Código Financiero del Estado de México y Municipios, cuando se realicen campañas de regularización, </w:t>
      </w:r>
      <w:r w:rsidRPr="007A27A5">
        <w:rPr>
          <w:rFonts w:ascii="Times New Roman" w:eastAsia="Batang" w:hAnsi="Times New Roman" w:cs="Times New Roman"/>
          <w:sz w:val="24"/>
          <w:szCs w:val="24"/>
        </w:rPr>
        <w:lastRenderedPageBreak/>
        <w:t>conforme a las Reglas de Carácter General que para tal efecto emita y publique la Secretaría de Finanzas en el Periódico Oficial “Gaceta del Gobierno”.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10.-</w:t>
      </w:r>
      <w:r w:rsidRPr="007A27A5">
        <w:rPr>
          <w:rFonts w:ascii="Times New Roman" w:eastAsia="Batang" w:hAnsi="Times New Roman" w:cs="Times New Roman"/>
          <w:sz w:val="24"/>
          <w:szCs w:val="24"/>
        </w:rPr>
        <w:t xml:space="preserve"> Los contribuyentes podrán realizar en una sola exhibición, en los meses de enero y febrero, el pago correspondiente al monto anual del Impuesto sobre Erogaciones por Remuneraciones al Trabajo Personal que no se hubiere causado aún. Quienes ejerzan esta opción, deberán realizar el respectivo ajuste anual conforme a las Reglas de Carácter General que para tal efecto emita y publique la Secretaría de Finanzas, en el Periódico Oficial “Gaceta del Gobierno”.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11.-</w:t>
      </w:r>
      <w:r w:rsidRPr="007A27A5">
        <w:rPr>
          <w:rFonts w:ascii="Times New Roman" w:eastAsia="Batang" w:hAnsi="Times New Roman" w:cs="Times New Roman"/>
          <w:sz w:val="24"/>
          <w:szCs w:val="24"/>
        </w:rPr>
        <w:t xml:space="preserve"> Los contribuyentes obligados al pago del Impuesto sobre Erogaciones por Remuneraciones al Trabajo Personal, gozarán de los siguientes subsidios: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7"/>
        </w:numPr>
        <w:spacing w:after="0" w:line="240" w:lineRule="auto"/>
        <w:ind w:left="596" w:hanging="283"/>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Del 100 por ciento:</w:t>
      </w:r>
    </w:p>
    <w:p w:rsidR="00DE3CD9" w:rsidRPr="007A27A5" w:rsidRDefault="00DE3CD9" w:rsidP="00DE3CD9">
      <w:pPr>
        <w:spacing w:after="0" w:line="240" w:lineRule="auto"/>
        <w:ind w:left="598"/>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598"/>
        <w:contextualSpacing/>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A) </w:t>
      </w:r>
      <w:r w:rsidRPr="007A27A5">
        <w:rPr>
          <w:rFonts w:ascii="Times New Roman" w:eastAsia="Batang" w:hAnsi="Times New Roman" w:cs="Times New Roman"/>
          <w:b/>
          <w:bCs/>
          <w:sz w:val="24"/>
          <w:szCs w:val="24"/>
        </w:rPr>
        <w:tab/>
      </w:r>
      <w:r w:rsidRPr="007A27A5">
        <w:rPr>
          <w:rFonts w:ascii="Times New Roman" w:eastAsia="Batang" w:hAnsi="Times New Roman" w:cs="Times New Roman"/>
          <w:sz w:val="24"/>
          <w:szCs w:val="24"/>
        </w:rPr>
        <w:t xml:space="preserve">Por los 60 meses posteriores a la generación de empleo, contratación, cambio o </w:t>
      </w:r>
      <w:r w:rsidRPr="007A27A5">
        <w:rPr>
          <w:rFonts w:ascii="Times New Roman" w:eastAsia="Batang" w:hAnsi="Times New Roman" w:cs="Times New Roman"/>
          <w:sz w:val="24"/>
          <w:szCs w:val="24"/>
        </w:rPr>
        <w:tab/>
        <w:t xml:space="preserve">inicio de operaciones, según sea el caso, conforme a la normativa aplicable, a los </w:t>
      </w:r>
      <w:r w:rsidRPr="007A27A5">
        <w:rPr>
          <w:rFonts w:ascii="Times New Roman" w:eastAsia="Batang" w:hAnsi="Times New Roman" w:cs="Times New Roman"/>
          <w:sz w:val="24"/>
          <w:szCs w:val="24"/>
        </w:rPr>
        <w:tab/>
        <w:t xml:space="preserve">siguientes contribuyentes: </w:t>
      </w:r>
    </w:p>
    <w:p w:rsidR="00DE3CD9" w:rsidRPr="007A27A5" w:rsidRDefault="00DE3CD9" w:rsidP="00DE3CD9">
      <w:pPr>
        <w:spacing w:after="0" w:line="240" w:lineRule="auto"/>
        <w:ind w:left="598"/>
        <w:contextualSpacing/>
        <w:jc w:val="both"/>
        <w:rPr>
          <w:rFonts w:ascii="Times New Roman" w:eastAsia="Batang" w:hAnsi="Times New Roman" w:cs="Times New Roman"/>
          <w:sz w:val="24"/>
          <w:szCs w:val="24"/>
        </w:rPr>
      </w:pPr>
    </w:p>
    <w:p w:rsidR="00DE3CD9" w:rsidRPr="007A27A5" w:rsidRDefault="00DE3CD9" w:rsidP="00F068E2">
      <w:pPr>
        <w:numPr>
          <w:ilvl w:val="0"/>
          <w:numId w:val="13"/>
        </w:numPr>
        <w:spacing w:after="0" w:line="240" w:lineRule="auto"/>
        <w:ind w:left="1418" w:hanging="425"/>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Empresas que, teniendo fuentes de empleo en cualquier Entidad Federativa distinta al Estado de México, las cambien a esta Entidad durante el Ejercicio Fiscal 2026. </w:t>
      </w:r>
    </w:p>
    <w:p w:rsidR="00DE3CD9" w:rsidRPr="007A27A5" w:rsidRDefault="00DE3CD9" w:rsidP="00F068E2">
      <w:pPr>
        <w:numPr>
          <w:ilvl w:val="0"/>
          <w:numId w:val="13"/>
        </w:numPr>
        <w:spacing w:after="0" w:line="240" w:lineRule="auto"/>
        <w:ind w:left="1418" w:hanging="425"/>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Quienes durante el Ejercicio Fiscal 2026 inicien operaciones con su fuente de empleo y domicilio fiscal en el Estado de México. </w:t>
      </w:r>
    </w:p>
    <w:p w:rsidR="00DE3CD9" w:rsidRPr="007A27A5" w:rsidRDefault="00DE3CD9" w:rsidP="00F068E2">
      <w:pPr>
        <w:numPr>
          <w:ilvl w:val="0"/>
          <w:numId w:val="13"/>
        </w:numPr>
        <w:spacing w:after="0" w:line="240" w:lineRule="auto"/>
        <w:ind w:left="1418" w:hanging="425"/>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Quienes durante el Ejercicio Fiscal 2026 incrementen su plantilla laboral.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ind w:left="596"/>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efectos del presente inciso, el subsidio considerará el impuesto que se cause respecto de las nuevas plazas, tomando como base la plantilla de trabajadores más alta que se declare durante el Ejercicio Fiscal 2025 y se aplicará únicamente a los empleos generados durante el Ejercicio Fiscal 2026, por arriba de la plantilla mencionada, siempre y cuando, cumplan con las condiciones previstas en las Reglas de Carácter General que para tal efecto emita y publique la Secretaría de Finanzas, en el Periódico Oficial “Gaceta del Gobierno”.</w:t>
      </w:r>
    </w:p>
    <w:p w:rsidR="00DE3CD9" w:rsidRPr="007A27A5" w:rsidRDefault="00DE3CD9" w:rsidP="00DE3CD9">
      <w:pPr>
        <w:spacing w:after="0" w:line="240" w:lineRule="auto"/>
        <w:ind w:left="596"/>
        <w:jc w:val="both"/>
        <w:rPr>
          <w:rFonts w:ascii="Times New Roman" w:eastAsia="Batang" w:hAnsi="Times New Roman" w:cs="Times New Roman"/>
          <w:sz w:val="24"/>
          <w:szCs w:val="24"/>
        </w:rPr>
      </w:pPr>
    </w:p>
    <w:p w:rsidR="00DE3CD9" w:rsidRPr="007A27A5" w:rsidRDefault="00DE3CD9" w:rsidP="00F068E2">
      <w:pPr>
        <w:numPr>
          <w:ilvl w:val="0"/>
          <w:numId w:val="8"/>
        </w:numPr>
        <w:spacing w:after="0" w:line="240" w:lineRule="auto"/>
        <w:ind w:left="596"/>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Por los 36 meses posteriores a la generación de empleo, contratación, cambio o </w:t>
      </w:r>
      <w:r w:rsidRPr="007A27A5">
        <w:rPr>
          <w:rFonts w:ascii="Times New Roman" w:eastAsia="Batang" w:hAnsi="Times New Roman" w:cs="Times New Roman"/>
          <w:sz w:val="24"/>
          <w:szCs w:val="24"/>
        </w:rPr>
        <w:tab/>
        <w:t xml:space="preserve">inicio de operaciones, según sea el caso, conforme a la normativa aplicable, a los </w:t>
      </w:r>
      <w:r w:rsidRPr="007A27A5">
        <w:rPr>
          <w:rFonts w:ascii="Times New Roman" w:eastAsia="Batang" w:hAnsi="Times New Roman" w:cs="Times New Roman"/>
          <w:sz w:val="24"/>
          <w:szCs w:val="24"/>
        </w:rPr>
        <w:tab/>
        <w:t xml:space="preserve">siguientes contribuyentes: </w:t>
      </w:r>
    </w:p>
    <w:p w:rsidR="00DE3CD9" w:rsidRPr="007A27A5" w:rsidRDefault="00DE3CD9" w:rsidP="00DE3CD9">
      <w:pPr>
        <w:spacing w:after="0" w:line="240" w:lineRule="auto"/>
        <w:ind w:left="708"/>
        <w:jc w:val="both"/>
        <w:rPr>
          <w:rFonts w:ascii="Times New Roman" w:eastAsia="Batang" w:hAnsi="Times New Roman" w:cs="Times New Roman"/>
          <w:sz w:val="24"/>
          <w:szCs w:val="24"/>
        </w:rPr>
      </w:pPr>
    </w:p>
    <w:p w:rsidR="00DE3CD9" w:rsidRPr="007A27A5" w:rsidRDefault="00DE3CD9" w:rsidP="00F068E2">
      <w:pPr>
        <w:numPr>
          <w:ilvl w:val="0"/>
          <w:numId w:val="9"/>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Quienes generen durante el Ejercicio Fiscal 2026, empleos nuevos en el Estado de México para trabajadores de 60 años o más. </w:t>
      </w:r>
    </w:p>
    <w:p w:rsidR="00DE3CD9" w:rsidRPr="007A27A5" w:rsidRDefault="00DE3CD9" w:rsidP="00F068E2">
      <w:pPr>
        <w:numPr>
          <w:ilvl w:val="0"/>
          <w:numId w:val="9"/>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Quienes generen durante el Ejercicio Fiscal 2026,</w:t>
      </w:r>
      <w:r w:rsidRPr="007A27A5">
        <w:rPr>
          <w:rFonts w:ascii="Times New Roman" w:eastAsia="Batang" w:hAnsi="Times New Roman" w:cs="Times New Roman"/>
          <w:b/>
          <w:bCs/>
          <w:sz w:val="24"/>
          <w:szCs w:val="24"/>
        </w:rPr>
        <w:t xml:space="preserve"> </w:t>
      </w:r>
      <w:r w:rsidRPr="007A27A5">
        <w:rPr>
          <w:rFonts w:ascii="Times New Roman" w:eastAsia="Batang" w:hAnsi="Times New Roman" w:cs="Times New Roman"/>
          <w:sz w:val="24"/>
          <w:szCs w:val="24"/>
        </w:rPr>
        <w:t>empleos para personas que hubieren concluido una carrera terminal, técnica, tecnológica o profesional en los años 2024, 2025 o 2026.</w:t>
      </w:r>
    </w:p>
    <w:p w:rsidR="00DE3CD9" w:rsidRPr="007A27A5" w:rsidRDefault="00DE3CD9" w:rsidP="00DE3CD9">
      <w:pPr>
        <w:spacing w:after="0" w:line="240" w:lineRule="auto"/>
        <w:ind w:left="1305" w:hanging="312"/>
        <w:contextualSpacing/>
        <w:jc w:val="both"/>
        <w:rPr>
          <w:rFonts w:ascii="Times New Roman" w:eastAsia="Batang" w:hAnsi="Times New Roman" w:cs="Times New Roman"/>
          <w:sz w:val="24"/>
          <w:szCs w:val="24"/>
        </w:rPr>
      </w:pPr>
    </w:p>
    <w:p w:rsidR="00DE3CD9" w:rsidRPr="007A27A5" w:rsidRDefault="00DE3CD9" w:rsidP="00F068E2">
      <w:pPr>
        <w:numPr>
          <w:ilvl w:val="0"/>
          <w:numId w:val="10"/>
        </w:numPr>
        <w:spacing w:after="0" w:line="240" w:lineRule="auto"/>
        <w:ind w:left="596"/>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Por los 24 meses posteriores a la contratación laboral, a los contribuyentes que </w:t>
      </w:r>
      <w:r w:rsidRPr="007A27A5">
        <w:rPr>
          <w:rFonts w:ascii="Times New Roman" w:eastAsia="Batang" w:hAnsi="Times New Roman" w:cs="Times New Roman"/>
          <w:sz w:val="24"/>
          <w:szCs w:val="24"/>
        </w:rPr>
        <w:tab/>
        <w:t xml:space="preserve">durante el Ejercicio Fiscal 2026 contraten personas con las siguientes </w:t>
      </w:r>
      <w:r w:rsidRPr="007A27A5">
        <w:rPr>
          <w:rFonts w:ascii="Times New Roman" w:eastAsia="Batang" w:hAnsi="Times New Roman" w:cs="Times New Roman"/>
          <w:sz w:val="24"/>
          <w:szCs w:val="24"/>
        </w:rPr>
        <w:tab/>
        <w:t xml:space="preserve">consideraciones: </w:t>
      </w:r>
    </w:p>
    <w:p w:rsidR="00DE3CD9" w:rsidRPr="007A27A5" w:rsidRDefault="00DE3CD9" w:rsidP="00DE3CD9">
      <w:pPr>
        <w:spacing w:after="0" w:line="240" w:lineRule="auto"/>
        <w:ind w:left="738"/>
        <w:contextualSpacing/>
        <w:jc w:val="both"/>
        <w:rPr>
          <w:rFonts w:ascii="Times New Roman" w:eastAsia="Batang" w:hAnsi="Times New Roman" w:cs="Times New Roman"/>
          <w:sz w:val="24"/>
          <w:szCs w:val="24"/>
        </w:rPr>
      </w:pPr>
    </w:p>
    <w:p w:rsidR="00DE3CD9" w:rsidRPr="007A27A5" w:rsidRDefault="00DE3CD9" w:rsidP="00F068E2">
      <w:pPr>
        <w:numPr>
          <w:ilvl w:val="0"/>
          <w:numId w:val="11"/>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Que accedan por primera vez al mercado laboral. </w:t>
      </w:r>
    </w:p>
    <w:p w:rsidR="00DE3CD9" w:rsidRPr="007A27A5" w:rsidRDefault="00DE3CD9" w:rsidP="00F068E2">
      <w:pPr>
        <w:numPr>
          <w:ilvl w:val="0"/>
          <w:numId w:val="11"/>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Pertenecientes a alguna comunidad indígena. </w:t>
      </w:r>
    </w:p>
    <w:p w:rsidR="00DE3CD9" w:rsidRPr="007A27A5" w:rsidRDefault="00DE3CD9" w:rsidP="00F068E2">
      <w:pPr>
        <w:numPr>
          <w:ilvl w:val="0"/>
          <w:numId w:val="11"/>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Liberadas con base en la Ley de Amnistía del Estado de México, preliberados y aquellos que hayan cumplido su sentencia. </w:t>
      </w:r>
    </w:p>
    <w:p w:rsidR="00DE3CD9" w:rsidRPr="007A27A5" w:rsidRDefault="00DE3CD9" w:rsidP="00F068E2">
      <w:pPr>
        <w:numPr>
          <w:ilvl w:val="0"/>
          <w:numId w:val="11"/>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Personas trabajadoras del hogar. </w:t>
      </w:r>
    </w:p>
    <w:p w:rsidR="00DE3CD9" w:rsidRPr="007A27A5" w:rsidRDefault="00DE3CD9" w:rsidP="00F068E2">
      <w:pPr>
        <w:numPr>
          <w:ilvl w:val="0"/>
          <w:numId w:val="11"/>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Que hayan sido repatriados a la Entidad en los años 2024, 2025 o 2026.</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ind w:left="60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Los subsidios que refieren los incisos B) y C) se otorgarán tomando como base la plantilla de trabajadores al 31 de diciembre de 2025 y se aplicarán únicamente a los empleos generados durante el Ejercicio Fiscal 2026, por arriba de la plantilla mencionada, siempre y cuando, cumplan con alguna de las condiciones previstas en las Reglas de Carácter General que para tal efecto emita y publique la Secretaría de Finanzas, en el Periódico Oficial “Gaceta del Gobierno”.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12"/>
        </w:numPr>
        <w:spacing w:after="0" w:line="240" w:lineRule="auto"/>
        <w:ind w:left="596"/>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Por los 12 meses posteriores a la manifestación del subsidio en la declaración </w:t>
      </w:r>
      <w:r w:rsidRPr="007A27A5">
        <w:rPr>
          <w:rFonts w:ascii="Times New Roman" w:eastAsia="Batang" w:hAnsi="Times New Roman" w:cs="Times New Roman"/>
          <w:sz w:val="24"/>
          <w:szCs w:val="24"/>
        </w:rPr>
        <w:tab/>
        <w:t xml:space="preserve">correspondiente durante el Ejercicio Fiscal 2026, a los siguientes contribuyentes: </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19"/>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A las mujeres jefas de familia titulares de unidades económicas con hasta 3 empleados. </w:t>
      </w:r>
    </w:p>
    <w:p w:rsidR="00DE3CD9" w:rsidRPr="007A27A5" w:rsidRDefault="00DE3CD9" w:rsidP="00F068E2">
      <w:pPr>
        <w:numPr>
          <w:ilvl w:val="0"/>
          <w:numId w:val="19"/>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 empresas dedicadas a la producción de obras cinematográficas o audiovisuales con domicilio fiscal en el Estado de México, sin incluir a aquellas que realicen actividades comerciales, en términos de la normativa aplicable.</w:t>
      </w:r>
    </w:p>
    <w:p w:rsidR="00DE3CD9" w:rsidRPr="007A27A5" w:rsidRDefault="00DE3CD9" w:rsidP="00F068E2">
      <w:pPr>
        <w:numPr>
          <w:ilvl w:val="0"/>
          <w:numId w:val="19"/>
        </w:numPr>
        <w:spacing w:after="0" w:line="240" w:lineRule="auto"/>
        <w:ind w:left="1304" w:hanging="312"/>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 empresas dedicadas a la promoción y difusión de actividades relacionadas con el deporte, música, teatro, danza y artes con domicilio fiscal en el Estado de México, sin incluir a aquellas que realicen actividades comerciales.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16"/>
        </w:numPr>
        <w:spacing w:after="0" w:line="240" w:lineRule="auto"/>
        <w:ind w:left="596"/>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Por los 24 meses posteriores a la manifestación del subsidio en la declaración  correspondiente durante el Ejercicio Fiscal 2026, a las organizaciones, asociaciones o agrupaciones sin fines de lucro legalmente constituidas, cuya actividad sea de defensa, rescate y protección de animales y de especies protegidas.</w:t>
      </w:r>
    </w:p>
    <w:p w:rsidR="00DE3CD9" w:rsidRPr="007A27A5" w:rsidRDefault="00DE3CD9" w:rsidP="00DE3CD9">
      <w:pPr>
        <w:spacing w:after="0" w:line="240" w:lineRule="auto"/>
        <w:ind w:left="596"/>
        <w:contextualSpacing/>
        <w:jc w:val="both"/>
        <w:rPr>
          <w:rFonts w:ascii="Times New Roman" w:eastAsia="Batang" w:hAnsi="Times New Roman" w:cs="Times New Roman"/>
          <w:sz w:val="24"/>
          <w:szCs w:val="24"/>
        </w:rPr>
      </w:pPr>
    </w:p>
    <w:p w:rsidR="00DE3CD9" w:rsidRPr="007A27A5" w:rsidRDefault="00DE3CD9" w:rsidP="00F068E2">
      <w:pPr>
        <w:numPr>
          <w:ilvl w:val="0"/>
          <w:numId w:val="15"/>
        </w:numPr>
        <w:spacing w:after="0" w:line="240" w:lineRule="auto"/>
        <w:ind w:hanging="222"/>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Del 50 por ciento:</w:t>
      </w:r>
    </w:p>
    <w:p w:rsidR="00DE3CD9" w:rsidRPr="007A27A5" w:rsidRDefault="00DE3CD9" w:rsidP="00DE3CD9">
      <w:pPr>
        <w:spacing w:after="0" w:line="240" w:lineRule="auto"/>
        <w:ind w:left="453"/>
        <w:contextualSpacing/>
        <w:jc w:val="both"/>
        <w:rPr>
          <w:rFonts w:ascii="Times New Roman" w:eastAsia="Batang" w:hAnsi="Times New Roman" w:cs="Times New Roman"/>
          <w:b/>
          <w:bCs/>
          <w:sz w:val="24"/>
          <w:szCs w:val="24"/>
        </w:rPr>
      </w:pPr>
    </w:p>
    <w:p w:rsidR="00DE3CD9" w:rsidRPr="007A27A5" w:rsidRDefault="00DE3CD9" w:rsidP="00F068E2">
      <w:pPr>
        <w:numPr>
          <w:ilvl w:val="0"/>
          <w:numId w:val="14"/>
        </w:numPr>
        <w:spacing w:after="0" w:line="240" w:lineRule="auto"/>
        <w:ind w:left="599" w:hanging="3"/>
        <w:contextualSpacing/>
        <w:jc w:val="both"/>
        <w:rPr>
          <w:rFonts w:ascii="Times New Roman" w:eastAsia="Batang" w:hAnsi="Times New Roman" w:cs="Times New Roman"/>
          <w:b/>
          <w:bCs/>
          <w:sz w:val="24"/>
          <w:szCs w:val="24"/>
        </w:rPr>
      </w:pPr>
      <w:r w:rsidRPr="007A27A5">
        <w:rPr>
          <w:rFonts w:ascii="Times New Roman" w:eastAsia="Batang" w:hAnsi="Times New Roman" w:cs="Times New Roman"/>
          <w:sz w:val="24"/>
          <w:szCs w:val="24"/>
        </w:rPr>
        <w:t>Por los 24 meses posteriores a la manifestación del subsidio en la declaración  correspondiente, a las empresas que:</w:t>
      </w:r>
    </w:p>
    <w:p w:rsidR="00DE3CD9" w:rsidRPr="007A27A5" w:rsidRDefault="00DE3CD9" w:rsidP="00DE3CD9">
      <w:pPr>
        <w:spacing w:after="0" w:line="240" w:lineRule="auto"/>
        <w:ind w:left="593"/>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1276" w:hanging="284"/>
        <w:contextualSpacing/>
        <w:jc w:val="both"/>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1.</w:t>
      </w:r>
      <w:r w:rsidRPr="007A27A5">
        <w:rPr>
          <w:rFonts w:ascii="Times New Roman" w:eastAsia="Batang" w:hAnsi="Times New Roman" w:cs="Times New Roman"/>
          <w:sz w:val="24"/>
          <w:szCs w:val="24"/>
        </w:rPr>
        <w:t xml:space="preserve">  Maquilen productos de exportación en el Estado de México durante el Ejercicio Fiscal 2026.</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acceder a los beneficios que señala el presente artículo, se deberá cumplir con los requisitos establecidos, según corresponda, mediante las Reglas de Carácter General que al efecto emita y publique la Secretaría de Finanzas en el Periódico Oficial “Gaceta del Gobierno”.</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12.-</w:t>
      </w:r>
      <w:r w:rsidRPr="007A27A5">
        <w:rPr>
          <w:rFonts w:ascii="Times New Roman" w:eastAsia="Batang" w:hAnsi="Times New Roman" w:cs="Times New Roman"/>
          <w:sz w:val="24"/>
          <w:szCs w:val="24"/>
        </w:rPr>
        <w:t xml:space="preserve"> Se autoriza para el Ejercicio Fiscal 2026, un subsidio del 50 por ciento en el Impuesto Sobre la Prestación de Servicios de Hospedaje, a las personas físicas y jurídicas colectivas, que realicen erogaciones por concepto de servicios de alojamiento o albergue durante estancias superiores a 15 días consecutivos en la Entidad, conforme a las Reglas de Carácter General que para tal efecto emita y publique la Secretaría de Finanzas en el Periódico Oficial “Gaceta del Gobierno”.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13.-</w:t>
      </w:r>
      <w:r w:rsidRPr="007A27A5">
        <w:rPr>
          <w:rFonts w:ascii="Times New Roman" w:eastAsia="Batang" w:hAnsi="Times New Roman" w:cs="Times New Roman"/>
          <w:sz w:val="24"/>
          <w:szCs w:val="24"/>
        </w:rPr>
        <w:t xml:space="preserve"> Se otorga a favor de los beneficiarios de los programas promotores de vivienda de interés social, social progresiva y popular, incluyendo a las operaciones celebradas mediante cofinanciamiento con entidades financieras o de regularización de la tenencia de la tierra; un subsidio del 100 por ciento durante el Ejercicio Fiscal 2026, en el pago de los Derechos por </w:t>
      </w:r>
      <w:r w:rsidRPr="007A27A5">
        <w:rPr>
          <w:rFonts w:ascii="Times New Roman" w:eastAsia="Batang" w:hAnsi="Times New Roman" w:cs="Times New Roman"/>
          <w:sz w:val="24"/>
          <w:szCs w:val="24"/>
        </w:rPr>
        <w:lastRenderedPageBreak/>
        <w:t>servicios de transmisión y otorgamiento de créditos para la adquisición y construcción de la vivienda social, prestados por el Instituto de la Función Registral del Estado de México.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autoriza para el Ejercicio Fiscal 2026, la publicación sin costo alguno de los edictos en el Periódico Oficial “Gaceta del Gobierno”, en favor de los beneficiarios de los programas promotores de vivienda de interés social, social progresiva y popular, incluyendo los programas de adquisición o de regularización de la tenencia de la tierra, realizados por Organismos Públicos Estatales en cumplimiento de sus objetivos.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Se otorga la exención del 100 por ciento durante el Ejercicio Fiscal 2026, relativos a los servicios que preste el Poder Ejecutivo Estatal, a través de sus dependencias u organismos auxiliares, respecto de las contribuciones, aprovechamientos y sus accesorios derivados de los trámites, permisos, autorizaciones, registros, inscripciones y cualquier otro concepto que se requiera para el desarrollo eficiente de los Programas de Vivienda Social Gubernamental, en términos del Código Administrativo del Estado de México y demás normativa aplicable, así como de los actos de inscripción o regularización de viviendas derivados de dichos programas, en los términos de los convenios o instrumentos de coordinación que al efecto se celebren.</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14.-</w:t>
      </w:r>
      <w:r w:rsidRPr="007A27A5">
        <w:rPr>
          <w:rFonts w:ascii="Times New Roman" w:eastAsia="Batang" w:hAnsi="Times New Roman" w:cs="Times New Roman"/>
          <w:sz w:val="24"/>
          <w:szCs w:val="24"/>
        </w:rPr>
        <w:t xml:space="preserve"> Se autoriza a la persona Titular del Ejecutivo del Estado, por conducto del Instituto de la Función Registral del Estado de México para que, durante el Ejercicio Fiscal 2026, otorgue la exención del 100 por ciento en el pago de los Derechos por servicios del Certificado de Libertad o Existencia de Gravámenes y la inscripción relativa a la propiedad de inmuebles destinados a la apertura de Unidades Económicas de Bajo Impacto, cuya superficie sea menor a los 2,000 metros cuadrados.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15.-</w:t>
      </w:r>
      <w:r w:rsidRPr="007A27A5">
        <w:rPr>
          <w:rFonts w:ascii="Times New Roman" w:eastAsia="Batang" w:hAnsi="Times New Roman" w:cs="Times New Roman"/>
          <w:sz w:val="24"/>
          <w:szCs w:val="24"/>
        </w:rPr>
        <w:t xml:space="preserve"> Cuando de conformidad con la Ley Orgánica de la Administración Pública del Estado de México u otras disposiciones aplicables, los servicios que presta una Dependencia del Ejecutivo Estatal o uno de sus Organismos Auxiliares, pasen a ser proporcionados por otra u otras Dependencias u Organismos Auxiliares, se entenderá que las disposiciones señaladas en esta Ley y en el Código Financiero del Estado de México y Municipios para aquellos, se aplicarán a estos, así como cuando cambien de nombre los registros o padrones que se relacionan con los servicios o bienes previstos por la normatividad aplicable, se seguirán pagando los Derechos correspondientes conforme a los preceptos que los establecen.</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Artículo 16.- </w:t>
      </w:r>
      <w:r w:rsidRPr="007A27A5">
        <w:rPr>
          <w:rFonts w:ascii="Times New Roman" w:eastAsia="Batang" w:hAnsi="Times New Roman" w:cs="Times New Roman"/>
          <w:sz w:val="24"/>
          <w:szCs w:val="24"/>
        </w:rPr>
        <w:t>Se autoriza al Ejecutivo del Estado para que, por conducto de la Secretaría de Finanzas, durante el Ejercicio Fiscal 2026, apruebe o modifique, mediante resoluciones de carácter particular, las cuotas, tarifas y denominaciones de los Aprovechamientos a cobrar por las Dependencias del Ejecutivo Estatal.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lo dispuesto en el párrafo anterior, dichas Dependencias estarán obligadas a someter a la Secretaría de Finanzas para su aprobación, los montos y denominaciones a cobrar por concepto de Aprovechamientos.</w:t>
      </w:r>
    </w:p>
    <w:p w:rsidR="00DE3CD9" w:rsidRPr="007A27A5" w:rsidRDefault="00DE3CD9" w:rsidP="00DE3CD9">
      <w:pPr>
        <w:spacing w:after="0" w:line="240" w:lineRule="auto"/>
        <w:jc w:val="both"/>
        <w:rPr>
          <w:rFonts w:ascii="Times New Roman" w:eastAsia="Batang" w:hAnsi="Times New Roman" w:cs="Times New Roman"/>
          <w:sz w:val="24"/>
          <w:szCs w:val="24"/>
          <w:highlight w:val="yellow"/>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Con respecto a las cuotas, tarifas y denominaciones de los Aprovechamientos vigentes al 31 de diciembre de 2025, las Dependencias podrán mantener su cobro durante el periodo de enero a marzo de 2026, hasta en tanto sean aprobados los términos modificados para el Ejercicio Fiscal 2026. Asimismo, aquellas Dependencias que, durante el periodo antes referido, hayan solicitado la modificación de los Aprovechamientos correspondientes, vigentes al 31 de diciembre de 2025, </w:t>
      </w:r>
      <w:r w:rsidRPr="007A27A5">
        <w:rPr>
          <w:rFonts w:ascii="Times New Roman" w:eastAsia="Batang" w:hAnsi="Times New Roman" w:cs="Times New Roman"/>
          <w:sz w:val="24"/>
          <w:szCs w:val="24"/>
        </w:rPr>
        <w:lastRenderedPageBreak/>
        <w:t>podrán mantener su cobro hasta en tanto sea emitida la aprobación correspondiente por la Secretaría de Finanzas.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Los Aprovechamientos que no sean sometidos a la aprobación de la Secretaría de Finanzas no podrán ser cobrados por la Dependencia de que se trate a partir del 1º de abril de 2026, y hasta la fecha en que sean sometidos y aprobados mediante las resoluciones particulares referidas. </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Asimismo, los Aprovechamientos cuya aprobación haya sido negada por parte de la Secretaría de Finanzas, no podrán ser cobrados por la Dependencia de que se trate, a partir de la fecha en que surta efectos la notificación de la resolución respectiva.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Los ingresos por Aprovechamientos se podrán destinar, previa aprobación de la Secretaría de Finanzas, a cubrir erogaciones adicionales del Ente Público generador de dichos ingresos, de acuerdo con su naturaleza y según corresponda; siempre y cuando, durante el Ejercicio Fiscal 2026 se haya recaudado un monto mayor al aprobado en esta Ley y se dé cumplimiento a lo estipulado en las fracciones I y II del artículo 14 de la Ley de Disciplina Financiera de las Entidades Federativas y los Municipios, y las fracciones I y II del cuarto párrafo del artículo 317 Bis A del Código Financiero del Estado de México y Municipios.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Los ingresos por Aprovechamientos se deberán enterar a la Caja General de Gobierno de la Dirección General de Tesorería de la Subsecretaría de Tesorería de la Secretaría de Finanzas, a más tardar el décimo día del mes siguiente a aquel en que se obtuvo el ingreso, excepto en aquellos casos que se señalen expresamente en la normativa aplicable.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 las Dependencias que omitan, total o parcialmente, el cobro o entero de los Aprovechamientos establecidos en los términos de esta Ley, se les disminuirá del presupuesto asignado para el Ejercicio Fiscal 2026, una cantidad equivalente al valor de la omisión.</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bookmarkStart w:id="9" w:name="_Hlk86830298"/>
      <w:r w:rsidRPr="007A27A5">
        <w:rPr>
          <w:rFonts w:ascii="Times New Roman" w:eastAsia="Batang" w:hAnsi="Times New Roman" w:cs="Times New Roman"/>
          <w:sz w:val="24"/>
          <w:szCs w:val="24"/>
        </w:rPr>
        <w:t>Para efecto de lo dispuesto en este artículo, la Secretaría de Finanzas emitirá y publicará en el Periódico Oficial “Gaceta del Gobierno”, las Reglas de Aplicación donde se establezcan los requisitos y obligaciones relativos a la aprobación de los Aprovechamientos a cobrar en el Ejercicio Fiscal 2026, así como aquellos Aprovechamientos que no requieran de autorización para su cobro.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bookmarkStart w:id="10" w:name="_Hlk86830384"/>
      <w:bookmarkEnd w:id="9"/>
      <w:r w:rsidRPr="007A27A5">
        <w:rPr>
          <w:rFonts w:ascii="Times New Roman" w:eastAsia="Batang" w:hAnsi="Times New Roman" w:cs="Times New Roman"/>
          <w:b/>
          <w:bCs/>
          <w:sz w:val="24"/>
          <w:szCs w:val="24"/>
        </w:rPr>
        <w:t>Artículo 17.-</w:t>
      </w:r>
      <w:r w:rsidRPr="007A27A5">
        <w:rPr>
          <w:rFonts w:ascii="Times New Roman" w:eastAsia="Batang" w:hAnsi="Times New Roman" w:cs="Times New Roman"/>
          <w:sz w:val="24"/>
          <w:szCs w:val="24"/>
        </w:rPr>
        <w:t xml:space="preserve"> Se autoriza al Ejecutivo del Estado para que, por conducto de la Secretaría de Finanzas, durante el Ejercicio Fiscal 2026, apruebe o modifique, mediante resoluciones de carácter particular, las cuotas, tarifas y denominaciones de los Productos a cobrar por las Dependencias del Ejecutivo Estatal.</w:t>
      </w:r>
    </w:p>
    <w:p w:rsidR="00DE3CD9" w:rsidRPr="007A27A5" w:rsidRDefault="00DE3CD9" w:rsidP="00DE3CD9">
      <w:pPr>
        <w:spacing w:after="0" w:line="240" w:lineRule="auto"/>
        <w:jc w:val="both"/>
        <w:rPr>
          <w:rFonts w:ascii="Times New Roman" w:eastAsia="Batang" w:hAnsi="Times New Roman" w:cs="Times New Roman"/>
          <w:sz w:val="24"/>
          <w:szCs w:val="24"/>
        </w:rPr>
      </w:pPr>
    </w:p>
    <w:bookmarkEnd w:id="10"/>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lo dispuesto en el párrafo anterior, dichas Dependencias estarán obligadas a someter a la Secretaría de Finanzas para su aprobación, los montos y denominaciones a cobrar por concepto de Productos.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Con respecto a las cuotas, tarifas y denominaciones de los Productos vigentes al 31 de diciembre de 2025, las Dependencias podrán mantener su cobro durante el periodo de enero a marzo de 2026, hasta en tanto sean aprobados los términos modificados para el Ejercicio Fiscal 2026. Asimismo, aquellas Dependencias que, durante el periodo antes referido, hayan solicitado la modificación de los Productos correspondientes, vigentes al 31 de diciembre de 2025, podrán mantener su cobro hasta en tanto sea emitida la aprobación correspondiente por la Secretaría de Finanzas.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Los Productos que no sean sometidos a la aprobación de la Secretaría de Finanzas no podrán ser cobrados por la Dependencia de que se trate, a partir del 1º de abril de 2026, y hasta la fecha en que sean sometidos y aprobados mediante las resoluciones particulares referidas. Asimismo, los Productos cuya aprobación haya sido negada por parte de la Secretaría de Finanzas, no podrán ser cobrados por la Dependencia de que se trate, a partir de la fecha en que surta efectos la notificación de la resolución respectiva.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Los ingresos por Productos se podrán destinar, previa aprobación de la Secretaría de Finanzas, a cubrir erogaciones adicionales del Ente Público generador de dichos ingresos, de acuerdo con su naturaleza y según corresponda; siempre y cuando, durante el Ejercicio Fiscal 2026, se haya recaudado un monto mayor al aprobado en esta Ley y se dé cumplimiento a lo estipulado en las fracciones I y II del artículo 14 de la Ley de Disciplina Financiera de las Entidades Federativas y los Municipios y las fracciones I y II del cuarto párrafo del artículo 317 Bis A del Código Financiero del Estado de México y Municipios.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Los ingresos por Productos se deberán enterar a la Caja General de Gobierno de la Dirección General de Tesorería de la Subsecretaría de Tesorería de la Secretaría de Finanzas, a más tardar el décimo día del mes siguiente a aquel en que se obtuvo el ingreso, excepto en aquellos casos que se señalen en el Código Financiero del Estado de México y Municipios.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bookmarkStart w:id="11" w:name="_Hlk118714270"/>
      <w:r w:rsidRPr="007A27A5">
        <w:rPr>
          <w:rFonts w:ascii="Times New Roman" w:eastAsia="Batang" w:hAnsi="Times New Roman" w:cs="Times New Roman"/>
          <w:sz w:val="24"/>
          <w:szCs w:val="24"/>
        </w:rPr>
        <w:t>A las Dependencias que omitan total o parcialmente el cobro o entero de los Productos establecidos en los términos de esta Ley, se les disminuirá del presupuesto que les haya sido asignado para el Ejercicio Fiscal 2026, una cantidad equivalente al valor de la omisión.</w:t>
      </w:r>
    </w:p>
    <w:bookmarkEnd w:id="11"/>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efecto de lo dispuesto en este artículo, la Secretaría de Finanzas emitirá y publicará en el Periódico Oficial “Gaceta del Gobierno”, las Reglas de Aplicación donde se establezcan los requisitos y obligaciones relativos a la aprobación de los Productos a cobrar en el Ejercicio Fiscal 2026, así como aquellos Productos que no requieran de autorización para su cobro.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17 Bis.-</w:t>
      </w:r>
      <w:r w:rsidRPr="007A27A5">
        <w:rPr>
          <w:rFonts w:ascii="Times New Roman" w:eastAsia="Batang" w:hAnsi="Times New Roman" w:cs="Times New Roman"/>
          <w:sz w:val="24"/>
          <w:szCs w:val="24"/>
        </w:rPr>
        <w:t xml:space="preserve"> Las enajenaciones de bienes muebles e inmuebles que lleve a cabo el Ejecutivo del Estado se realizarán por conducto de la persona Titular de la Oficialía Mayor o por el funcionario que esta misma designe. Los montos máximos de enajenación mediante adjudicación directa de bienes muebles e inmuebles que realicen la Secretaría de Finanzas, las Entidades Públicas, serán los siguientes:</w:t>
      </w:r>
    </w:p>
    <w:p w:rsidR="00DE3CD9" w:rsidRPr="007A27A5" w:rsidRDefault="00DE3CD9" w:rsidP="00DE3CD9">
      <w:pPr>
        <w:spacing w:after="0" w:line="240" w:lineRule="auto"/>
        <w:jc w:val="both"/>
        <w:rPr>
          <w:rFonts w:ascii="Times New Roman" w:eastAsia="Batang" w:hAnsi="Times New Roman" w:cs="Times New Roman"/>
          <w:sz w:val="24"/>
          <w:szCs w:val="24"/>
        </w:rPr>
      </w:pPr>
    </w:p>
    <w:tbl>
      <w:tblPr>
        <w:tblStyle w:val="Tablaconcuadrcula12"/>
        <w:tblW w:w="5110" w:type="dxa"/>
        <w:jc w:val="center"/>
        <w:tblLook w:val="04A0" w:firstRow="1" w:lastRow="0" w:firstColumn="1" w:lastColumn="0" w:noHBand="0" w:noVBand="1"/>
      </w:tblPr>
      <w:tblGrid>
        <w:gridCol w:w="1242"/>
        <w:gridCol w:w="1613"/>
        <w:gridCol w:w="2255"/>
      </w:tblGrid>
      <w:tr w:rsidR="00DE3CD9" w:rsidRPr="007A27A5" w:rsidTr="00DE3CD9">
        <w:trPr>
          <w:jc w:val="center"/>
        </w:trPr>
        <w:tc>
          <w:tcPr>
            <w:tcW w:w="1242" w:type="dxa"/>
            <w:vMerge w:val="restart"/>
            <w:shd w:val="clear" w:color="auto" w:fill="D9D9D9"/>
            <w:vAlign w:val="center"/>
          </w:tcPr>
          <w:p w:rsidR="00DE3CD9" w:rsidRPr="007A27A5" w:rsidRDefault="00DE3CD9" w:rsidP="00DE3CD9">
            <w:pPr>
              <w:shd w:val="clear" w:color="000000" w:fill="FFFFFF"/>
              <w:autoSpaceDE w:val="0"/>
              <w:autoSpaceDN w:val="0"/>
              <w:adjustRightInd w:val="0"/>
              <w:spacing w:before="100" w:beforeAutospacing="1" w:afterAutospacing="1" w:line="240" w:lineRule="auto"/>
              <w:jc w:val="center"/>
              <w:textAlignment w:val="top"/>
              <w:rPr>
                <w:rFonts w:ascii="Times New Roman" w:eastAsia="Times New Roman" w:hAnsi="Times New Roman" w:cs="Times New Roman"/>
                <w:b/>
                <w:color w:val="000000"/>
                <w:sz w:val="24"/>
                <w:szCs w:val="24"/>
                <w:lang w:eastAsia="es-MX"/>
              </w:rPr>
            </w:pPr>
            <w:r w:rsidRPr="007A27A5">
              <w:rPr>
                <w:rFonts w:ascii="Times New Roman" w:eastAsia="Times New Roman" w:hAnsi="Times New Roman" w:cs="Times New Roman"/>
                <w:b/>
                <w:color w:val="000000"/>
                <w:sz w:val="24"/>
                <w:szCs w:val="24"/>
                <w:lang w:eastAsia="es-MX"/>
              </w:rPr>
              <w:t>Bienes</w:t>
            </w:r>
          </w:p>
        </w:tc>
        <w:tc>
          <w:tcPr>
            <w:tcW w:w="3868" w:type="dxa"/>
            <w:gridSpan w:val="2"/>
            <w:shd w:val="clear" w:color="auto" w:fill="D9D9D9"/>
            <w:vAlign w:val="center"/>
          </w:tcPr>
          <w:p w:rsidR="00DE3CD9" w:rsidRPr="007A27A5" w:rsidRDefault="00DE3CD9" w:rsidP="00DE3CD9">
            <w:pPr>
              <w:shd w:val="clear" w:color="000000" w:fill="FFFFFF"/>
              <w:autoSpaceDE w:val="0"/>
              <w:autoSpaceDN w:val="0"/>
              <w:adjustRightInd w:val="0"/>
              <w:spacing w:before="100" w:beforeAutospacing="1" w:afterAutospacing="1" w:line="240" w:lineRule="auto"/>
              <w:jc w:val="center"/>
              <w:textAlignment w:val="top"/>
              <w:rPr>
                <w:rFonts w:ascii="Times New Roman" w:eastAsia="Times New Roman" w:hAnsi="Times New Roman" w:cs="Times New Roman"/>
                <w:b/>
                <w:color w:val="000000"/>
                <w:sz w:val="24"/>
                <w:szCs w:val="24"/>
                <w:lang w:eastAsia="es-MX"/>
              </w:rPr>
            </w:pPr>
            <w:r w:rsidRPr="007A27A5">
              <w:rPr>
                <w:rFonts w:ascii="Times New Roman" w:eastAsia="Times New Roman" w:hAnsi="Times New Roman" w:cs="Times New Roman"/>
                <w:b/>
                <w:color w:val="000000"/>
                <w:sz w:val="24"/>
                <w:szCs w:val="24"/>
                <w:lang w:eastAsia="es-MX"/>
              </w:rPr>
              <w:t>Monto máximo de cada operación</w:t>
            </w:r>
          </w:p>
        </w:tc>
      </w:tr>
      <w:tr w:rsidR="00DE3CD9" w:rsidRPr="007A27A5" w:rsidTr="00DE3CD9">
        <w:trPr>
          <w:trHeight w:val="680"/>
          <w:jc w:val="center"/>
        </w:trPr>
        <w:tc>
          <w:tcPr>
            <w:tcW w:w="1242" w:type="dxa"/>
            <w:vMerge/>
            <w:shd w:val="clear" w:color="auto" w:fill="D9D9D9"/>
          </w:tcPr>
          <w:p w:rsidR="00DE3CD9" w:rsidRPr="007A27A5" w:rsidRDefault="00DE3CD9" w:rsidP="00DE3CD9">
            <w:pPr>
              <w:shd w:val="clear" w:color="000000" w:fill="FFFFFF"/>
              <w:autoSpaceDE w:val="0"/>
              <w:autoSpaceDN w:val="0"/>
              <w:adjustRightInd w:val="0"/>
              <w:spacing w:before="100" w:beforeAutospacing="1" w:afterAutospacing="1" w:line="240" w:lineRule="auto"/>
              <w:jc w:val="both"/>
              <w:textAlignment w:val="top"/>
              <w:rPr>
                <w:rFonts w:ascii="Times New Roman" w:eastAsia="Times New Roman" w:hAnsi="Times New Roman" w:cs="Times New Roman"/>
                <w:b/>
                <w:color w:val="000000"/>
                <w:sz w:val="24"/>
                <w:szCs w:val="24"/>
                <w:lang w:eastAsia="es-MX"/>
              </w:rPr>
            </w:pPr>
          </w:p>
        </w:tc>
        <w:tc>
          <w:tcPr>
            <w:tcW w:w="1613" w:type="dxa"/>
            <w:shd w:val="clear" w:color="auto" w:fill="D9D9D9"/>
            <w:vAlign w:val="center"/>
          </w:tcPr>
          <w:p w:rsidR="00DE3CD9" w:rsidRPr="007A27A5" w:rsidRDefault="00DE3CD9" w:rsidP="00DE3CD9">
            <w:pPr>
              <w:shd w:val="clear" w:color="000000" w:fill="FFFFFF"/>
              <w:autoSpaceDE w:val="0"/>
              <w:autoSpaceDN w:val="0"/>
              <w:adjustRightInd w:val="0"/>
              <w:spacing w:before="100" w:beforeAutospacing="1" w:afterAutospacing="1" w:line="240" w:lineRule="auto"/>
              <w:jc w:val="center"/>
              <w:textAlignment w:val="top"/>
              <w:rPr>
                <w:rFonts w:ascii="Times New Roman" w:eastAsia="Times New Roman" w:hAnsi="Times New Roman" w:cs="Times New Roman"/>
                <w:b/>
                <w:color w:val="000000"/>
                <w:sz w:val="24"/>
                <w:szCs w:val="24"/>
                <w:lang w:eastAsia="es-MX"/>
              </w:rPr>
            </w:pPr>
            <w:r w:rsidRPr="007A27A5">
              <w:rPr>
                <w:rFonts w:ascii="Times New Roman" w:eastAsia="Times New Roman" w:hAnsi="Times New Roman" w:cs="Times New Roman"/>
                <w:b/>
                <w:color w:val="000000"/>
                <w:sz w:val="24"/>
                <w:szCs w:val="24"/>
                <w:lang w:eastAsia="es-MX"/>
              </w:rPr>
              <w:t>Mayor de</w:t>
            </w:r>
          </w:p>
        </w:tc>
        <w:tc>
          <w:tcPr>
            <w:tcW w:w="2255" w:type="dxa"/>
            <w:shd w:val="clear" w:color="auto" w:fill="D9D9D9"/>
            <w:vAlign w:val="center"/>
          </w:tcPr>
          <w:p w:rsidR="00DE3CD9" w:rsidRPr="007A27A5" w:rsidRDefault="00DE3CD9" w:rsidP="00DE3CD9">
            <w:pPr>
              <w:shd w:val="clear" w:color="000000" w:fill="FFFFFF"/>
              <w:autoSpaceDE w:val="0"/>
              <w:autoSpaceDN w:val="0"/>
              <w:adjustRightInd w:val="0"/>
              <w:spacing w:before="100" w:beforeAutospacing="1" w:afterAutospacing="1" w:line="240" w:lineRule="auto"/>
              <w:jc w:val="center"/>
              <w:textAlignment w:val="top"/>
              <w:rPr>
                <w:rFonts w:ascii="Times New Roman" w:eastAsia="Times New Roman" w:hAnsi="Times New Roman" w:cs="Times New Roman"/>
                <w:b/>
                <w:color w:val="000000"/>
                <w:sz w:val="24"/>
                <w:szCs w:val="24"/>
                <w:lang w:eastAsia="es-MX"/>
              </w:rPr>
            </w:pPr>
            <w:r w:rsidRPr="007A27A5">
              <w:rPr>
                <w:rFonts w:ascii="Times New Roman" w:eastAsia="Times New Roman" w:hAnsi="Times New Roman" w:cs="Times New Roman"/>
                <w:b/>
                <w:color w:val="000000"/>
                <w:sz w:val="24"/>
                <w:szCs w:val="24"/>
                <w:lang w:eastAsia="es-MX"/>
              </w:rPr>
              <w:t>Hasta</w:t>
            </w:r>
          </w:p>
        </w:tc>
      </w:tr>
      <w:tr w:rsidR="00DE3CD9" w:rsidRPr="007A27A5" w:rsidTr="00DE3CD9">
        <w:trPr>
          <w:jc w:val="center"/>
        </w:trPr>
        <w:tc>
          <w:tcPr>
            <w:tcW w:w="1242" w:type="dxa"/>
          </w:tcPr>
          <w:p w:rsidR="00DE3CD9" w:rsidRPr="007A27A5" w:rsidRDefault="00DE3CD9" w:rsidP="00DE3CD9">
            <w:pPr>
              <w:shd w:val="clear" w:color="000000" w:fill="FFFFFF"/>
              <w:autoSpaceDE w:val="0"/>
              <w:autoSpaceDN w:val="0"/>
              <w:adjustRightInd w:val="0"/>
              <w:spacing w:before="100" w:beforeAutospacing="1" w:afterAutospacing="1" w:line="240" w:lineRule="auto"/>
              <w:jc w:val="both"/>
              <w:textAlignment w:val="top"/>
              <w:rPr>
                <w:rFonts w:ascii="Times New Roman" w:eastAsia="Times New Roman" w:hAnsi="Times New Roman" w:cs="Times New Roman"/>
                <w:bCs/>
                <w:color w:val="000000"/>
                <w:sz w:val="24"/>
                <w:szCs w:val="24"/>
                <w:lang w:eastAsia="es-MX"/>
              </w:rPr>
            </w:pPr>
            <w:r w:rsidRPr="007A27A5">
              <w:rPr>
                <w:rFonts w:ascii="Times New Roman" w:eastAsia="Times New Roman" w:hAnsi="Times New Roman" w:cs="Times New Roman"/>
                <w:bCs/>
                <w:color w:val="000000"/>
                <w:sz w:val="24"/>
                <w:szCs w:val="24"/>
                <w:lang w:eastAsia="es-MX"/>
              </w:rPr>
              <w:t>Muebles</w:t>
            </w:r>
          </w:p>
        </w:tc>
        <w:tc>
          <w:tcPr>
            <w:tcW w:w="1613" w:type="dxa"/>
            <w:vAlign w:val="center"/>
          </w:tcPr>
          <w:p w:rsidR="00DE3CD9" w:rsidRPr="007A27A5" w:rsidRDefault="00DE3CD9" w:rsidP="00DE3CD9">
            <w:pPr>
              <w:shd w:val="clear" w:color="000000" w:fill="FFFFFF"/>
              <w:autoSpaceDE w:val="0"/>
              <w:autoSpaceDN w:val="0"/>
              <w:adjustRightInd w:val="0"/>
              <w:spacing w:before="100" w:beforeAutospacing="1" w:afterAutospacing="1" w:line="240" w:lineRule="auto"/>
              <w:jc w:val="right"/>
              <w:textAlignment w:val="top"/>
              <w:rPr>
                <w:rFonts w:ascii="Times New Roman" w:eastAsia="Times New Roman" w:hAnsi="Times New Roman" w:cs="Times New Roman"/>
                <w:bCs/>
                <w:color w:val="000000"/>
                <w:sz w:val="24"/>
                <w:szCs w:val="24"/>
                <w:lang w:eastAsia="es-MX"/>
              </w:rPr>
            </w:pPr>
            <w:r w:rsidRPr="007A27A5">
              <w:rPr>
                <w:rFonts w:ascii="Times New Roman" w:eastAsia="Times New Roman" w:hAnsi="Times New Roman" w:cs="Times New Roman"/>
                <w:bCs/>
                <w:color w:val="000000"/>
                <w:sz w:val="24"/>
                <w:szCs w:val="24"/>
                <w:lang w:eastAsia="es-MX"/>
              </w:rPr>
              <w:t>$0.00</w:t>
            </w:r>
          </w:p>
        </w:tc>
        <w:tc>
          <w:tcPr>
            <w:tcW w:w="2255" w:type="dxa"/>
            <w:vAlign w:val="center"/>
          </w:tcPr>
          <w:p w:rsidR="00DE3CD9" w:rsidRPr="007A27A5" w:rsidRDefault="00DE3CD9" w:rsidP="00DE3CD9">
            <w:pPr>
              <w:shd w:val="clear" w:color="000000" w:fill="FFFFFF"/>
              <w:autoSpaceDE w:val="0"/>
              <w:autoSpaceDN w:val="0"/>
              <w:adjustRightInd w:val="0"/>
              <w:spacing w:before="100" w:beforeAutospacing="1" w:afterAutospacing="1" w:line="240" w:lineRule="auto"/>
              <w:jc w:val="right"/>
              <w:textAlignment w:val="top"/>
              <w:rPr>
                <w:rFonts w:ascii="Times New Roman" w:eastAsia="Times New Roman" w:hAnsi="Times New Roman" w:cs="Times New Roman"/>
                <w:bCs/>
                <w:color w:val="000000"/>
                <w:sz w:val="24"/>
                <w:szCs w:val="24"/>
                <w:lang w:eastAsia="es-MX"/>
              </w:rPr>
            </w:pPr>
            <w:r w:rsidRPr="007A27A5">
              <w:rPr>
                <w:rFonts w:ascii="Times New Roman" w:eastAsia="Times New Roman" w:hAnsi="Times New Roman" w:cs="Times New Roman"/>
                <w:bCs/>
                <w:color w:val="000000"/>
                <w:sz w:val="24"/>
                <w:szCs w:val="24"/>
                <w:lang w:eastAsia="es-MX"/>
              </w:rPr>
              <w:t>$600,000.00</w:t>
            </w:r>
          </w:p>
        </w:tc>
      </w:tr>
      <w:tr w:rsidR="00DE3CD9" w:rsidRPr="007A27A5" w:rsidTr="00DE3CD9">
        <w:trPr>
          <w:jc w:val="center"/>
        </w:trPr>
        <w:tc>
          <w:tcPr>
            <w:tcW w:w="1242" w:type="dxa"/>
          </w:tcPr>
          <w:p w:rsidR="00DE3CD9" w:rsidRPr="007A27A5" w:rsidRDefault="00DE3CD9" w:rsidP="00DE3CD9">
            <w:pPr>
              <w:shd w:val="clear" w:color="000000" w:fill="FFFFFF"/>
              <w:autoSpaceDE w:val="0"/>
              <w:autoSpaceDN w:val="0"/>
              <w:adjustRightInd w:val="0"/>
              <w:spacing w:before="100" w:beforeAutospacing="1" w:afterAutospacing="1" w:line="240" w:lineRule="auto"/>
              <w:jc w:val="both"/>
              <w:textAlignment w:val="top"/>
              <w:rPr>
                <w:rFonts w:ascii="Times New Roman" w:eastAsia="Times New Roman" w:hAnsi="Times New Roman" w:cs="Times New Roman"/>
                <w:bCs/>
                <w:color w:val="000000"/>
                <w:sz w:val="24"/>
                <w:szCs w:val="24"/>
                <w:lang w:eastAsia="es-MX"/>
              </w:rPr>
            </w:pPr>
            <w:r w:rsidRPr="007A27A5">
              <w:rPr>
                <w:rFonts w:ascii="Times New Roman" w:eastAsia="Times New Roman" w:hAnsi="Times New Roman" w:cs="Times New Roman"/>
                <w:bCs/>
                <w:color w:val="000000"/>
                <w:sz w:val="24"/>
                <w:szCs w:val="24"/>
                <w:lang w:eastAsia="es-MX"/>
              </w:rPr>
              <w:t>Inmuebles</w:t>
            </w:r>
          </w:p>
        </w:tc>
        <w:tc>
          <w:tcPr>
            <w:tcW w:w="1613" w:type="dxa"/>
            <w:vAlign w:val="center"/>
          </w:tcPr>
          <w:p w:rsidR="00DE3CD9" w:rsidRPr="007A27A5" w:rsidRDefault="00DE3CD9" w:rsidP="00DE3CD9">
            <w:pPr>
              <w:shd w:val="clear" w:color="000000" w:fill="FFFFFF"/>
              <w:autoSpaceDE w:val="0"/>
              <w:autoSpaceDN w:val="0"/>
              <w:adjustRightInd w:val="0"/>
              <w:spacing w:before="100" w:beforeAutospacing="1" w:afterAutospacing="1" w:line="240" w:lineRule="auto"/>
              <w:jc w:val="right"/>
              <w:textAlignment w:val="top"/>
              <w:rPr>
                <w:rFonts w:ascii="Times New Roman" w:eastAsia="Times New Roman" w:hAnsi="Times New Roman" w:cs="Times New Roman"/>
                <w:bCs/>
                <w:color w:val="000000"/>
                <w:sz w:val="24"/>
                <w:szCs w:val="24"/>
                <w:lang w:eastAsia="es-MX"/>
              </w:rPr>
            </w:pPr>
            <w:r w:rsidRPr="007A27A5">
              <w:rPr>
                <w:rFonts w:ascii="Times New Roman" w:eastAsia="Times New Roman" w:hAnsi="Times New Roman" w:cs="Times New Roman"/>
                <w:bCs/>
                <w:color w:val="000000"/>
                <w:sz w:val="24"/>
                <w:szCs w:val="24"/>
                <w:lang w:eastAsia="es-MX"/>
              </w:rPr>
              <w:t>$0.00</w:t>
            </w:r>
          </w:p>
        </w:tc>
        <w:tc>
          <w:tcPr>
            <w:tcW w:w="2255" w:type="dxa"/>
            <w:vAlign w:val="center"/>
          </w:tcPr>
          <w:p w:rsidR="00DE3CD9" w:rsidRPr="007A27A5" w:rsidRDefault="00DE3CD9" w:rsidP="00DE3CD9">
            <w:pPr>
              <w:shd w:val="clear" w:color="000000" w:fill="FFFFFF"/>
              <w:autoSpaceDE w:val="0"/>
              <w:autoSpaceDN w:val="0"/>
              <w:adjustRightInd w:val="0"/>
              <w:spacing w:before="100" w:beforeAutospacing="1" w:afterAutospacing="1" w:line="240" w:lineRule="auto"/>
              <w:jc w:val="right"/>
              <w:textAlignment w:val="top"/>
              <w:rPr>
                <w:rFonts w:ascii="Times New Roman" w:eastAsia="Times New Roman" w:hAnsi="Times New Roman" w:cs="Times New Roman"/>
                <w:bCs/>
                <w:color w:val="000000"/>
                <w:sz w:val="24"/>
                <w:szCs w:val="24"/>
                <w:lang w:eastAsia="es-MX"/>
              </w:rPr>
            </w:pPr>
            <w:r w:rsidRPr="007A27A5">
              <w:rPr>
                <w:rFonts w:ascii="Times New Roman" w:eastAsia="Times New Roman" w:hAnsi="Times New Roman" w:cs="Times New Roman"/>
                <w:bCs/>
                <w:color w:val="000000"/>
                <w:sz w:val="24"/>
                <w:szCs w:val="24"/>
                <w:lang w:eastAsia="es-MX"/>
              </w:rPr>
              <w:t>$5,000,000.00</w:t>
            </w:r>
          </w:p>
        </w:tc>
      </w:tr>
    </w:tbl>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bookmarkStart w:id="12" w:name="_Hlk118800629"/>
      <w:r w:rsidRPr="007A27A5">
        <w:rPr>
          <w:rFonts w:ascii="Times New Roman" w:eastAsia="Batang" w:hAnsi="Times New Roman" w:cs="Times New Roman"/>
          <w:b/>
          <w:bCs/>
          <w:sz w:val="24"/>
          <w:szCs w:val="24"/>
        </w:rPr>
        <w:t>Artículo 18.-</w:t>
      </w:r>
      <w:r w:rsidRPr="007A27A5">
        <w:rPr>
          <w:rFonts w:ascii="Times New Roman" w:eastAsia="Batang" w:hAnsi="Times New Roman" w:cs="Times New Roman"/>
          <w:sz w:val="24"/>
          <w:szCs w:val="24"/>
        </w:rPr>
        <w:t xml:space="preserve"> Las Entidades Públicas señaladas en el artículo 1 de esta Ley, podrán cobrar los montos y denominaciones de los precios y tarifas que correspondan por los bienes y servicios que presten, durante el Ejercicio Fiscal 2026.</w:t>
      </w:r>
    </w:p>
    <w:p w:rsidR="00DE3CD9" w:rsidRPr="007A27A5" w:rsidRDefault="00DE3CD9" w:rsidP="00DE3CD9">
      <w:pPr>
        <w:spacing w:after="0" w:line="240" w:lineRule="auto"/>
        <w:jc w:val="both"/>
        <w:rPr>
          <w:rFonts w:ascii="Times New Roman" w:eastAsia="Batang" w:hAnsi="Times New Roman" w:cs="Times New Roman"/>
          <w:sz w:val="24"/>
          <w:szCs w:val="24"/>
        </w:rPr>
      </w:pPr>
    </w:p>
    <w:bookmarkEnd w:id="12"/>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lo dispuesto en el párrafo anterior, las Entidades Públicas estarán obligadas a informar a la Secretaría de Finanzas los montos y denominaciones de dichos bienes y servicios.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Tratándose de los montos y denominaciones de los precios y tarifas de los bienes y servicios prestados vigentes al 31 de diciembre de 2025, las Entidades Públicas podrán mantener su cobro durante el periodo de enero a marzo de 2026, hasta en tanto sean informados los términos para el Ejercicio Fiscal 2026. Asimismo, aquellas Entidades Públicas que, durante el periodo antes referido, hayan informado a la Secretaría de Finanzas los bienes y servicios a cobrar para el Ejercicio Fiscal 2026, podrán mantener el cobro vigente al 31 de diciembre de 2025, hasta en tanto entren en vigor los conceptos informados.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Secretaría de Finanzas podrá, mediante resoluciones de carácter particular, modificar los montos y denominaciones de los precios y tarifas por los bienes y servicios que sean informados.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bookmarkStart w:id="13" w:name="_Hlk118800712"/>
      <w:r w:rsidRPr="007A27A5">
        <w:rPr>
          <w:rFonts w:ascii="Times New Roman" w:eastAsia="Batang" w:hAnsi="Times New Roman" w:cs="Times New Roman"/>
          <w:sz w:val="24"/>
          <w:szCs w:val="24"/>
        </w:rPr>
        <w:t>Los precios y tarifas que no sean informados a la Secretaría de Finanzas no podrán ser cobrados por la Entidad Pública de que se trate a partir del 1º de abril de dicho año y hasta la fecha en que sean informados.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efecto de lo dispuesto en este artículo, la Secretaría de Finanzas emitirá y publicará en el Periódico Oficial “Gaceta del Gobierno”, las Reglas de Aplicación donde se establezcan los requisitos, obligaciones y procedimientos para informar los montos y denominaciones de los precios y tarifas por los bienes y servicios a cobrar en el Ejercicio Fiscal 2026.</w:t>
      </w:r>
    </w:p>
    <w:p w:rsidR="00DE3CD9" w:rsidRPr="007A27A5" w:rsidRDefault="00DE3CD9" w:rsidP="00DE3CD9">
      <w:pPr>
        <w:spacing w:after="0" w:line="240" w:lineRule="auto"/>
        <w:jc w:val="both"/>
        <w:rPr>
          <w:rFonts w:ascii="Times New Roman" w:eastAsia="Batang" w:hAnsi="Times New Roman" w:cs="Times New Roman"/>
          <w:b/>
          <w:bCs/>
          <w:sz w:val="24"/>
          <w:szCs w:val="24"/>
        </w:rPr>
      </w:pPr>
    </w:p>
    <w:bookmarkEnd w:id="13"/>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19.-</w:t>
      </w:r>
      <w:r w:rsidRPr="007A27A5">
        <w:rPr>
          <w:rFonts w:ascii="Times New Roman" w:eastAsia="Batang" w:hAnsi="Times New Roman" w:cs="Times New Roman"/>
          <w:sz w:val="24"/>
          <w:szCs w:val="24"/>
        </w:rPr>
        <w:t xml:space="preserve"> Se podrán cancelar los créditos fiscales determinados con anterioridad al 1º de enero de 2022, cuyo cobro sea competencia de la Secretaría de Finanzas, cuando el importe de dichos créditos al 31 de diciembre de 2021 sea inferior o igual al valor diario de ciento treinta y seis Unidades de Medida y Actualización, vigente a la fecha de cancelación, en términos de la Ley para Determinar el Valor de la Unidad de Medida y Actualización. No procederá la cancelación, cuando existan dos o más créditos a cargo de una misma persona y la suma de ellos exceda el valor diario de ciento treinta y seis Unidades de Medida y Actualización, vigente a la fecha de cancelación, ni cuando se trate de créditos derivados del Impuesto sobre Tenencia o Uso de Vehículos Automotores.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Asimismo, se faculta a la Secretaría de Finanzas para que lleve a cabo la cancelación de los créditos fiscales estatales, cuyo cobro le corresponda efectuar, en los casos en que exista incosteabilidad, imposibilidad práctica de cobro o insolvencia de los deudores, las cuales se determinarán conforme al artículo 45 del Código Financiero del Estado de México y Municipios.</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bookmarkStart w:id="14" w:name="_Hlk118800790"/>
      <w:r w:rsidRPr="007A27A5">
        <w:rPr>
          <w:rFonts w:ascii="Times New Roman" w:eastAsia="Batang" w:hAnsi="Times New Roman" w:cs="Times New Roman"/>
          <w:sz w:val="24"/>
          <w:szCs w:val="24"/>
        </w:rPr>
        <w:t>Se autoriza a la Secretaría de Finanzas para realizar la cancelación y, en consecuencia, la extinción de los créditos fiscales derivados del Impuesto sobre Tenencia o Uso de Vehículos y Derechos de control vehicular, respecto de los vehículos que, conforme al Código Administrativo del Estado de México, hayan sido declarados en abandono en favor del Estado.</w:t>
      </w:r>
    </w:p>
    <w:p w:rsidR="00DE3CD9" w:rsidRPr="007A27A5" w:rsidRDefault="00DE3CD9" w:rsidP="00DE3CD9">
      <w:pPr>
        <w:spacing w:after="0" w:line="240" w:lineRule="auto"/>
        <w:jc w:val="both"/>
        <w:rPr>
          <w:rFonts w:ascii="Times New Roman" w:eastAsia="Batang" w:hAnsi="Times New Roman" w:cs="Times New Roman"/>
          <w:b/>
          <w:bCs/>
          <w:sz w:val="24"/>
          <w:szCs w:val="24"/>
        </w:rPr>
      </w:pPr>
    </w:p>
    <w:bookmarkEnd w:id="14"/>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Secretaría de Finanzas emitirá y publicará en el Periódico Oficial “Gaceta del Gobierno”, las Reglas de Carácter General necesarias para la debida aplicación de lo dispuesto en este artículo.</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Artículo 20.- </w:t>
      </w:r>
      <w:r w:rsidRPr="007A27A5">
        <w:rPr>
          <w:rFonts w:ascii="Times New Roman" w:eastAsia="Batang" w:hAnsi="Times New Roman" w:cs="Times New Roman"/>
          <w:sz w:val="24"/>
          <w:szCs w:val="24"/>
        </w:rPr>
        <w:t>Se ratifican los convenios que se hayan celebrado entre el Poder Ejecutivo del Estado por una parte y la Federación, Municipios y Organismos Autónomos por la otra, en los cuales se finiquiten adeudos entre ellos, así como los actos administrativos, Convenios y Acuerdos que haya expedido o en que haya participado el Poder Ejecutivo, derivados del ejercicio de la actividad financiera y/o económica del Estado.</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Asimismo, se ratifican los apoyos financieros a cuenta de Participaciones otorgados por el Ejecutivo Estatal a los Municipios durante el Ejercicio Fiscal 2025.</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Artículo 21</w:t>
      </w:r>
      <w:r w:rsidRPr="007A27A5">
        <w:rPr>
          <w:rFonts w:ascii="Times New Roman" w:eastAsia="Batang" w:hAnsi="Times New Roman" w:cs="Times New Roman"/>
          <w:sz w:val="24"/>
          <w:szCs w:val="24"/>
        </w:rPr>
        <w:t xml:space="preserve">.- Los contribuyentes obligados al pago de Impuestos Ecológicos gozarán de los siguientes subsidios: </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F068E2">
      <w:pPr>
        <w:numPr>
          <w:ilvl w:val="0"/>
          <w:numId w:val="6"/>
        </w:numPr>
        <w:spacing w:after="0" w:line="240" w:lineRule="auto"/>
        <w:ind w:left="598" w:hanging="598"/>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Del 100 por ciento por los 12 meses posteriores al inicio de operaciones en la Entidad; sobre los Impuestos Ecológicos de Emisión de Gases Contaminantes a la Atmósfera, Disposición, Confinamiento y Almacenamiento de Residuos y Emisión de Contaminantes al Agua; para contribuyentes que durante el Ejercicio Fiscal 2026, inicien operaciones por primera vez con sus fuentes de empleo y domicilio fiscal en el Estado de México de conformidad con la normativa aplicable.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6"/>
        </w:numPr>
        <w:spacing w:after="0" w:line="240" w:lineRule="auto"/>
        <w:ind w:left="598" w:hanging="598"/>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Del 50 por ciento por 12 meses sobre el Impuesto Ecológico a la Disposición, Confinamiento y Almacenamiento de Residuos, para contribuyentes que durante el Ejercicio Fiscal 2026, formulen y ejecuten un Plan de Manejo de Residuos, en el territorio del Estado de México, autorizado por la Secretaría del Medio Ambiente y Desarrollo Sostenible, conforme a la Ley General para la Prevención y Gestión Integral de los Residuos, su Reglamento, las normas oficiales mexicanas, el Libro Cuarto del Código para la Biodiversidad del Estado de México, su Reglamento y demás normativa aplicable.</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6"/>
        </w:numPr>
        <w:spacing w:after="0" w:line="240" w:lineRule="auto"/>
        <w:ind w:left="598" w:hanging="598"/>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Del 30 por ciento por 12 meses sobre el Impuesto a la Emisión de Gases Contaminantes a la Atmósfera, a contribuyentes que durante el Ejercicio Fiscal 2026, implementen energías limpias o tecnologías sustentables, mediante fuentes móviles, en el territorio del Estado de México, respecto a recursos reportados por tales conceptos en el Ejercicio Fiscal 2025, contra la base gravable del impuesto determinado en la declaración anual. Se podrán considerar como acciones de implementación de energías limpias o tecnologías sustentables de conformidad con la normativa aplicable, la sustitución de su parque vehicular, accionado con combustibles fósiles, por automotores híbridos o eléctricos.</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6"/>
        </w:numPr>
        <w:spacing w:after="0" w:line="240" w:lineRule="auto"/>
        <w:ind w:left="598" w:hanging="598"/>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Del 100 por ciento durante el Ejercicio Fiscal 2026, sobre el Impuesto Ecológico a la Disposición, Confinamiento y Almacenamiento de Residuos, a contribuyentes que dispongan residuos de construcción en el territorio del Estado de México, mientras no operen Centros Integrales de manejo de residuos de conformidad con la normativa aplicable.</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6"/>
        </w:numPr>
        <w:spacing w:after="0" w:line="240" w:lineRule="auto"/>
        <w:ind w:left="598" w:hanging="598"/>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Del 50 por ciento por 12 meses sobre el Impuesto a la Emisión de Contaminantes al Agua a contribuyentes que durante el Ejercicio Fiscal 2026, realicen inversiones para la instalación y operación de sistemas de tratamiento de agua, con el objeto de sustituir el agua potable por agua residual tratada en sus procesos, en el territorio del Estado de México, de conformidad con la normativa aplicable.</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F068E2">
      <w:pPr>
        <w:numPr>
          <w:ilvl w:val="0"/>
          <w:numId w:val="6"/>
        </w:numPr>
        <w:spacing w:after="0" w:line="240" w:lineRule="auto"/>
        <w:ind w:left="598" w:hanging="598"/>
        <w:contextualSpacing/>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Del 50 por ciento por 12 meses sobre el Impuesto a la Emisión de Contaminantes al Agua, a contribuyentes que durante el Ejercicio Fiscal 2026, instalen y operen sistemas para la captación de agua de lluvia para usarla en sus procesos, en el territorio del Estado de México, de conformidad con la normativa aplicable.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Para acceder a los beneficios que señala el presente artículo, se deberá cumplir con los requisitos establecidos mediante las Reglas de Carácter General que al efecto emita y publique la Secretaría de Finanzas en el Periódico Oficial “Gaceta del Gobierno”.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center"/>
        <w:rPr>
          <w:rFonts w:ascii="Times New Roman" w:eastAsia="Batang" w:hAnsi="Times New Roman" w:cs="Times New Roman"/>
          <w:b/>
          <w:bCs/>
          <w:sz w:val="24"/>
          <w:szCs w:val="24"/>
        </w:rPr>
      </w:pPr>
      <w:r w:rsidRPr="007A27A5">
        <w:rPr>
          <w:rFonts w:ascii="Times New Roman" w:eastAsia="Batang" w:hAnsi="Times New Roman" w:cs="Times New Roman"/>
          <w:b/>
          <w:bCs/>
          <w:sz w:val="24"/>
          <w:szCs w:val="24"/>
        </w:rPr>
        <w:t>T R A N S I T O R I O 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PRIMERO.- </w:t>
      </w:r>
      <w:r w:rsidRPr="007A27A5">
        <w:rPr>
          <w:rFonts w:ascii="Times New Roman" w:eastAsia="Batang" w:hAnsi="Times New Roman" w:cs="Times New Roman"/>
          <w:sz w:val="24"/>
          <w:szCs w:val="24"/>
        </w:rPr>
        <w:t>Publíquese la presente Ley en el Periódico Oficial “Gaceta del Gobierno”.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SEGUNDO.-</w:t>
      </w:r>
      <w:r w:rsidRPr="007A27A5">
        <w:rPr>
          <w:rFonts w:ascii="Times New Roman" w:eastAsia="Batang" w:hAnsi="Times New Roman" w:cs="Times New Roman"/>
          <w:sz w:val="24"/>
          <w:szCs w:val="24"/>
        </w:rPr>
        <w:t xml:space="preserve"> La presente Ley entrará en vigor el día 01 de enero de 2026.</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TERCERO.-</w:t>
      </w:r>
      <w:r w:rsidRPr="007A27A5">
        <w:rPr>
          <w:rFonts w:ascii="Times New Roman" w:eastAsia="Batang" w:hAnsi="Times New Roman" w:cs="Times New Roman"/>
          <w:sz w:val="24"/>
          <w:szCs w:val="24"/>
        </w:rPr>
        <w:t xml:space="preserve"> Para efectos de registro en la contabilidad del Gobierno del Estado y para su integración en la Cuenta Pública correspondiente, los ingresos que obtenga el Estado con motivo de la aplicación del Presupuesto de Egresos de la Federación no considerados en el artículo 1 de esta Ley, se registrarán en el fondo de que se trate o bien como otros apoyos federales, de conformidad con la normativa aplicable.</w:t>
      </w:r>
    </w:p>
    <w:p w:rsidR="00DE3CD9" w:rsidRPr="007A27A5" w:rsidRDefault="00DE3CD9" w:rsidP="00DE3CD9">
      <w:pPr>
        <w:spacing w:after="0" w:line="240" w:lineRule="auto"/>
        <w:jc w:val="both"/>
        <w:rPr>
          <w:rFonts w:ascii="Times New Roman" w:eastAsia="Batang" w:hAnsi="Times New Roman" w:cs="Times New Roman"/>
          <w:b/>
          <w:sz w:val="24"/>
          <w:szCs w:val="24"/>
        </w:rPr>
      </w:pPr>
    </w:p>
    <w:p w:rsidR="00DE3CD9" w:rsidRPr="007A27A5" w:rsidRDefault="00DE3CD9" w:rsidP="00DE3CD9">
      <w:pPr>
        <w:spacing w:after="0" w:line="240" w:lineRule="auto"/>
        <w:jc w:val="both"/>
        <w:rPr>
          <w:rFonts w:ascii="Times New Roman" w:eastAsia="Batang" w:hAnsi="Times New Roman" w:cs="Times New Roman"/>
          <w:bCs/>
          <w:sz w:val="24"/>
          <w:szCs w:val="24"/>
        </w:rPr>
      </w:pPr>
      <w:bookmarkStart w:id="15" w:name="_Hlk118714650"/>
      <w:r w:rsidRPr="007A27A5">
        <w:rPr>
          <w:rFonts w:ascii="Times New Roman" w:eastAsia="Batang" w:hAnsi="Times New Roman" w:cs="Times New Roman"/>
          <w:b/>
          <w:sz w:val="24"/>
          <w:szCs w:val="24"/>
        </w:rPr>
        <w:t xml:space="preserve">CUARTO.- </w:t>
      </w:r>
      <w:r w:rsidRPr="007A27A5">
        <w:rPr>
          <w:rFonts w:ascii="Times New Roman" w:eastAsia="Batang" w:hAnsi="Times New Roman" w:cs="Times New Roman"/>
          <w:bCs/>
          <w:sz w:val="24"/>
          <w:szCs w:val="24"/>
        </w:rPr>
        <w:t>Las referencias que en otros ordenamientos, reglamentos, acuerdos o demás normativa aplicable hagan alusión a las Contribuciones o Aportaciones de Mejora, se entenderán a las Contribuciones de Mejora establecidas en esta Ley.</w:t>
      </w:r>
    </w:p>
    <w:p w:rsidR="00DE3CD9" w:rsidRPr="007A27A5" w:rsidRDefault="00DE3CD9" w:rsidP="00DE3CD9">
      <w:pPr>
        <w:spacing w:after="0" w:line="240" w:lineRule="auto"/>
        <w:jc w:val="center"/>
        <w:rPr>
          <w:rFonts w:ascii="Times New Roman" w:eastAsia="Batang" w:hAnsi="Times New Roman" w:cs="Times New Roman"/>
          <w:b/>
          <w:bCs/>
          <w:sz w:val="24"/>
          <w:szCs w:val="24"/>
        </w:rPr>
      </w:pPr>
    </w:p>
    <w:bookmarkEnd w:id="15"/>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QUINTO.-</w:t>
      </w:r>
      <w:r w:rsidRPr="007A27A5">
        <w:rPr>
          <w:rFonts w:ascii="Times New Roman" w:eastAsia="Batang" w:hAnsi="Times New Roman" w:cs="Times New Roman"/>
          <w:sz w:val="24"/>
          <w:szCs w:val="24"/>
        </w:rPr>
        <w:t xml:space="preserve"> La Secretaría de Finanzas emitirá y publicará en el Periódico Oficial “Gaceta del Gobierno” las Reglas de Carácter General a las que se refieren los artículos 3, 4, 9, 10, 11, 12, 19 y 21 de esta Ley, a más tardar en el mes de febrero de 2026.</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Asimismo, la Secretaría de Finanzas emitirá y publicará en el Periódico Oficial “Gaceta del Gobierno”, las Reglas de Aplicación a las que hacen referencia los artículos 16, 17 y 18 de esta Ley, a más tardar en el mes de febrero de 2026.</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SEXTO.-</w:t>
      </w:r>
      <w:r w:rsidRPr="007A27A5">
        <w:rPr>
          <w:rFonts w:ascii="Times New Roman" w:eastAsia="Batang" w:hAnsi="Times New Roman" w:cs="Times New Roman"/>
          <w:sz w:val="24"/>
          <w:szCs w:val="24"/>
        </w:rPr>
        <w:t xml:space="preserve"> En el caso de que las Entidades Públicas no suscriban los convenios a que refiere el artículo 3, segundo párrafo de esta Ley, en el plazo establecido para tal efecto se impondrá a la persona servidora pública titular de la Entidad Pública, sanción pecuniaria consistente de quince veces el valor diario a seis veces el valor mensual de la Unidad de Medida y Actualización vigente, de conformidad con la normativa aplicable.</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SÉPTIMO.-</w:t>
      </w:r>
      <w:r w:rsidRPr="007A27A5">
        <w:rPr>
          <w:rFonts w:ascii="Times New Roman" w:eastAsia="Batang" w:hAnsi="Times New Roman" w:cs="Times New Roman"/>
          <w:sz w:val="24"/>
          <w:szCs w:val="24"/>
        </w:rPr>
        <w:t xml:space="preserve"> Conforme a lo previsto en el segundo párrafo de la fracción III de la Cláusula Décima Séptima del Convenio de Colaboración Administrativa en Materia Fiscal Federal, celebrado entre el Gobierno Federal, por conducto de la Secretaría de Hacienda y Crédito Público, y el Gobierno del Estado de México, el Estado podrá solicitar a la Secretaría de Hacienda y Crédito Público los créditos fiscales federales a cargo de las Dependencias de la administración pública estatal, municipal, así como de los organismos auxiliares y autónomos, con la finalidad de coadyuvar a la regularización de sus adeudos, a través del “Programa de Regularización de Adeudos de Créditos Fiscales Federales del Estado de México”.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A aquellos Entes Públicos referidos en el párrafo anterior, que regularicen el pago de sus adeudos fiscales, únicamente respecto de los créditos fiscales federales que estén a cargo del Estado para su cobro, durante el Ejercicio Fiscal 2026, el Estado les podrá otorgar la totalidad de los incentivos que este efectivamente reciba, en términos de lo establecido en el inciso a) fracción XI de la Cláusula Décima Novena del Convenio de Colaboración Administrativa en Materia Fiscal Federal referido, en el párrafo anterior, correspondiente al 75% del monto que haya quedado firme de los créditos fiscales federales referidos con sus correspondientes accesorios, bajo los términos y condiciones previstos en los “Lineamientos del Programa de Regularización de Adeudos de Créditos Fiscales Federales del Estado de México” que emita y publique la Secretaría de Finanzas.</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OCTAVO.- </w:t>
      </w:r>
      <w:r w:rsidRPr="007A27A5">
        <w:rPr>
          <w:rFonts w:ascii="Times New Roman" w:eastAsia="Batang" w:hAnsi="Times New Roman" w:cs="Times New Roman"/>
          <w:sz w:val="24"/>
          <w:szCs w:val="24"/>
        </w:rPr>
        <w:t>Con la finalidad de apoyar a los organismos autónomos y auxiliares del Estado, a los municipios y sus organismos, así como cualquier otro ente sobre el cual el Estado tenga control sobre sus decisiones o acciones, en el pago de los adeudos de créditos fiscales con el Estado de México, se autoriza al Ejecutivo del Estado para que, por conducto de la Secretaría de Finanzas, durante el Ejercicio Fiscal 2026, establezca el “Programa de Regularización de Adeudos de Créditos Fiscales del Estado de México a cargo de diversos Entes Públicos”. Dicho beneficio no será aplicable para aquellos Entes Públicos que durante el Ejercicio Fiscal 2025 se hayan adherido a este Programa.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A aquellos Entes Públicos referidos en el párrafo anterior, que deseen incorporarse al Programa al que se refiere el párrafo anterior, deberán de celebrar Convenio con el Estado de México, a través de la Secretaría de Finanzas, previa aprobación del Cabildo, de su órgano de gobierno competente o de aquél que ejerza funciones de naturaleza análoga, según corresponda, de conformidad con la normativa aplicable. </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Como parte del Programa de regularización referido, el Estado podrá reducir hasta el 100 por ciento de accesorios del crédito fiscal a cargo de los Entes Públicos señalados en este artículo, y de acuerdo con su naturaleza jurídica y según corresponda, incluyendo los gastos de ejecución, de conformidad con los Lineamientos que para tal efecto emita y publique la Secretaría de Finanzas en el Periódico Oficial “Gaceta del Gobierno”. </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De igual forma, los Entes Públicos señalados en este artículo, que hayan firmado algún Convenio para efectos de este Programa, y decidan darlo por terminado en el transcurso del Ejercicio Fiscal 2026, dejarán de recibir la reducción del 100 por ciento de los accesorios por los créditos fiscales que tengan a cargo.</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NOVENO.-</w:t>
      </w:r>
      <w:r w:rsidRPr="007A27A5">
        <w:rPr>
          <w:rFonts w:ascii="Times New Roman" w:eastAsia="Batang" w:hAnsi="Times New Roman" w:cs="Times New Roman"/>
          <w:sz w:val="24"/>
          <w:szCs w:val="24"/>
        </w:rPr>
        <w:t xml:space="preserve"> Con la finalidad de apoyar a las personas físicas y/o jurídicas colectivas que tengan a su cargo adeudos por concepto de impuestos, derechos de control vehicular y créditos fiscales relacionados con estos con el Gobierno del Estado de México, se autoriza a la persona titular del Poder Ejecutivo del Estado, para que por conducto de la persona titular de la Secretaría de Finanzas, durante el Ejercicio Fiscal 2026, establezca el “Programa de Regularización de adeudos fiscales con el Gobierno del Estado de México”.</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Como parte de dicho Programa, la Secretaría de Finanzas, por conducto de las personas titulares de las Delegaciones Fiscales adscritas a la Dirección General de Recaudación, podrán otorgar un estímulo fiscal, consistente en la disminución de hasta el 100 por ciento de multas, recargos por pago extemporáneo de créditos fiscales, y gastos de ejecución, relacionados con los impuestos, derechos de control vehicular y créditos fiscales relacionados con estos, así como sanciones estatales propias, retenidas y/o trasladadas, cuya administración y recaudación corresponda a la Secretaría de Finanzas, en términos de los Lineamientos sobre el “Programa de Regularización de adeudos fiscales con el Gobierno del Estado de México”, que emita y publique la Secretaría de Finanzas por conducto de la Dirección General de Recaudación, en el Periódico Oficial “Gaceta del Gobierno”, en los siguientes supuestos:</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F068E2">
      <w:pPr>
        <w:numPr>
          <w:ilvl w:val="0"/>
          <w:numId w:val="17"/>
        </w:numPr>
        <w:spacing w:after="0" w:line="240" w:lineRule="auto"/>
        <w:ind w:left="714" w:hanging="357"/>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Tengan a su cargo, impuestos, derechos de control vehicular, y créditos fiscales relacionados con estos o sanciones, conceptos ya señalados con anterioridad, pendientes por cubrir, correspondientes al Ejercicio Fiscal 2024 o anteriores, debiendo presentar las declaraciones correspondientes.</w:t>
      </w:r>
    </w:p>
    <w:p w:rsidR="00DE3CD9" w:rsidRPr="007A27A5" w:rsidRDefault="00DE3CD9" w:rsidP="00F068E2">
      <w:pPr>
        <w:numPr>
          <w:ilvl w:val="0"/>
          <w:numId w:val="17"/>
        </w:numPr>
        <w:spacing w:after="0" w:line="240" w:lineRule="auto"/>
        <w:ind w:left="714" w:hanging="357"/>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lastRenderedPageBreak/>
        <w:t xml:space="preserve">Se encuentren sujetos a facultades de comprobación por parte de autoridades fiscales estatales, siempre que subsanen las irregularidades detectadas y se autocorrijan dentro del plazo establecido en el procedimiento correspondiente, sin exceder del 31 de diciembre de 2026. </w:t>
      </w:r>
    </w:p>
    <w:p w:rsidR="00DE3CD9" w:rsidRPr="007A27A5" w:rsidRDefault="00DE3CD9" w:rsidP="00F068E2">
      <w:pPr>
        <w:numPr>
          <w:ilvl w:val="0"/>
          <w:numId w:val="17"/>
        </w:numPr>
        <w:spacing w:after="0" w:line="240" w:lineRule="auto"/>
        <w:ind w:left="714" w:hanging="357"/>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Hayan sido autorizados para el pago a plazos de créditos fiscales estatales en términos de la normativa aplicable, y al 1 de enero de 2026, mantengan un saldo pendiente.</w:t>
      </w:r>
    </w:p>
    <w:p w:rsidR="00DE3CD9" w:rsidRPr="007A27A5" w:rsidRDefault="00DE3CD9" w:rsidP="00F068E2">
      <w:pPr>
        <w:numPr>
          <w:ilvl w:val="0"/>
          <w:numId w:val="17"/>
        </w:numPr>
        <w:spacing w:after="0" w:line="240" w:lineRule="auto"/>
        <w:ind w:left="714" w:hanging="357"/>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Tengan a su cargo, créditos fiscales firmes, señalados con anterioridad, siempre que estos no hayan sido objeto de impugnación o, habiendo sido impugnados, el contribuyente se desista del medio de defensa interpuesto.</w:t>
      </w:r>
    </w:p>
    <w:p w:rsidR="00DE3CD9" w:rsidRPr="007A27A5" w:rsidRDefault="00DE3CD9" w:rsidP="00DE3CD9">
      <w:pPr>
        <w:spacing w:after="0" w:line="240" w:lineRule="auto"/>
        <w:ind w:left="720"/>
        <w:contextualSpacing/>
        <w:jc w:val="both"/>
        <w:rPr>
          <w:rFonts w:ascii="Times New Roman" w:eastAsia="Batang" w:hAnsi="Times New Roman" w:cs="Times New Roman"/>
          <w:sz w:val="24"/>
          <w:szCs w:val="24"/>
        </w:rPr>
      </w:pPr>
    </w:p>
    <w:p w:rsidR="00DE3CD9" w:rsidRPr="007A27A5" w:rsidRDefault="00DE3CD9" w:rsidP="00DE3CD9">
      <w:pPr>
        <w:spacing w:after="0" w:line="240" w:lineRule="auto"/>
        <w:ind w:left="720"/>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En caso de haber solicitado la revisión administrativa, los contribuyentes deberán desistirse expresamente de la misma.</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Para efectos de lo anterior, los contribuyentes deberán presentar la solicitud ante la Delegación Fiscal que le corresponda, de acuerdo con su domicilio fiscal, cumpliendo con los requisitos que se establezcan en los Lineamientos emitidos para el “Programa de Regularización de adeudos fiscales con el Gobierno del Estado de México”. </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solicitud del estímulo no constituirá instancia, y la respuesta que emita la autoridad fiscal al respecto no podrá ser impugnada por los contribuyentes.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Con la presentación de dicha solicitud, se suspenderá el procedimiento administrativo de ejecución (PAE), sin la obligación de garantizar el interés fiscal y se interrumpirá el término para que se configure la prescripción. </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resolución que se emita, deberá ser previamente autorizada por la persona titular de la Dirección de Administración de Cartera o de la Dirección General de Recaudación, según corresponda y conforme se establezca en los Lineamientos previstos en este Artículo.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bookmarkStart w:id="16" w:name="_Hlk213347887"/>
      <w:r w:rsidRPr="007A27A5">
        <w:rPr>
          <w:rFonts w:ascii="Times New Roman" w:eastAsia="Batang" w:hAnsi="Times New Roman" w:cs="Times New Roman"/>
          <w:sz w:val="24"/>
          <w:szCs w:val="24"/>
        </w:rPr>
        <w:t>El estímulo fiscal no será aplicable a los contribuyentes con aquellos créditos fiscales a su cargo, cuando: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F068E2">
      <w:pPr>
        <w:numPr>
          <w:ilvl w:val="0"/>
          <w:numId w:val="18"/>
        </w:numPr>
        <w:spacing w:after="0" w:line="240" w:lineRule="auto"/>
        <w:ind w:left="714" w:hanging="357"/>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 xml:space="preserve">Tengan sentencia condenatoria firme por la comisión de algún delito fiscal. </w:t>
      </w:r>
    </w:p>
    <w:p w:rsidR="00DE3CD9" w:rsidRPr="007A27A5" w:rsidRDefault="00DE3CD9" w:rsidP="00F068E2">
      <w:pPr>
        <w:numPr>
          <w:ilvl w:val="0"/>
          <w:numId w:val="18"/>
        </w:numPr>
        <w:spacing w:after="0" w:line="240" w:lineRule="auto"/>
        <w:ind w:left="714" w:hanging="357"/>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Hayan recibido alguna condonación, reducción, disminución o cualquier otro beneficio similar sobre el adeudo fiscal sobre el cual se solicita la aplicación del presente estímulo fiscal.</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contribuyente podrá realizar el pago del importe no sujeto al presente estímulo fiscal, en una sola exhibición o a plazos. El pago de los adeudos fiscales no podrá realizarse en especie o mediante compensación.</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Este estímulo fiscal en ningún caso dará lugar a devolución, deducción, compensación, acreditamiento o saldo a favor alguno.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Si el contribuyente no realiza el pago en los plazos establecidos, el estímulo fiscal otorgado, quedará sin efectos y las autoridades fiscales deberán requerir el pago total del adeudo debidamente actualizado.</w:t>
      </w:r>
      <w:bookmarkEnd w:id="16"/>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lastRenderedPageBreak/>
        <w:t xml:space="preserve">DÉCIMO.- </w:t>
      </w:r>
      <w:r w:rsidRPr="007A27A5">
        <w:rPr>
          <w:rFonts w:ascii="Times New Roman" w:eastAsia="Batang" w:hAnsi="Times New Roman" w:cs="Times New Roman"/>
          <w:sz w:val="24"/>
          <w:szCs w:val="24"/>
        </w:rPr>
        <w:t>El Gobierno del Estado a través de la persona Titular del Ejecutivo del Estado, por sí o por conducto de la Secretaría de Finanzas deberá informar por escrito a las Comisiones Legislativas de Planeación y Gasto Público, así como de Finanzas Públicas de la Legislatura local, en caso de hacer uso de la autorización a la que hace referencia el primer párrafo del artículo 2 de la presente Ley, respecto de la contratación de Instrumentos Derivados que conlleven obligaciones de pago a cargo del Estado, por plazos menores o mayores a un año, durante el Ejercicio Fiscal 2026, estableciendo el monto y las condiciones de plazo e interés de estos, así como el capítulo y el concepto al que serán destinados.</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DÉCIMO PRIMERO.- </w:t>
      </w:r>
      <w:r w:rsidRPr="007A27A5">
        <w:rPr>
          <w:rFonts w:ascii="Times New Roman" w:eastAsia="Batang" w:hAnsi="Times New Roman" w:cs="Times New Roman"/>
          <w:sz w:val="24"/>
          <w:szCs w:val="24"/>
        </w:rPr>
        <w:t>Se autoriza a la persona Titular del Ejecutivo del Estado para que, a través de la Secretaría de Finanzas, durante el Ejercicio Fiscal 2026, aplique un factor adicional de 0.020 sobre las cuotas y tarifas de los Derechos previstos en las Secciones Segunda, Segunda Bis, Tercera, Cuarta sin incluir al artículo 80, Quinta, Séptima, Octava Subsección Tercera, Décima, Décima Primera Subsección Primera, Subsección Segunda, Subsección Cuarta y Décima Segunda, todas del Capítulo Segundo del Título Tercero del Código Financiero del Estado de México y Municipios; relativos a los servicios prestados por las dependencias del Ejecutivo Estatal, con excepción de los Derechos previstos para los Organismos Públicos Descentralizados y el Poder Judicial. Este factor es adicional al establecido en el segundo párrafo del artículo 8 de esta Ley.</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La aplicación de la actualización adicional referida en el párrafo anterior se realizará de conformidad con lo dispuesto en el Acuerdo por el que se actualizan los derechos, cuotas y tarifas previstas en el Código Financiero del Estado de México y Municipios, emitido y publicado por la Secretaría de Finanzas en el Periódico Oficial “Gaceta del Gobierno”.</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sz w:val="24"/>
          <w:szCs w:val="24"/>
        </w:rPr>
        <w:t>El monto recaudado por la aplicación de la actualización adicional, será destinado a obras de infraestructura vial, sin considerar la recaudación por aquellos conceptos que tengan un fin específico previsto en el Código Financiero del Estado de México y Municipios o en cualquier otra disposición normativa.</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jc w:val="both"/>
        <w:rPr>
          <w:rFonts w:ascii="Times New Roman" w:eastAsia="Batang" w:hAnsi="Times New Roman" w:cs="Times New Roman"/>
          <w:sz w:val="24"/>
          <w:szCs w:val="24"/>
        </w:rPr>
      </w:pPr>
      <w:r w:rsidRPr="007A27A5">
        <w:rPr>
          <w:rFonts w:ascii="Times New Roman" w:eastAsia="Batang" w:hAnsi="Times New Roman" w:cs="Times New Roman"/>
          <w:b/>
          <w:bCs/>
          <w:sz w:val="24"/>
          <w:szCs w:val="24"/>
        </w:rPr>
        <w:t xml:space="preserve">DÉCIMO SEGUNDO.- </w:t>
      </w:r>
      <w:r w:rsidRPr="007A27A5">
        <w:rPr>
          <w:rFonts w:ascii="Times New Roman" w:eastAsia="Batang" w:hAnsi="Times New Roman" w:cs="Times New Roman"/>
          <w:sz w:val="24"/>
          <w:szCs w:val="24"/>
        </w:rPr>
        <w:t>Lo dispuesto en el párrafo tercero del artículo 13 de esta Ley, entrará en vigor con este Decreto, exceptuándose su aplicación tratándose de conjuntos urbanos, condominios o proyectos habitacionales respecto de los cuales hayan celebrado convenios o instrumentos de coordinación en los que el Estado intervenga, en cuyo caso se aplicará a partir de la fecha de la suscripción respectiva, sin que ello implique aplicación retroactiva ni afectación a derechos adquiridos, de conformidad con la normativa aplicable.</w:t>
      </w:r>
    </w:p>
    <w:p w:rsidR="00DE3CD9" w:rsidRPr="007A27A5" w:rsidRDefault="00DE3CD9" w:rsidP="00DE3CD9">
      <w:pPr>
        <w:spacing w:after="0" w:line="240" w:lineRule="auto"/>
        <w:jc w:val="both"/>
        <w:rPr>
          <w:rFonts w:ascii="Times New Roman" w:eastAsia="Batang" w:hAnsi="Times New Roman" w:cs="Times New Roman"/>
          <w:sz w:val="24"/>
          <w:szCs w:val="24"/>
        </w:rPr>
      </w:pPr>
    </w:p>
    <w:p w:rsidR="00DE3CD9" w:rsidRPr="007A27A5" w:rsidRDefault="00DE3CD9" w:rsidP="00DE3CD9">
      <w:pPr>
        <w:spacing w:after="0" w:line="240" w:lineRule="auto"/>
        <w:jc w:val="both"/>
        <w:rPr>
          <w:rFonts w:ascii="Times New Roman" w:eastAsia="Batang" w:hAnsi="Times New Roman" w:cs="Times New Roman"/>
          <w:b/>
          <w:bCs/>
          <w:sz w:val="24"/>
          <w:szCs w:val="24"/>
        </w:rPr>
      </w:pPr>
      <w:r w:rsidRPr="007A27A5">
        <w:rPr>
          <w:rFonts w:ascii="Times New Roman" w:eastAsia="Batang" w:hAnsi="Times New Roman" w:cs="Times New Roman"/>
          <w:sz w:val="24"/>
          <w:szCs w:val="24"/>
        </w:rPr>
        <w:t>Se contará con un plazo de ciento veinte días hábiles a partir de la entrada en vigor del presente Decreto para que se emitan y/o adecuen las disposiciones administrativas aplicables, en el entendido que para aquellos actos jurídicos derivados de convenios o instrumentos de coordinación ya celebrados en los que el Estado intervenga, se aplicarán las disposiciones del artículo 13, párrafo tercero de esta Ley.</w:t>
      </w:r>
    </w:p>
    <w:p w:rsidR="00DE3CD9" w:rsidRPr="007A27A5" w:rsidRDefault="00DE3CD9" w:rsidP="00DE3CD9">
      <w:pPr>
        <w:spacing w:after="0" w:line="240" w:lineRule="auto"/>
        <w:jc w:val="both"/>
        <w:rPr>
          <w:rFonts w:ascii="Times New Roman" w:eastAsia="Batang" w:hAnsi="Times New Roman" w:cs="Times New Roman"/>
          <w:b/>
          <w:bCs/>
          <w:sz w:val="24"/>
          <w:szCs w:val="24"/>
        </w:rPr>
      </w:pPr>
    </w:p>
    <w:p w:rsidR="00DE3CD9" w:rsidRPr="007A27A5" w:rsidRDefault="00DE3CD9" w:rsidP="00DE3CD9">
      <w:pPr>
        <w:spacing w:after="0" w:line="240" w:lineRule="auto"/>
        <w:ind w:left="4536"/>
        <w:jc w:val="both"/>
        <w:rPr>
          <w:rFonts w:ascii="Times New Roman" w:eastAsia="Arial Unicode MS" w:hAnsi="Times New Roman" w:cs="Times New Roman"/>
          <w:sz w:val="24"/>
          <w:szCs w:val="24"/>
          <w:u w:color="000000"/>
          <w:lang w:eastAsia="es-MX"/>
        </w:rPr>
      </w:pPr>
      <w:r w:rsidRPr="007A27A5">
        <w:rPr>
          <w:rFonts w:ascii="Times New Roman" w:eastAsia="Batang" w:hAnsi="Times New Roman" w:cs="Times New Roman"/>
          <w:sz w:val="24"/>
          <w:szCs w:val="24"/>
        </w:rPr>
        <w:t>HOJA DE FIRMA DE LA INICIATIVA DE DECRETO POR EL QUE SE EXPIDE LA LEY DE INGRESOS DEL ESTADO DE MÉXICO PARA EL EJERCICIO FISCAL 2026.</w:t>
      </w:r>
    </w:p>
    <w:p w:rsidR="00DE3CD9" w:rsidRPr="007A27A5" w:rsidRDefault="00DE3CD9" w:rsidP="00DE3CD9">
      <w:pPr>
        <w:spacing w:after="0" w:line="240" w:lineRule="auto"/>
        <w:jc w:val="both"/>
        <w:rPr>
          <w:rFonts w:ascii="Times New Roman" w:eastAsia="Arial Unicode MS" w:hAnsi="Times New Roman" w:cs="Times New Roman"/>
          <w:sz w:val="24"/>
          <w:szCs w:val="24"/>
          <w:u w:color="000000"/>
          <w:lang w:eastAsia="es-MX"/>
        </w:rPr>
      </w:pPr>
    </w:p>
    <w:p w:rsidR="00DE3CD9" w:rsidRPr="007A27A5" w:rsidRDefault="00DE3CD9" w:rsidP="00DE3CD9">
      <w:pPr>
        <w:spacing w:after="0" w:line="240" w:lineRule="auto"/>
        <w:jc w:val="both"/>
        <w:rPr>
          <w:rFonts w:ascii="Times New Roman" w:eastAsia="Arial Unicode MS" w:hAnsi="Times New Roman" w:cs="Times New Roman"/>
          <w:sz w:val="24"/>
          <w:szCs w:val="24"/>
          <w:u w:color="000000"/>
          <w:lang w:eastAsia="es-MX"/>
        </w:rPr>
      </w:pPr>
      <w:r w:rsidRPr="007A27A5">
        <w:rPr>
          <w:rFonts w:ascii="Times New Roman" w:eastAsia="Arial Unicode MS" w:hAnsi="Times New Roman" w:cs="Times New Roman"/>
          <w:sz w:val="24"/>
          <w:szCs w:val="24"/>
          <w:u w:color="000000"/>
          <w:lang w:eastAsia="es-MX"/>
        </w:rPr>
        <w:t>Reitero a usted, la seguridad de mi atenta y distinguida consideración.</w:t>
      </w:r>
    </w:p>
    <w:p w:rsidR="00DE3CD9" w:rsidRPr="007A27A5" w:rsidRDefault="00DE3CD9" w:rsidP="00DE3CD9">
      <w:pPr>
        <w:spacing w:after="0" w:line="240" w:lineRule="auto"/>
        <w:jc w:val="center"/>
        <w:rPr>
          <w:rFonts w:ascii="Times New Roman" w:eastAsia="MS Mincho" w:hAnsi="Times New Roman" w:cs="Times New Roman"/>
          <w:b/>
          <w:sz w:val="24"/>
          <w:szCs w:val="24"/>
        </w:rPr>
      </w:pPr>
    </w:p>
    <w:p w:rsidR="00DE3CD9" w:rsidRPr="007A27A5" w:rsidRDefault="00DE3CD9" w:rsidP="00DE3CD9">
      <w:pPr>
        <w:spacing w:after="0" w:line="240" w:lineRule="auto"/>
        <w:jc w:val="both"/>
        <w:rPr>
          <w:rFonts w:ascii="Times New Roman" w:eastAsia="MS Mincho" w:hAnsi="Times New Roman" w:cs="Times New Roman"/>
          <w:sz w:val="24"/>
          <w:szCs w:val="24"/>
        </w:rPr>
      </w:pPr>
      <w:r w:rsidRPr="007A27A5">
        <w:rPr>
          <w:rFonts w:ascii="Times New Roman" w:eastAsia="MS Mincho" w:hAnsi="Times New Roman" w:cs="Times New Roman"/>
          <w:sz w:val="24"/>
          <w:szCs w:val="24"/>
        </w:rPr>
        <w:lastRenderedPageBreak/>
        <w:t>Palacio del Poder Ejecutivo, en la Ciudad de Toluca de Lerdo, capital del Estado de México, a los 19 días del mes de noviembre del año 2025.</w:t>
      </w:r>
    </w:p>
    <w:p w:rsidR="00DE3CD9" w:rsidRPr="007A27A5" w:rsidRDefault="00DE3CD9" w:rsidP="00DE3CD9">
      <w:pPr>
        <w:spacing w:after="0" w:line="240" w:lineRule="auto"/>
        <w:jc w:val="center"/>
        <w:rPr>
          <w:rFonts w:ascii="Times New Roman" w:eastAsia="MS Mincho" w:hAnsi="Times New Roman" w:cs="Times New Roman"/>
          <w:b/>
          <w:sz w:val="24"/>
          <w:szCs w:val="24"/>
        </w:rPr>
      </w:pPr>
    </w:p>
    <w:p w:rsidR="00DE3CD9" w:rsidRPr="007A27A5" w:rsidRDefault="00DE3CD9" w:rsidP="00DE3CD9">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La Gobernadora Constitucional</w:t>
      </w:r>
    </w:p>
    <w:p w:rsidR="00DE3CD9" w:rsidRPr="007A27A5" w:rsidRDefault="00DE3CD9" w:rsidP="00DE3CD9">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del Estado de México</w:t>
      </w:r>
    </w:p>
    <w:p w:rsidR="00DE3CD9" w:rsidRPr="007A27A5" w:rsidRDefault="00DE3CD9" w:rsidP="00DE3CD9">
      <w:pPr>
        <w:spacing w:after="0" w:line="240" w:lineRule="auto"/>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Mtra. Delfina Gómez Álvarez</w:t>
      </w:r>
    </w:p>
    <w:p w:rsidR="00DE3CD9" w:rsidRPr="007A27A5" w:rsidRDefault="00DE3CD9" w:rsidP="00DE3CD9">
      <w:pPr>
        <w:widowControl w:val="0"/>
        <w:spacing w:after="0" w:line="240" w:lineRule="auto"/>
        <w:jc w:val="both"/>
        <w:rPr>
          <w:rFonts w:ascii="Times New Roman" w:eastAsia="Calibri" w:hAnsi="Times New Roman" w:cs="Times New Roman"/>
          <w:b/>
          <w:sz w:val="24"/>
          <w:szCs w:val="24"/>
        </w:rPr>
      </w:pPr>
    </w:p>
    <w:p w:rsidR="00DE3CD9" w:rsidRPr="007A27A5" w:rsidRDefault="00DE3CD9" w:rsidP="00DE3CD9">
      <w:pPr>
        <w:spacing w:after="0" w:line="240" w:lineRule="auto"/>
        <w:ind w:right="7704"/>
        <w:jc w:val="center"/>
        <w:rPr>
          <w:rFonts w:ascii="Times New Roman" w:eastAsia="Calibri" w:hAnsi="Times New Roman" w:cs="Times New Roman"/>
          <w:b/>
          <w:bCs/>
          <w:sz w:val="24"/>
          <w:szCs w:val="24"/>
        </w:rPr>
      </w:pPr>
      <w:r w:rsidRPr="007A27A5">
        <w:rPr>
          <w:rFonts w:ascii="Times New Roman" w:eastAsia="Calibri" w:hAnsi="Times New Roman" w:cs="Times New Roman"/>
          <w:b/>
          <w:bCs/>
          <w:sz w:val="24"/>
          <w:szCs w:val="24"/>
        </w:rPr>
        <w:t>* OFJ</w:t>
      </w:r>
    </w:p>
    <w:p w:rsidR="00EA489D" w:rsidRPr="00B63A81" w:rsidRDefault="00EA489D" w:rsidP="00EA489D">
      <w:pPr>
        <w:spacing w:after="0" w:line="240" w:lineRule="auto"/>
        <w:jc w:val="center"/>
        <w:rPr>
          <w:rFonts w:ascii="Times New Roman" w:hAnsi="Times New Roman"/>
          <w:sz w:val="24"/>
          <w:szCs w:val="24"/>
        </w:rPr>
      </w:pPr>
    </w:p>
    <w:p w:rsidR="00EA489D" w:rsidRPr="00B63A81" w:rsidRDefault="00EA489D" w:rsidP="00EA489D">
      <w:pPr>
        <w:spacing w:after="0" w:line="240" w:lineRule="auto"/>
        <w:jc w:val="center"/>
        <w:rPr>
          <w:rFonts w:ascii="Times New Roman" w:hAnsi="Times New Roman"/>
          <w:i/>
          <w:sz w:val="24"/>
          <w:szCs w:val="24"/>
        </w:rPr>
      </w:pPr>
      <w:r w:rsidRPr="00B63A81">
        <w:rPr>
          <w:rFonts w:ascii="Times New Roman" w:hAnsi="Times New Roman"/>
          <w:i/>
          <w:sz w:val="24"/>
          <w:szCs w:val="24"/>
        </w:rPr>
        <w:t>(Fin del documento)</w:t>
      </w:r>
    </w:p>
    <w:p w:rsidR="00EA489D" w:rsidRPr="00B63A81" w:rsidRDefault="00EA489D" w:rsidP="00EA489D">
      <w:pPr>
        <w:spacing w:after="0" w:line="240" w:lineRule="auto"/>
        <w:jc w:val="center"/>
        <w:rPr>
          <w:rFonts w:ascii="Times New Roman" w:hAnsi="Times New Roman"/>
          <w:sz w:val="24"/>
          <w:szCs w:val="24"/>
        </w:rPr>
      </w:pP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B63A81">
        <w:rPr>
          <w:rFonts w:ascii="Times New Roman" w:hAnsi="Times New Roman" w:cs="Times New Roman"/>
          <w:color w:val="000000" w:themeColor="text1"/>
          <w:sz w:val="24"/>
          <w:szCs w:val="24"/>
        </w:rPr>
        <w:t>PRESIDENTA DIP. MARTHA AZUCENA CAMACHO</w:t>
      </w:r>
      <w:r w:rsidRPr="007A27A5">
        <w:rPr>
          <w:rFonts w:ascii="Times New Roman" w:hAnsi="Times New Roman" w:cs="Times New Roman"/>
          <w:color w:val="000000" w:themeColor="text1"/>
          <w:sz w:val="24"/>
          <w:szCs w:val="24"/>
        </w:rPr>
        <w:t xml:space="preserve"> REYNOSO. Gracias diputado Javier Cruz Jaramillo.</w:t>
      </w:r>
    </w:p>
    <w:p w:rsidR="00E469F0" w:rsidRPr="00687404"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r>
      <w:r w:rsidRPr="00687404">
        <w:rPr>
          <w:rFonts w:ascii="Times New Roman" w:hAnsi="Times New Roman" w:cs="Times New Roman"/>
          <w:color w:val="000000" w:themeColor="text1"/>
          <w:sz w:val="24"/>
          <w:szCs w:val="24"/>
        </w:rPr>
        <w:t xml:space="preserve">Se registra la </w:t>
      </w:r>
      <w:r w:rsidR="00943A45" w:rsidRPr="00687404">
        <w:rPr>
          <w:rFonts w:ascii="Times New Roman" w:hAnsi="Times New Roman" w:cs="Times New Roman"/>
          <w:color w:val="000000" w:themeColor="text1"/>
          <w:sz w:val="24"/>
          <w:szCs w:val="24"/>
        </w:rPr>
        <w:t xml:space="preserve">Iniciativa </w:t>
      </w:r>
      <w:r w:rsidRPr="00687404">
        <w:rPr>
          <w:rFonts w:ascii="Times New Roman" w:hAnsi="Times New Roman" w:cs="Times New Roman"/>
          <w:color w:val="000000" w:themeColor="text1"/>
          <w:sz w:val="24"/>
          <w:szCs w:val="24"/>
        </w:rPr>
        <w:t xml:space="preserve">de </w:t>
      </w:r>
      <w:r w:rsidR="00943A45" w:rsidRPr="00687404">
        <w:rPr>
          <w:rFonts w:ascii="Times New Roman" w:hAnsi="Times New Roman" w:cs="Times New Roman"/>
          <w:color w:val="000000" w:themeColor="text1"/>
          <w:sz w:val="24"/>
          <w:szCs w:val="24"/>
        </w:rPr>
        <w:t xml:space="preserve">Decreto </w:t>
      </w:r>
      <w:r w:rsidRPr="00687404">
        <w:rPr>
          <w:rFonts w:ascii="Times New Roman" w:hAnsi="Times New Roman" w:cs="Times New Roman"/>
          <w:color w:val="000000" w:themeColor="text1"/>
          <w:sz w:val="24"/>
          <w:szCs w:val="24"/>
        </w:rPr>
        <w:t>y se remite a las Comisiones Legislativa de Planeación y Gasto Público y de Finanzas, para su estudio y dictamen.</w:t>
      </w:r>
    </w:p>
    <w:p w:rsidR="00E469F0" w:rsidRPr="00687404" w:rsidRDefault="00E469F0" w:rsidP="00B54AF5">
      <w:pPr>
        <w:spacing w:after="0" w:line="240" w:lineRule="auto"/>
        <w:jc w:val="both"/>
        <w:rPr>
          <w:rFonts w:ascii="Times New Roman" w:hAnsi="Times New Roman" w:cs="Times New Roman"/>
          <w:color w:val="000000" w:themeColor="text1"/>
          <w:sz w:val="24"/>
          <w:szCs w:val="24"/>
        </w:rPr>
      </w:pPr>
      <w:r w:rsidRPr="00687404">
        <w:rPr>
          <w:rFonts w:ascii="Times New Roman" w:hAnsi="Times New Roman" w:cs="Times New Roman"/>
          <w:color w:val="BF8F00" w:themeColor="accent4" w:themeShade="BF"/>
          <w:sz w:val="24"/>
          <w:szCs w:val="24"/>
        </w:rPr>
        <w:tab/>
      </w:r>
      <w:r w:rsidRPr="00687404">
        <w:rPr>
          <w:rFonts w:ascii="Times New Roman" w:hAnsi="Times New Roman" w:cs="Times New Roman"/>
          <w:color w:val="000000" w:themeColor="text1"/>
          <w:sz w:val="24"/>
          <w:szCs w:val="24"/>
        </w:rPr>
        <w:t>En observancia del punto 5.2, la diputada Vicepresidenta Leticia Mejía García leerá la Iniciativa de la Ley de Ingresos de los Municipios del Estado de México para el Ejercicio Fiscal 2026.</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687404">
        <w:rPr>
          <w:rFonts w:ascii="Times New Roman" w:hAnsi="Times New Roman" w:cs="Times New Roman"/>
          <w:color w:val="000000" w:themeColor="text1"/>
          <w:sz w:val="24"/>
          <w:szCs w:val="24"/>
        </w:rPr>
        <w:t>VICEPRESIDENTA DIP. LETICIA MEJÍA GARCÍA. Gracias Presidenta.</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Con permiso de la Mesa Directiva.</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DIPUTADA MARTHA AZUCENA CAMACHO REYNOSO</w:t>
      </w:r>
    </w:p>
    <w:p w:rsidR="00936A5B"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PRESIDENTA DE LA MESA DIRECTIVA</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DE LA LXII</w:t>
      </w:r>
      <w:r w:rsidR="00936A5B">
        <w:rPr>
          <w:rFonts w:ascii="Times New Roman" w:hAnsi="Times New Roman" w:cs="Times New Roman"/>
          <w:color w:val="000000" w:themeColor="text1"/>
          <w:sz w:val="24"/>
          <w:szCs w:val="24"/>
        </w:rPr>
        <w:t xml:space="preserve"> </w:t>
      </w:r>
      <w:r w:rsidRPr="007A27A5">
        <w:rPr>
          <w:rFonts w:ascii="Times New Roman" w:hAnsi="Times New Roman" w:cs="Times New Roman"/>
          <w:color w:val="000000" w:themeColor="text1"/>
          <w:sz w:val="24"/>
          <w:szCs w:val="24"/>
        </w:rPr>
        <w:t>LEGISLATURA DEL ESTADO DE MÉXICO</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PRESENTE</w:t>
      </w:r>
      <w:r w:rsidR="00B12AB2" w:rsidRPr="007A27A5">
        <w:rPr>
          <w:rFonts w:ascii="Times New Roman" w:hAnsi="Times New Roman" w:cs="Times New Roman"/>
          <w:color w:val="000000" w:themeColor="text1"/>
          <w:sz w:val="24"/>
          <w:szCs w:val="24"/>
        </w:rPr>
        <w:t>.</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Delfina Gómez Álvarez, Gobernadora Constitucional del Estado Libre y Soberano de México, en ejercicio de la facultad que me confieren los artículos 51 fracción I y 77 fracciones V, XX de la Constitución Política del Estado Libre y Soberano de México, se somete a la consideración de esta Honorable Legislatura por el digno conducto de usted, Iniciativa de Decreto por el que se expide la Ley de Ingresos del Estado de México para el Ejercicio Fiscal 2026.</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BF8F00" w:themeColor="accent4" w:themeShade="BF"/>
          <w:sz w:val="24"/>
          <w:szCs w:val="24"/>
        </w:rPr>
        <w:tab/>
      </w:r>
      <w:r w:rsidRPr="007A27A5">
        <w:rPr>
          <w:rFonts w:ascii="Times New Roman" w:hAnsi="Times New Roman" w:cs="Times New Roman"/>
          <w:color w:val="000000" w:themeColor="text1"/>
          <w:sz w:val="24"/>
          <w:szCs w:val="24"/>
        </w:rPr>
        <w:t>Reitero a usted la seguridad de mi atenta y distinguida consideración.</w:t>
      </w:r>
    </w:p>
    <w:p w:rsidR="00E469F0" w:rsidRPr="00687404"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 xml:space="preserve">Palacio del Poder Ejecutivo, en la ciudad de Toluca de Lerdo, capital del Estado de México, a los diecinueve del mes de noviembre </w:t>
      </w:r>
      <w:r w:rsidRPr="00687404">
        <w:rPr>
          <w:rFonts w:ascii="Times New Roman" w:hAnsi="Times New Roman" w:cs="Times New Roman"/>
          <w:color w:val="000000" w:themeColor="text1"/>
          <w:sz w:val="24"/>
          <w:szCs w:val="24"/>
        </w:rPr>
        <w:t>del año dos mil veinticinco.</w:t>
      </w:r>
    </w:p>
    <w:p w:rsidR="00E469F0" w:rsidRPr="00687404" w:rsidRDefault="00E469F0" w:rsidP="00B54AF5">
      <w:pPr>
        <w:spacing w:after="0" w:line="240" w:lineRule="auto"/>
        <w:jc w:val="both"/>
        <w:rPr>
          <w:rFonts w:ascii="Times New Roman" w:hAnsi="Times New Roman" w:cs="Times New Roman"/>
          <w:color w:val="000000" w:themeColor="text1"/>
          <w:sz w:val="24"/>
          <w:szCs w:val="24"/>
        </w:rPr>
      </w:pPr>
      <w:r w:rsidRPr="00687404">
        <w:rPr>
          <w:rFonts w:ascii="Times New Roman" w:hAnsi="Times New Roman" w:cs="Times New Roman"/>
          <w:color w:val="000000" w:themeColor="text1"/>
          <w:sz w:val="24"/>
          <w:szCs w:val="24"/>
        </w:rPr>
        <w:tab/>
        <w:t>La Gobernadora Constitucional del Estado de México, Maestra Delfina Gómez Álvarez.</w:t>
      </w:r>
    </w:p>
    <w:p w:rsidR="00E469F0" w:rsidRPr="00687404" w:rsidRDefault="00E469F0" w:rsidP="00B54AF5">
      <w:pPr>
        <w:spacing w:after="0" w:line="240" w:lineRule="auto"/>
        <w:jc w:val="both"/>
        <w:rPr>
          <w:rFonts w:ascii="Times New Roman" w:hAnsi="Times New Roman" w:cs="Times New Roman"/>
          <w:color w:val="000000" w:themeColor="text1"/>
          <w:sz w:val="24"/>
          <w:szCs w:val="24"/>
        </w:rPr>
      </w:pPr>
      <w:r w:rsidRPr="00687404">
        <w:rPr>
          <w:rFonts w:ascii="Times New Roman" w:hAnsi="Times New Roman" w:cs="Times New Roman"/>
          <w:color w:val="000000" w:themeColor="text1"/>
          <w:sz w:val="24"/>
          <w:szCs w:val="24"/>
        </w:rPr>
        <w:t xml:space="preserve">Es </w:t>
      </w:r>
      <w:proofErr w:type="spellStart"/>
      <w:r w:rsidRPr="00687404">
        <w:rPr>
          <w:rFonts w:ascii="Times New Roman" w:hAnsi="Times New Roman" w:cs="Times New Roman"/>
          <w:color w:val="000000" w:themeColor="text1"/>
          <w:sz w:val="24"/>
          <w:szCs w:val="24"/>
        </w:rPr>
        <w:t>cuanto</w:t>
      </w:r>
      <w:proofErr w:type="spellEnd"/>
      <w:r w:rsidRPr="00687404">
        <w:rPr>
          <w:rFonts w:ascii="Times New Roman" w:hAnsi="Times New Roman" w:cs="Times New Roman"/>
          <w:color w:val="000000" w:themeColor="text1"/>
          <w:sz w:val="24"/>
          <w:szCs w:val="24"/>
        </w:rPr>
        <w:t>.</w:t>
      </w:r>
    </w:p>
    <w:p w:rsidR="00077D87" w:rsidRPr="00687404" w:rsidRDefault="00077D87" w:rsidP="00077D87">
      <w:pPr>
        <w:pStyle w:val="Sinespaciado"/>
      </w:pPr>
    </w:p>
    <w:p w:rsidR="00077D87" w:rsidRPr="00687404" w:rsidRDefault="00077D87" w:rsidP="00077D87">
      <w:pPr>
        <w:spacing w:after="0" w:line="240" w:lineRule="auto"/>
        <w:jc w:val="center"/>
        <w:rPr>
          <w:rFonts w:ascii="Times New Roman" w:hAnsi="Times New Roman"/>
          <w:i/>
          <w:sz w:val="24"/>
          <w:szCs w:val="24"/>
        </w:rPr>
      </w:pPr>
      <w:r w:rsidRPr="00687404">
        <w:rPr>
          <w:rFonts w:ascii="Times New Roman" w:hAnsi="Times New Roman"/>
          <w:i/>
          <w:sz w:val="24"/>
          <w:szCs w:val="24"/>
        </w:rPr>
        <w:t>(Se inserta documento)</w:t>
      </w:r>
    </w:p>
    <w:p w:rsidR="00077D87" w:rsidRPr="00687404" w:rsidRDefault="00077D87" w:rsidP="00077D87">
      <w:pPr>
        <w:spacing w:after="0" w:line="240" w:lineRule="auto"/>
        <w:jc w:val="center"/>
        <w:rPr>
          <w:rFonts w:ascii="Times New Roman" w:hAnsi="Times New Roman"/>
          <w:sz w:val="24"/>
          <w:szCs w:val="24"/>
        </w:rPr>
      </w:pPr>
    </w:p>
    <w:p w:rsidR="00B63A81" w:rsidRPr="00687404" w:rsidRDefault="00B63A81" w:rsidP="00B63A81">
      <w:pPr>
        <w:spacing w:after="0" w:line="240" w:lineRule="auto"/>
        <w:jc w:val="right"/>
        <w:rPr>
          <w:rFonts w:ascii="Times New Roman" w:eastAsia="Calibri" w:hAnsi="Times New Roman" w:cs="Times New Roman"/>
          <w:sz w:val="24"/>
          <w:szCs w:val="24"/>
          <w:lang w:val="es-ES_tradnl"/>
        </w:rPr>
      </w:pPr>
      <w:r w:rsidRPr="00687404">
        <w:rPr>
          <w:rFonts w:ascii="Times New Roman" w:eastAsia="Calibri" w:hAnsi="Times New Roman" w:cs="Times New Roman"/>
          <w:sz w:val="24"/>
          <w:szCs w:val="24"/>
          <w:lang w:val="es-ES_tradnl"/>
        </w:rPr>
        <w:t>Toluca de Lerdo, México,</w:t>
      </w:r>
    </w:p>
    <w:p w:rsidR="00B63A81" w:rsidRPr="00687404" w:rsidRDefault="00B63A81" w:rsidP="00B63A81">
      <w:pPr>
        <w:spacing w:after="0" w:line="240" w:lineRule="auto"/>
        <w:jc w:val="right"/>
        <w:rPr>
          <w:rFonts w:ascii="Times New Roman" w:eastAsia="Calibri" w:hAnsi="Times New Roman" w:cs="Times New Roman"/>
          <w:sz w:val="24"/>
          <w:szCs w:val="24"/>
          <w:lang w:val="es-ES_tradnl"/>
        </w:rPr>
      </w:pPr>
      <w:r w:rsidRPr="00687404">
        <w:rPr>
          <w:rFonts w:ascii="Times New Roman" w:eastAsia="Calibri" w:hAnsi="Times New Roman" w:cs="Times New Roman"/>
          <w:sz w:val="24"/>
          <w:szCs w:val="24"/>
          <w:lang w:val="es-ES_tradnl"/>
        </w:rPr>
        <w:t>a 19 de noviembre de 2025.</w:t>
      </w:r>
    </w:p>
    <w:p w:rsidR="00B63A81" w:rsidRPr="00687404" w:rsidRDefault="00B63A81" w:rsidP="00B63A81">
      <w:pPr>
        <w:spacing w:after="0" w:line="240" w:lineRule="auto"/>
        <w:ind w:right="4727"/>
        <w:jc w:val="both"/>
        <w:rPr>
          <w:rFonts w:ascii="Times New Roman" w:eastAsia="Calibri" w:hAnsi="Times New Roman" w:cs="Times New Roman"/>
          <w:b/>
          <w:sz w:val="24"/>
          <w:szCs w:val="24"/>
          <w:lang w:val="es-ES_tradnl"/>
        </w:rPr>
      </w:pPr>
    </w:p>
    <w:p w:rsidR="00B63A81" w:rsidRPr="00B63A81" w:rsidRDefault="00B63A81" w:rsidP="00B63A81">
      <w:pPr>
        <w:spacing w:after="0" w:line="240" w:lineRule="auto"/>
        <w:ind w:right="4584"/>
        <w:jc w:val="both"/>
        <w:rPr>
          <w:rFonts w:ascii="Times New Roman" w:eastAsia="Calibri" w:hAnsi="Times New Roman" w:cs="Times New Roman"/>
          <w:b/>
          <w:bCs/>
          <w:sz w:val="24"/>
          <w:szCs w:val="24"/>
          <w:lang w:val="es-ES_tradnl"/>
        </w:rPr>
      </w:pPr>
      <w:r w:rsidRPr="00687404">
        <w:rPr>
          <w:rFonts w:ascii="Times New Roman" w:eastAsia="Calibri" w:hAnsi="Times New Roman" w:cs="Times New Roman"/>
          <w:b/>
          <w:bCs/>
          <w:sz w:val="24"/>
          <w:szCs w:val="24"/>
          <w:lang w:val="es-ES_tradnl"/>
        </w:rPr>
        <w:t>DIPUTADA</w:t>
      </w:r>
      <w:r w:rsidRPr="00B63A81">
        <w:rPr>
          <w:rFonts w:ascii="Times New Roman" w:eastAsia="Calibri" w:hAnsi="Times New Roman" w:cs="Times New Roman"/>
          <w:b/>
          <w:bCs/>
          <w:sz w:val="24"/>
          <w:szCs w:val="24"/>
          <w:lang w:val="es-ES_tradnl"/>
        </w:rPr>
        <w:t xml:space="preserve"> </w:t>
      </w:r>
    </w:p>
    <w:p w:rsidR="00B63A81" w:rsidRPr="00B63A81" w:rsidRDefault="00B63A81" w:rsidP="00B63A81">
      <w:pPr>
        <w:spacing w:after="0" w:line="240" w:lineRule="auto"/>
        <w:ind w:right="48"/>
        <w:jc w:val="both"/>
        <w:rPr>
          <w:rFonts w:ascii="Times New Roman" w:eastAsia="Calibri" w:hAnsi="Times New Roman" w:cs="Times New Roman"/>
          <w:b/>
          <w:bCs/>
          <w:sz w:val="24"/>
          <w:szCs w:val="24"/>
          <w:lang w:val="es-ES_tradnl"/>
        </w:rPr>
      </w:pPr>
      <w:r w:rsidRPr="00B63A81">
        <w:rPr>
          <w:rFonts w:ascii="Times New Roman" w:eastAsia="Calibri" w:hAnsi="Times New Roman" w:cs="Times New Roman"/>
          <w:b/>
          <w:bCs/>
          <w:sz w:val="24"/>
          <w:szCs w:val="24"/>
          <w:lang w:val="es-ES_tradnl"/>
        </w:rPr>
        <w:t>MARTHA AZUCENA CAMACHO REYNOSO</w:t>
      </w:r>
    </w:p>
    <w:p w:rsidR="00B63A81" w:rsidRPr="00B63A81" w:rsidRDefault="00B63A81" w:rsidP="00B63A81">
      <w:pPr>
        <w:spacing w:after="0" w:line="240" w:lineRule="auto"/>
        <w:ind w:right="48"/>
        <w:jc w:val="both"/>
        <w:rPr>
          <w:rFonts w:ascii="Times New Roman" w:eastAsia="Calibri" w:hAnsi="Times New Roman" w:cs="Times New Roman"/>
          <w:b/>
          <w:bCs/>
          <w:sz w:val="24"/>
          <w:szCs w:val="24"/>
          <w:lang w:val="es-ES_tradnl"/>
        </w:rPr>
      </w:pPr>
      <w:r w:rsidRPr="00B63A81">
        <w:rPr>
          <w:rFonts w:ascii="Times New Roman" w:eastAsia="Calibri" w:hAnsi="Times New Roman" w:cs="Times New Roman"/>
          <w:b/>
          <w:bCs/>
          <w:sz w:val="24"/>
          <w:szCs w:val="24"/>
          <w:lang w:val="es-ES_tradnl"/>
        </w:rPr>
        <w:t>PRESIDENTA DE LA MESA DIRECTIVA</w:t>
      </w:r>
    </w:p>
    <w:p w:rsidR="00B63A81" w:rsidRPr="00B63A81" w:rsidRDefault="00B63A81" w:rsidP="00B63A81">
      <w:pPr>
        <w:spacing w:after="0" w:line="240" w:lineRule="auto"/>
        <w:ind w:right="48"/>
        <w:jc w:val="both"/>
        <w:rPr>
          <w:rFonts w:ascii="Times New Roman" w:eastAsia="Calibri" w:hAnsi="Times New Roman" w:cs="Times New Roman"/>
          <w:b/>
          <w:bCs/>
          <w:sz w:val="24"/>
          <w:szCs w:val="24"/>
          <w:lang w:val="es-ES_tradnl"/>
        </w:rPr>
      </w:pPr>
      <w:r w:rsidRPr="00B63A81">
        <w:rPr>
          <w:rFonts w:ascii="Times New Roman" w:eastAsia="Calibri" w:hAnsi="Times New Roman" w:cs="Times New Roman"/>
          <w:b/>
          <w:bCs/>
          <w:sz w:val="24"/>
          <w:szCs w:val="24"/>
          <w:lang w:val="es-ES_tradnl"/>
        </w:rPr>
        <w:t>DE LA H. “LXII” LEGISLATURA DEL ESTADO DE MÉXICO</w:t>
      </w:r>
    </w:p>
    <w:p w:rsidR="00B63A81" w:rsidRPr="00B63A81" w:rsidRDefault="00B63A81" w:rsidP="00B63A81">
      <w:pPr>
        <w:spacing w:after="0" w:line="240" w:lineRule="auto"/>
        <w:ind w:right="4584"/>
        <w:jc w:val="both"/>
        <w:rPr>
          <w:rFonts w:ascii="Times New Roman" w:eastAsia="Calibri" w:hAnsi="Times New Roman" w:cs="Times New Roman"/>
          <w:b/>
          <w:bCs/>
          <w:sz w:val="24"/>
          <w:szCs w:val="24"/>
          <w:lang w:val="es-ES_tradnl"/>
        </w:rPr>
      </w:pPr>
      <w:r w:rsidRPr="00B63A81">
        <w:rPr>
          <w:rFonts w:ascii="Times New Roman" w:eastAsia="Calibri" w:hAnsi="Times New Roman" w:cs="Times New Roman"/>
          <w:b/>
          <w:bCs/>
          <w:sz w:val="24"/>
          <w:szCs w:val="24"/>
          <w:lang w:val="es-ES_tradnl"/>
        </w:rPr>
        <w:t>PRESENTE</w:t>
      </w:r>
    </w:p>
    <w:p w:rsidR="00B63A81" w:rsidRPr="00B63A81" w:rsidRDefault="00B63A81" w:rsidP="00B63A81">
      <w:pPr>
        <w:spacing w:after="0" w:line="240" w:lineRule="auto"/>
        <w:jc w:val="both"/>
        <w:rPr>
          <w:rFonts w:ascii="Times New Roman" w:eastAsia="Calibri" w:hAnsi="Times New Roman" w:cs="Times New Roman"/>
          <w:b/>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b/>
          <w:sz w:val="24"/>
          <w:szCs w:val="24"/>
          <w:lang w:val="es-ES_tradnl"/>
        </w:rPr>
        <w:t>DELFINA GÓMEZ ÁLVAREZ, Gobernadora Constitucional del Estado Libre y Soberano de México,</w:t>
      </w:r>
      <w:r w:rsidRPr="00B63A81">
        <w:rPr>
          <w:rFonts w:ascii="Times New Roman" w:eastAsia="Calibri" w:hAnsi="Times New Roman" w:cs="Times New Roman"/>
          <w:sz w:val="24"/>
          <w:szCs w:val="24"/>
          <w:lang w:val="es-ES_tradnl"/>
        </w:rPr>
        <w:t xml:space="preserve"> en ejercicio de la facultad que me confieren los artículos 51 fracción I y 77 fracciones V y XX de la Constitución Política del Estado Libre y Soberano de México, se somete a la </w:t>
      </w:r>
      <w:r w:rsidRPr="00B63A81">
        <w:rPr>
          <w:rFonts w:ascii="Times New Roman" w:eastAsia="Calibri" w:hAnsi="Times New Roman" w:cs="Times New Roman"/>
          <w:sz w:val="24"/>
          <w:szCs w:val="24"/>
          <w:lang w:val="es-ES_tradnl"/>
        </w:rPr>
        <w:lastRenderedPageBreak/>
        <w:t xml:space="preserve">consideración de esa H. Legislatura, por el digno conducto de Usted, </w:t>
      </w:r>
      <w:r w:rsidRPr="00B63A81">
        <w:rPr>
          <w:rFonts w:ascii="Times New Roman" w:eastAsia="Calibri" w:hAnsi="Times New Roman" w:cs="Times New Roman"/>
          <w:b/>
          <w:sz w:val="24"/>
          <w:szCs w:val="24"/>
          <w:lang w:val="es-ES_tradnl"/>
        </w:rPr>
        <w:t>Iniciativa de Decreto por el que se expide la Ley de Ingresos de los Municipios del Estado de México para el Ejercicio Fiscal 2026,</w:t>
      </w:r>
      <w:r w:rsidRPr="00B63A81">
        <w:rPr>
          <w:rFonts w:ascii="Times New Roman" w:eastAsia="Calibri" w:hAnsi="Times New Roman" w:cs="Times New Roman"/>
          <w:sz w:val="24"/>
          <w:szCs w:val="24"/>
          <w:lang w:val="es-ES_tradnl"/>
        </w:rPr>
        <w:t xml:space="preserve"> conforme a la siguiente:</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center"/>
        <w:rPr>
          <w:rFonts w:ascii="Times New Roman" w:eastAsia="Calibri" w:hAnsi="Times New Roman" w:cs="Times New Roman"/>
          <w:b/>
          <w:bCs/>
          <w:sz w:val="24"/>
          <w:szCs w:val="24"/>
          <w:lang w:val="es-ES_tradnl"/>
        </w:rPr>
      </w:pPr>
      <w:r w:rsidRPr="00B63A81">
        <w:rPr>
          <w:rFonts w:ascii="Times New Roman" w:eastAsia="Calibri" w:hAnsi="Times New Roman" w:cs="Times New Roman"/>
          <w:b/>
          <w:bCs/>
          <w:sz w:val="24"/>
          <w:szCs w:val="24"/>
          <w:lang w:val="es-ES_tradnl"/>
        </w:rPr>
        <w:t>EXPOSICIÓN DE MOTIVOS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La propuesta de la Ley de Ingresos de los Municipios del Estado de México, correspondiente al Ejercicio Fiscal 2026, parte de la necesidad de consolidar un sistema de ingresos que responda al principio constitucional de autonomía municipal consagrado en el artículo 115 de la Constitución Política de los Estados Unidos Mexicanos. Dicha autonomía financiera municipal constituye un pilar fundamental para que los municipios ejerzan sus funciones de manera efectiva, eficiente y conforme a las necesidades reales de sus comunidades.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rPr>
      </w:pPr>
      <w:r w:rsidRPr="00B63A81">
        <w:rPr>
          <w:rFonts w:ascii="Times New Roman" w:eastAsia="Calibri" w:hAnsi="Times New Roman" w:cs="Times New Roman"/>
          <w:sz w:val="24"/>
          <w:szCs w:val="24"/>
        </w:rPr>
        <w:t>El propósito central de este ordenamiento legal, es fortalecer las haciendas públicas municipales, garantizando su suficiencia recaudatoria y sostenibilidad a largo plazo, con pleno respeto al marco constitucional y a los objetivos de desarrollo estatal y nacional. Se busca dotar a los municipios de las herramientas legales necesarias para recaudar y administrar sus ingresos de manera independiente, responsable y transparente, en armonía con las políticas públicas del Gobierno del Estado de México.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El artículo 115 Constitucional establece la autonomía de los municipios en aspectos administrativos, fiscales y de gobierno. Este principio se interpreta en la presente Ley como un mandato para robustecer la capacidad de los gobiernos municipales, en la generación de ingresos propios, coadyuvando a reducir su dependencia de los recursos estatales o federales, permitiendo que gestionen sus ingresos de manera eficaz, fortalecer la autonomía y la descentralización efectiva del poder. Ello permite que las decisiones gubernamentales se adopten con mayor enfoque en la ciudadanía, mejorando la eficacia de las políticas públicas y fomentando corresponsabilidad social en el cumplimiento de las obligaciones fiscales que mandata nuestra carta Magna.</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rPr>
      </w:pPr>
      <w:r w:rsidRPr="00B63A81">
        <w:rPr>
          <w:rFonts w:ascii="Times New Roman" w:eastAsia="Calibri" w:hAnsi="Times New Roman" w:cs="Times New Roman"/>
          <w:sz w:val="24"/>
          <w:szCs w:val="24"/>
        </w:rPr>
        <w:t>La iniciativa se enmarca en los principios rectores del Gobierno del Estado de México, que encabeza la suscrita, quien ha orientado su administración hacia un ejercicio de gobierno caracterizado por la honestidad, la austeridad, la justicia social, la transparencia y la cercanía con la gente. Bajo esta visión, la gestión pública se concibe como un servicio al pueblo, con un enfoque profundamente humano, solidario y comprometido con las personas que más lo necesitan.</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rPr>
      </w:pPr>
      <w:r w:rsidRPr="00B63A81">
        <w:rPr>
          <w:rFonts w:ascii="Times New Roman" w:eastAsia="Calibri" w:hAnsi="Times New Roman" w:cs="Times New Roman"/>
          <w:sz w:val="24"/>
          <w:szCs w:val="24"/>
        </w:rPr>
        <w:t>El contenido de esta Ley, refleja la visión de gobierno de la titular del Poder Ejecutivo Estatal, quien ha sostenido que el poder público debe ser instrumento del pueblo y no privilegio de unos cuantos. Bajo esta convicción, se orienta la política hacendaria hacia un modelo redistributivo y solidario, donde los beneficios fiscales se traduzcan en justicia social y apoyo efectivo a quienes más lo necesitan.</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La presente Ley de Ingresos de los Municipios se formula en congruencia con el Plan de Desarrollo del Estado de México 2023-2029, el cual promueve un desarrollo sostenible, equitativo e incluyente con enfoque de derechos humanos y perspectiva de género en el Estado, la recaudación de los ingresos municipales se proyecta como un medio para impulsar el crecimiento económico, así como la inversión productiva, mejorar los servicios públicos y reducir las desigualdades territoriales que aún persisten en la Entidad.</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lastRenderedPageBreak/>
        <w:t>En coherencia con los objetivos de la actual administración estatal, esta Ley mantiene e impulsa medidas orientadas a garantizar finanzas municipales sanas, sostenibles y con sentido social, procurando un equilibrio entre la suficiencia recaudatoria y el bienestar ciudadano. Las disposiciones propuestas favorecen un modelo de ingresos progresivo, que protege a los sectores más vulnerables y promueve la justicia fiscal.</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La presente propuesta se encuentra además alineada con los principios enarbolados del Gobierno Federal, los cuales buscan erradicar la corrupción, hacer más eficiente el gasto público, y reducir la pobreza y desigualdad en el país, promueve además, una administración de los recursos públicos, honesta, austera y comprometida con el bienestar de la población, orientada hacia la inclusión social y la equidad fiscal, lo que refleja el compromiso de los municipios del Estado de México con los ideales de transformación nacional.</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Por ello, se conservan estímulos fiscales dirigidos a las personas pensionadas o jubiladas, en situación de discapacidad, orfandad, viudez o vulnerabilidad económica, así como a madres y padres solteros sin ingresos fijos. Estos beneficios no constituyen privilegios, sino instrumentos de equidad tributaria y justicia social, mediante los cuales se materializa la obligación del Estado de proteger a quienes enfrentan mayores condiciones de desigualdad.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Asimismo, se preservan los incentivos destinados a fomentar la inversión local y la creación de empleos, a través de bonificaciones fiscales en materia de Impuesto Predial y otros rubros municipales, promoviendo que las empresas que inicien operaciones en territorio mexiquense contribuyan al desarrollo económico regional. Tales disposiciones se sustentan en la visión de la Gobernadora de convertir al Estado de México en una entidad competitiva, solidaria y con oportunidades compartidas.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De igual forma, se mantienen los estímulos orientados a la protección del medio ambiente y al uso de energías limpias, como las bonificaciones por instalación de sistemas fotovoltaicos o por manejo integral de residuos sólidos urbanos. Con ello, los municipios se suman al compromiso estatal de sostenibilidad y preservación del entorno, en consonancia con los Objetivos de Desarrollo Sostenible y las políticas ambientales nacionales.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Para garantizar certeza jurídica, la Iniciativa ratifica la política de bonificaciones y recargos vigente en ejercicios anteriores, conservando porcentajes ya aprobados por la Legislatura Local, lo cual otorga continuidad normativa, estabilidad financiera y confianza al contribuyente.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Además, se refuerza la obligación de que todas las medidas fiscales municipales se instrumenten mediante acuerdos de cabildo, algunos de ellos por su especialización, con base en los lineamientos aprobados en el marco del Sistema de Coordinación Hacendaria del Estado de México, asegurando la transparencia, la legalidad y la rendición de cuentas en cada determinación adoptada por los gobiernos locales.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De manera particular se destaca lo siguiente:</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En la presente Iniciativa de Ley de Ingresos de los Municipios del Estado de México para el Ejercicio Fiscal 2026, las autoridades hacendarias municipales, estimaron conveniente, establecer en sus artículos 2 y 3, el porcentaje de recargos por pago extemporáneo de créditos fiscales a razón del 1.85 por ciento mensual sobre el monto total de los mismos, mientras que el porcentaje mensual </w:t>
      </w:r>
      <w:r w:rsidRPr="00B63A81">
        <w:rPr>
          <w:rFonts w:ascii="Times New Roman" w:eastAsia="Calibri" w:hAnsi="Times New Roman" w:cs="Times New Roman"/>
          <w:sz w:val="24"/>
          <w:szCs w:val="24"/>
          <w:lang w:val="es-ES_tradnl"/>
        </w:rPr>
        <w:lastRenderedPageBreak/>
        <w:t xml:space="preserve">de recargos sobre saldos insolutos, cuando se concedan prórrogas para el pago de créditos fiscales, en 1.38 por ciento mensual.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En lo que atañe al pago de las contribuciones y demás ingresos de índole municipal, previstos en el artículo 1 de la Ley, se propone mediante el artículo 4 que se realice en las oficinas recaudadoras de la Tesorería Municipal correspondiente, en las de los organismos del sector auxiliar de la Administración Pública Municipal, en la Caja General de Gobierno de la Subsecretaría de Tesorería de la Secretaría de Finanzas del Gobierno del Estado de México, cuando exista Convenio para tal efecto; en instituciones o entidades del sistema financiero mexicano debidamente autorizadas, así como en las oficinas o establecimientos que el propio Ayuntamiento designe y a través de los medios electrónicos que determine la Tesorería Municipal.</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Para el caso de la contratación de financiamientos se propone a través del artículo 5 de la Ley, que los Ayuntamientos puedan contratarlos a su cargo, así como asumir obligaciones contingentes, exclusivamente para inversiones públicas productivas o para la reestructuración o refinanciamiento de pasivos, en estricto apego a lo dispuesto por el Título Octavo del Código Financiero del Estado de México y Municipios, la Ley de Disciplina Financiera de las Entidades Federativas y los Municipios, la Ley Federal de Presupuesto y Responsabilidad Hacendaria; así como a las Leyes y Reglamentos que regulen, de manera individual o colectiva, los ingresos federales, estatales o extraordinarios que reciban los municipios.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También se propone en el artículo 6 de esta iniciativa de Ley, que los ingresos municipales, cualquiera que sea su origen o naturaleza, deberán registrarse por la Tesorería Municipal y formar parte de la Cuenta Pública que corresponda, de acuerdo con los ordenamientos aplicables.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Por cuanto al pago anual anticipado del Impuesto Predial, se propone conservar en el artículo 7, para que en el ejercicio fiscal 2026 se otorgue una bonificación del 8, 6 y 4 por ciento, durante los meses de enero, febrero y marzo, respectivamente; cuando se realice el pago en una sola exhibición. De igual manera, se mantiene el estímulo por puntual cumplimiento en el pago de los dos últimos años, en 8, 6 y 2 por ciento; como bonificación adicional, aplicable en los meses de enero, febrero y marzo, respectivamente; estableciendo que la autoridad fiscal, puede utilizar como base para su otorgamiento los datos que obran en el registro de pagos electrónicos con que se cuente o a través de los respectivos comprobantes de pago de los dos ejercicios fiscales anteriores respectivos; quedando claramente establecido que, en cualquier caso, el monto a pagar por concepto del Impuesto Predial, no podrá ser inferior a la cuota fija establecida en el rango 1 de la tarifa del artículo 109 del Código Financiero del Estado de México y Municipios.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Por lo que hace a los Derechos por los servicios de Suministro de Agua Potable, Drenaje, Alcantarillado y Recepción de los Caudales de Aguas Residuales para su Tratamiento, se acordó mantener en el artículo 8, la bonificación por pago anual anticipado, en 8, 6 y 4 por ciento, cuando se realice el pago de estos derechos en una sola exhibición, durante los meses de enero, febrero y marzo, respectivamente. Asimismo, se propone que la bonificación adicional por concepto de estímulo por cumplimiento en el pago puntual de esta contribución, de los dos últimos años, sea del 4 y 2 por ciento, aplicable para los meses de enero y febrero, respectivamente.</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Considerando que los tratamientos preferenciales constituyen acciones de política fiscal en beneficio de la población, mediante esta Iniciativa, se propone en el artículo 9, continuar otorgando una bonificación de hasta el 34 por ciento en el pago del Impuesto Predial, como una medida de apoyo destinada a determinados sectores de la población: a las personas pensionadas o jubiladas, </w:t>
      </w:r>
      <w:r w:rsidRPr="00B63A81">
        <w:rPr>
          <w:rFonts w:ascii="Times New Roman" w:eastAsia="Calibri" w:hAnsi="Times New Roman" w:cs="Times New Roman"/>
          <w:sz w:val="24"/>
          <w:szCs w:val="24"/>
          <w:lang w:val="es-ES_tradnl"/>
        </w:rPr>
        <w:lastRenderedPageBreak/>
        <w:t>personas en situación de orfandad menores de 18 años, personas en situación de discapacidad, personas adultas mayores, personas viudas, madres o padres solteros, sin ingresos fijos, y aquellas personas físicas cuya percepción diaria no rebase dos salarios mínimos generales vigentes; así como a aquellas personas liberadas con motivo de amnistía estatal. Se precisa que los montos, términos y condiciones para su otorgamiento, serán determinados mediante el acuerdo de cabildo correspondiente, debiendo para su aplicación, acreditar la condición de propietario o poseedor que habita el inmueble, cuyo uso deberá ser únicamente habitacional; por lo que cuando existan dos o más inmuebles con estas condiciones, el beneficio se aplicará solamente a uno de ellos y en cualquier caso, el monto a pagar por concepto de Impuesto Predial, no podrá ser inferior a la cuota fija establecida en el rango 1 de la tarifa del artículo 109 del Código Financiero del Estado de México y Municipios.</w:t>
      </w:r>
    </w:p>
    <w:p w:rsidR="00B63A81" w:rsidRPr="00B63A81" w:rsidRDefault="00B63A81" w:rsidP="00B63A81">
      <w:pPr>
        <w:autoSpaceDE w:val="0"/>
        <w:autoSpaceDN w:val="0"/>
        <w:adjustRightInd w:val="0"/>
        <w:spacing w:after="0" w:line="240" w:lineRule="auto"/>
        <w:jc w:val="right"/>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En el mismo sentido, como apoyo a la población de escasos recursos o en condiciones de vulnerabilidad, se propone que en el artículo 10 se otorgue una bonificación, en el pago de los Derechos por servicios de Suministro de Agua Potable, Drenaje, Alcantarillado y Recepción de los Caudales de Aguas Residuales para su Tratamiento, para el ejercicio fiscal 2026, armonizando el porcentaje máximo de bonificación con el previsto para el Impuesto Predial, previsto en el artículo 9 de la Ley, el cual será del 34% y a efecto de brindar certeza jurídica y claridad operativa, tanto a los ciudadanos como a los prestadores de servicios, se establece de manera precisa y uniforme los supuestos para la aplicación de la bonificación para dicha población, con base en criterios socioeconómicos definidos y evaluables, con lo cual se pretende garantizar un trato igualitario para todas las personas en situación de vulnerabilidad en los distintos municipios del Estado de México, eliminando interpretaciones discrecionales o excluyentes; las personas que se contemplan son: personas pensionadas o jubiladas, personas que presenten una discapacidad del cincuenta por ciento o más, conforme a lo dispuesto por la Ley Federal del Trabajo, personas viudas, personas con sesenta años o más de edad, personas menores de edad en situación de orfandad, personas en estado de gestión y/o lactancia, personas con estado civil soltero que acrediten tener dependientes económicos, personas liberadas con motivo de amnistía estatal, personas prestadoras de servicios de asistencia social a adultos y adultos mayores, niñas, niños y mujeres en situación de riesgo y vulnerabilidad, y personas madres jefas de familia sin ingresos fijos; siendo aplicable únicamente al beneficiario que acredite residir en el inmueble, sin incluir derivaciones de toma de agua y cuyos ingresos no excedan de dos salarios mínimos generales vigentes o que no cuente con ingresos fijos, y en cuyo caso, deberá presentar el comprobante de ingresos correspondiente o un estudio socioeconómico, emitido por instituciones oficiales autorizadas; precisándose además que el monto de los apoyos, así como los términos y condiciones para su otorgamiento, se establecerán a través del correspondiente acuerdo de cabildo en cada uno de los municipios de la Entidad.</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Adicionalmente se propone conservar para el ejercicio fiscal 2026, la medida fiscal señalada en el artículo 11, para fomentar la inversión y fortalecer la competitividad de los municipios, mediante el otorgamiento de una bonificación fiscal de hasta el 100 por ciento, en el monto del pago del Impuesto Predial; a cargo de empresas propietarias de inmuebles, que acrediten el inicio de operaciones, con su fuente de empleo de acuerdo a la normativa aplicable, y que tengan su domicilio ubicado en territorio municipal, precisándose que el monto de los apoyos, así como los términos, plazos y condiciones en cuanto a su otorgamiento, se determinarán en el correspondiente acuerdo de cabildo, con base a los lineamientos aprobados en el marco del Sistema de Coordinación Hacendaria del Estado de México.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Por la presente iniciativa se propone en el artículo 12 que los propietarios o poseedores de inmuebles que se ubiquen en alguna manzana catastral que no se encuentre incluida en las Tablas </w:t>
      </w:r>
      <w:r w:rsidRPr="00B63A81">
        <w:rPr>
          <w:rFonts w:ascii="Times New Roman" w:eastAsia="Calibri" w:hAnsi="Times New Roman" w:cs="Times New Roman"/>
          <w:sz w:val="24"/>
          <w:szCs w:val="24"/>
          <w:lang w:val="es-ES_tradnl"/>
        </w:rPr>
        <w:lastRenderedPageBreak/>
        <w:t>de Valores Unitarios de Suelo y Construcciones, publicadas para efectos de la determinación del valor catastral, puedan calcularlo considerando el valor unitario del suelo del área homogénea o de la banda de valor que contiene la manzana catastral en donde se ubique el inmueble, por la superficie del predio; y en el supuesto de que existieran edificaciones en el predio, el valor unitario de construcción que le corresponda, según la Tabla de Valores Unitarios de Construcciones, por la superficie construida.</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En otro orden de ideas, las autoridades fiscales municipales consideraron procedente para el ejercicio fiscal 2026, establecer en el artículo 13 que el factor de actualización de los montos de los créditos fiscales pagados fuera de los plazos que señala el Código Financiero del Estado de México y Municipios, sea del 0.54 por ciento, por cada mes o fracción que transcurra sin haberse efectuado el pago respectivo.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La Iniciativa que se presenta, propone en su artículo 14, que los ayuntamientos otorguen estímulos fiscales, mediante bonificaciones de hasta el 100 por ciento, en el monto del pago del Impuesto Predial y los accesorios legales, causados respecto de ejercicios anteriores, en apoyo de los propietarios o poseedores de inmuebles, que se presenten a regularizar sus adeudos en el marco de programas de regularización de la tenencia de la tierra, a través de organismos públicos creados para tal efecto; señalando que los montos y requisitos para su otorgamiento, serán determinados en el correspondiente acuerdo de cabildo.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De igual modo, en el artículo 15, se propone que los ayuntamientos puedan otorgar estímulos fiscales a través de bonificaciones de hasta el 100 por ciento, a favor de los contribuyentes obligados al pago del Impuesto sobre Adquisición de Inmuebles y otras Operaciones Traslativas de Dominio de Inmuebles, en los recargos y la multa que corresponda, respecto de operaciones realizadas mediante Programas de Regularización de la Tenencia de la Tierra, promovidos por organismos públicos creados para tal efecto, y que se presenten a regularizar sus adeudos durante el ejercicio fiscal 2026; señalando que los montos y requisitos para su otorgamiento, serán determinados en el correspondiente acuerdo de cabildo.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Señores Diputados, se expone para su alta consideración la propuesta en el artículo 16 a fin de que los ayuntamientos puedan conceder estímulos fiscales de hasta el 100 por ciento en el monto del pago del Impuesto sobre Adquisición de Inmuebles y otras Operaciones Traslativas de Dominio de Inmuebles, los recargos y la multa respectiva, mediante el correspondiente acuerdo de cabildo, a las personas que adquieran viviendas de tipo social progresiva, de interés social y popular, a través de los organismos públicos creados para tal efecto, siempre que se presenten a pagar durante el Ejercicio Fiscal 2026.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En este mismo sentido, en el artículo 17, se propone que los ayuntamientos, mediante acuerdo de cabildo, otorguen a favor de los contribuyentes sujetos al pago del Impuesto sobre Adquisición de Inmuebles y otras Operaciones Traslativas de Dominio de Inmuebles, estímulos fiscales hasta del 100 por ciento en el monto de la contribución, en el marco de los programas de regularización de vivienda con uso habitacional, en los que participe el Gobierno del Estado de México, por conducto de las Dependencias respectivas, el Instituto de la Función Registral del Estado de México y el Colegio de Notarios del Estado de México, según corresponda.</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Así mismo, se propone en el artículo 18, a efecto de que durante el ejercicio fiscal 2026, los ayuntamientos otorguen estímulos fiscales a favor de los propietarios o poseedores de predios, destinados a actividades agropecuarias, acuícolas y forestales, sujetos al pago del Impuesto Predial, </w:t>
      </w:r>
      <w:r w:rsidRPr="00B63A81">
        <w:rPr>
          <w:rFonts w:ascii="Times New Roman" w:eastAsia="Calibri" w:hAnsi="Times New Roman" w:cs="Times New Roman"/>
          <w:sz w:val="24"/>
          <w:szCs w:val="24"/>
          <w:lang w:val="es-ES_tradnl"/>
        </w:rPr>
        <w:lastRenderedPageBreak/>
        <w:t>consistentes en bonificaciones de hasta el 100 por ciento en el monto de la contribución a su cargo, y de los accesorios legales causados, cuando se presenten a regularizar sus adeudos; precisándose, que los montos, términos y condiciones para su otorgamiento se determinarán mediante acuerdo de cabildo.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Se somete a su consideración el artículo 19 en el cual se establece que los ayuntamientos puedan otorgar estímulos fiscales, a través de bonificaciones de hasta el 50 por ciento en el monto del pago del Impuesto Predial por los Ejercicios Fiscales de 2024 y anteriores, a favor de los propietarios o poseedores de inmuebles, destinados a casa habitación, cuando se presenten a regularizar sus adeudos durante el ejercicio fiscal 2026; precisando igualmente que los montos, términos y condiciones para su otorgamiento se determinarán mediante el acuerdo de cabildo correspondiente.</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En los mismos términos, se propone en el artículo 20 que los ayuntamientos, mediante acuerdo de cabildo, otorguen a favor de los contribuyentes sujetos al pago de los Derechos por los servicios de Suministro de Agua Potable, de Drenaje y Alcantarillado, que regularicen sus adeudos durante el Ejercicio Fiscal 2026, bonificaciones de hasta el 50 por ciento, en el monto de la contribución a su cargo por los Ejercicios Fiscales anteriores, incluyendo los accesorios legales causados.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Adicionalmente se propone el artículo 21 a efecto de que, durante el ejercicio fiscal 2026, los ayuntamientos otorguen a favor de los contribuyentes, estímulos fiscales a través de bonificaciones de hasta el 100 por ciento, en el pago de contribuciones que corresponda, cuando los inmuebles se destinen a la apertura de unidades económicas de bajo impacto de conformidad con la normativa aplicable, precisando, que los términos y condiciones para su otorgamiento, se determinarán igualmente mediante acuerdo de cabildo.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Conscientes de la importancia de realizar acciones para cuidar el medio ambiente, en el artículo 22 se prevé para el ejercicio fiscal 2026, la previsión para que los ayuntamientos, mediante acuerdo de cabildo, puedan otorgar a favor de los propietarios y/o poseedores de inmuebles, estímulos fiscales a través de bonificaciones de hasta el 10 por ciento, en el pago del Impuesto Predial, siempre que acrediten el manejo integral de residuos sólidos urbanos y/o la práctica de acciones de impacto dirigidas a la sostenibilidad del medio ambiente, según lo previsto por la normativa aplicable, previa emisión del dictamen de procedencia, que para tal efecto, expida la unidad administrativa municipal encargada de medio ambiente o ecología, según corresponda.</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Asimismo, se propone el artículo 23 para que en el ejercicio fiscal 2026, los ayuntamientos mediante acuerdo de cabildo, puedan cancelar créditos fiscales</w:t>
      </w:r>
      <w:r w:rsidRPr="00B63A81">
        <w:rPr>
          <w:rFonts w:ascii="Times New Roman" w:eastAsia="Calibri" w:hAnsi="Times New Roman" w:cs="Times New Roman"/>
          <w:sz w:val="24"/>
          <w:szCs w:val="24"/>
        </w:rPr>
        <w:t xml:space="preserve"> </w:t>
      </w:r>
      <w:r w:rsidRPr="00B63A81">
        <w:rPr>
          <w:rFonts w:ascii="Times New Roman" w:eastAsia="Calibri" w:hAnsi="Times New Roman" w:cs="Times New Roman"/>
          <w:sz w:val="24"/>
          <w:szCs w:val="24"/>
          <w:lang w:val="es-ES_tradnl"/>
        </w:rPr>
        <w:t xml:space="preserve">causados con anterioridad al 1 de enero de 2022, cuyo cobro tenga encomendado la Tesorería Municipal, siendo imprescindible además, que el importe del crédito al 31 de diciembre de 2021, sea igual o menor a tres mil pesos. Para ello se señala claramente que la cancelación de créditos fiscales, no procederá cuando se trate de dos o más créditos a cargo de una misma persona, y la suma de los mismos, exceda el límite de tres mil pesos referido, ni cuando tengan su origen en el Impuesto Predial o en los Derechos por el Servicio de Suministro de Agua Potable; así como tampoco, en el caso de créditos que deriven de multas administrativas no fiscales o de responsabilidades administrativas. Así mismo, que mediante acuerdo de cabildo, se pueda facultar a la Tesorería Municipal, para cancelar créditos, </w:t>
      </w:r>
      <w:r w:rsidRPr="00B63A81">
        <w:rPr>
          <w:rFonts w:ascii="Times New Roman" w:eastAsia="Calibri" w:hAnsi="Times New Roman" w:cs="Times New Roman"/>
          <w:sz w:val="24"/>
          <w:szCs w:val="24"/>
        </w:rPr>
        <w:t>no solo en los supuestos de imposibilidad de cobro, sino también por incosteabilidad o insolvencia del deudor o responsable solidario, de conformidad a lo aplicable en el Código Financiero del Estado de México y Municipios.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lastRenderedPageBreak/>
        <w:t>Con el objeto de otorgar mayor claridad y seguridad jurídica a los contribuyentes, respecto de los importes máximos que están obligados a enterar por concepto del Impuesto Predial, en el artículo 24 se propone para el ejercicio fiscal 2026, el límite de incremento sobre el importe anual a pagar por este Impuesto sea del 20 por ciento, respecto al monto total que se debió pagar en el ejercicio fiscal 2025, conforme a lo dispuesto en el artículo 109 del Código Financiero del Estado de México y Municipios; sin considerar la aplicación de algún subsidio, descuento o beneficio fiscal, así como tampoco actualizaciones, recargos y multas. Esto con la salvedad de que no se realice alguna modificación de la superficie de terreno y/o construcción, así como en la tipología de construcción de los inmuebles respectivos.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Se propone en el artículo 25, conservar la previsión, para que los sujetos obligados al pago del Impuesto Predial, puedan compensar contra dicha contribución determinada, hasta una cantidad igual al 50 por ciento del valor total, de la inversión que realicen en la adquisición, instalación y operación de energía fotovoltaica; siempre y cuando, la inversión se realice cumpliendo con los requisitos fiscales establecidos en el Código Fiscal de la Federación.</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Se propone en el artículo 26, que permanezca la directriz que hace posible homologar y clarificar la aplicación de la porción normativa relativa a los beneficios fiscales en materia de Impuesto Predial y de Derechos por los servicios de Suministro de Agua Potable, Drenaje, Alcantarillado y Recepción de los Caudales de Aguas Residuales para su Tratamiento, cuando a los contribuyentes de dichas contribuciones les resulten aplicables dos o más bonificaciones fiscales de aquellas establecidas en esta Ley. Lo anterior, por considerarse que otorga mayor certeza jurídica al dispositivo y precisa que en ningún momento dará lugar a que el contribuyente beneficiado, realice el pago de un monto menor a la cuota fija establecida en el rango 1 de la tarifa del artículo 109 del Código Financiero del Estado de México y Municipios, o bien, a los caudales mínimos establecidos en el artículo 130 del Código Financiero del Estado de México y Municipios. Al efecto, también se conserva la disposición transitoria complementaria, que precisa el régimen jurídico de trato aplicable a las situaciones jurídicas que pudieran presentarse, con el objeto de ajustar el marco jurídico de actuación y aplicación total e inmediato, respecto de los ingresos provenientes de los conceptos y en las cantidades estimadas que se pretenden recaudar con motivo de los estímulos fiscales y con el objeto de que las autoridades tanto estatales como municipales provean lo necesario, a fin de asegurar la debida observancia de la Ley.</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Con el propósito de garantizar el derecho humano a una vivienda adecuada para personas en situación de vulnerabilidad, se incorpora un artículo 27 que permitirá en su caso, a los Ayuntamientos que hayan suscrito convenios o instrumentos de coordinación con la Federación o el Estado, relacionados a los Programas de Vivienda Social Gubernamental, exentar hasta el 100 por ciento de las contribuciones, aprovechamientos y sus accesorios de los trámites, permisos, autorizaciones, registros, inscripciones y cualquier otro que se requiera para el desarrollo eficiente de dichos Programas, incluyendo los relativos para la escrituración y transmisión de la propiedad, así como que los términos, plazos y condiciones en cuanto a su otorgamiento, se determinarán en el correspondiente acuerdo de cabildo, de conformidad con los términos de los convenios o instrumentos de coordinación suscritos al efecto. Para materializar dicho tratamiento fiscal, resulta necesaria una disposición transitoria que permita aplicar dicha medida fiscal a partir de la entrada en vigor del presente Decreto, excepto de conjuntos urbanos, condominios o proyectos habitacionales de los cuales será a partir de la fecha de suscripción de los convenios, estableciendo un plazo de ciento veinte días hábiles para adecuar o emitir las disposiciones administrativas aplicables.</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lastRenderedPageBreak/>
        <w:t>Es importante hacer del conocimiento que la presente Iniciativa es consecuencia del estudio, análisis, y consenso de las propuestas emitidas por los tesoreros y demás personas servidoras públicas municipales a lo largo de todo el presente año, en el marco del Sistema de Coordinación Hacendaria Estatal, emitidas con el propósito de actualizar el marco jurídico fiscal de actuación de los municipios en el Estado de México, las cuales fueron ratificadas por los Presidentes Municipales en fecha 07 de noviembre del año en curso, en la XXVI Reunión Estatal de Servidores Públicos Hacendarios, constituida en la XXVI Asamblea Anual del Consejo Directivo del Instituto Hacendario del Estado de México.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En congruencia con los principios que guían a la actual administración estatal, se hace énfasis en que la administración de los recursos públicos debe realizarse con honestidad, eficiencia y austeridad, orientando cada peso a mejorar la calidad de vida de las y los mexiquenses. En esta Ley se expresa el compromiso de destinar los recursos públicos con una visión humanista, privilegiando el bienestar de los más pobres, la inclusión de las comunidades rurales y la igualdad sustantiva entre mujeres y hombres.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El Estado de México se conforma por un diverso y dinámico ámbito de gobierno municipal, integrado por 125 ayuntamientos que constituyen el primer contacto entre la administración pública y la ciudadanía. Esta pluralidad territorial exige un marco de ingresos justo, equilibrado y adaptable a las condiciones económicas, sociales y geográficas de cada municipio. La presente Ley reconoce que la solidez del Estado se construye desde sus municipios y que el fortalecimiento de sus haciendas locales es un acto de justicia institucional y de respeto a la autonomía municipal.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La administración pública estatal y los gobiernos municipales actúan como partes complementarias de un mismo sistema político y financiero. En ese sentido, esta Ley consolida el principio de coordinación hacendaria como un eje de cooperación entre niveles de gobierno, a través del intercambio de información, la asistencia técnica y la armonización normativa impulsada por la Secretaría de Finanzas y el Instituto Hacendario del Estado de México. Ésta colaboración no sólo fortalece la recaudación, sino que asegura que los recursos públicos se administren con legalidad, transparencia y equidad.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El desarrollo local sostenible depende de la capacidad institucional de los municipios y del acompañamiento de la administración estatal. Por ello, esta Ley promueve un modelo de corresponsabilidad en el que los municipios y el Estado colaboran para mejorar la gestión fiscal, impulsar la inversión pública y ampliar la cobertura de servicios básicos. Este esfuerzo conjunto representa una visión de Estado solidario, en el que el progreso de un municipio fortalece a toda la Entidad.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Bajo la guía de los principios que inspiran el gobierno de mi administración, proximidad, justicia social, transparencia y austeridad, el trabajo coordinado entre los tres órdenes de gobierno reafirma que la política fiscal debe servir al pueblo y no al privilegio. Así, la coordinación entre municipios y administración estatal se convierte en un instrumento para garantizar que el desarrollo llegue a cada rincón del Estado de México, sin exclusiones y con un sentido de equidad territorial.</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La Iniciativa también reafirma el principio de transparencia y rendición de cuentas, conforme a la Ley de Fiscalización Superior y la Ley de Contabilidad Gubernamental, garantizando que los ingresos públicos se administren con probidad, eficiencia y apego a la legalidad, fortaleciendo la confianza ciudadana en las instituciones municipales.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lastRenderedPageBreak/>
        <w:t xml:space="preserve">Con esta propuesta se pretende, asimismo, fortalecer la cooperación entre el Estado y los municipios para consolidar un sistema hacendario moderno, eficiente y participativo, donde la corresponsabilidad fiscal se traduzca en desarrollo local, infraestructura pública y servicios dignos para la población.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En suma, la Ley de Ingresos de los Municipios del Estado de México para el Ejercicio Fiscal 2026 es una expresión del compromiso del Gobierno Estatal con la transformación profunda de la vida pública, con la justicia y con la equidad. Representa una herramienta de política hacendaria al servicio del pueblo, que combina austeridad, transparencia y sentido social.</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 xml:space="preserve">En su espíritu, esta Ley retoma los principios que me guían de poner al centro a las personas, gobernar con el corazón, trabajar con humildad y devolver al pueblo lo  que siempre le ha pertenecido. </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sz w:val="24"/>
          <w:szCs w:val="24"/>
          <w:lang w:val="es-ES_tradnl"/>
        </w:rPr>
      </w:pPr>
      <w:r w:rsidRPr="00B63A81">
        <w:rPr>
          <w:rFonts w:ascii="Times New Roman" w:eastAsia="Calibri" w:hAnsi="Times New Roman" w:cs="Times New Roman"/>
          <w:sz w:val="24"/>
          <w:szCs w:val="24"/>
          <w:lang w:val="es-ES_tradnl"/>
        </w:rPr>
        <w:t>Por lo anteriormente expuesto, se somete a la alta consideración de esta Honorable “LXII” Legislatura del Estado de México la presente Iniciativa de Ley de Ingresos de los Municipios para el Ejercicio Fiscal 2026, con la convicción de que a través de una hacienda pública fuerte, transparente y justa, se consolida el desarrollo del Estado de México y se avanza en la construcción de un gobierno del pueblo y para el pueblo.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b/>
          <w:bCs/>
          <w:sz w:val="20"/>
          <w:szCs w:val="20"/>
          <w:lang w:val="es-ES_tradnl"/>
        </w:rPr>
      </w:pP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b/>
          <w:bCs/>
          <w:sz w:val="20"/>
          <w:szCs w:val="20"/>
          <w:lang w:val="es-ES_tradnl"/>
        </w:rPr>
      </w:pPr>
    </w:p>
    <w:p w:rsidR="00B63A81" w:rsidRPr="00B63A81" w:rsidRDefault="00B63A81" w:rsidP="00B63A81">
      <w:pPr>
        <w:spacing w:after="0" w:line="240" w:lineRule="auto"/>
        <w:rPr>
          <w:rFonts w:ascii="Times New Roman" w:eastAsia="Calibri" w:hAnsi="Times New Roman" w:cs="Times New Roman"/>
          <w:b/>
          <w:bCs/>
          <w:sz w:val="20"/>
          <w:szCs w:val="20"/>
          <w:lang w:val="es-ES_tradnl"/>
        </w:rPr>
      </w:pPr>
      <w:r w:rsidRPr="00B63A81">
        <w:rPr>
          <w:rFonts w:ascii="Times New Roman" w:eastAsia="Calibri" w:hAnsi="Times New Roman" w:cs="Times New Roman"/>
          <w:b/>
          <w:bCs/>
          <w:sz w:val="20"/>
          <w:szCs w:val="20"/>
          <w:lang w:val="es-ES_tradnl"/>
        </w:rPr>
        <w:t>DECRETO NÚMERO:</w:t>
      </w:r>
    </w:p>
    <w:p w:rsidR="00B63A81" w:rsidRPr="00B63A81" w:rsidRDefault="00B63A81" w:rsidP="00B63A81">
      <w:pPr>
        <w:spacing w:after="0" w:line="240" w:lineRule="auto"/>
        <w:jc w:val="both"/>
        <w:rPr>
          <w:rFonts w:ascii="Times New Roman" w:eastAsia="Calibri" w:hAnsi="Times New Roman" w:cs="Times New Roman"/>
          <w:b/>
          <w:bCs/>
          <w:sz w:val="20"/>
          <w:szCs w:val="20"/>
          <w:lang w:val="es-ES_tradnl"/>
        </w:rPr>
      </w:pPr>
      <w:r w:rsidRPr="00B63A81">
        <w:rPr>
          <w:rFonts w:ascii="Times New Roman" w:eastAsia="Calibri" w:hAnsi="Times New Roman" w:cs="Times New Roman"/>
          <w:b/>
          <w:bCs/>
          <w:sz w:val="20"/>
          <w:szCs w:val="20"/>
          <w:lang w:val="es-ES_tradnl"/>
        </w:rPr>
        <w:t xml:space="preserve">LA H. “LXII” LEGISLATURA </w:t>
      </w:r>
    </w:p>
    <w:p w:rsidR="00B63A81" w:rsidRPr="00B63A81" w:rsidRDefault="00B63A81" w:rsidP="00B63A81">
      <w:pPr>
        <w:spacing w:after="0" w:line="240" w:lineRule="auto"/>
        <w:jc w:val="both"/>
        <w:rPr>
          <w:rFonts w:ascii="Times New Roman" w:eastAsia="Calibri" w:hAnsi="Times New Roman" w:cs="Times New Roman"/>
          <w:b/>
          <w:bCs/>
          <w:sz w:val="20"/>
          <w:szCs w:val="20"/>
          <w:lang w:val="es-ES_tradnl"/>
        </w:rPr>
      </w:pPr>
      <w:r w:rsidRPr="00B63A81">
        <w:rPr>
          <w:rFonts w:ascii="Times New Roman" w:eastAsia="Calibri" w:hAnsi="Times New Roman" w:cs="Times New Roman"/>
          <w:b/>
          <w:bCs/>
          <w:sz w:val="20"/>
          <w:szCs w:val="20"/>
          <w:lang w:val="es-ES_tradnl"/>
        </w:rPr>
        <w:t>DEL ESTADO DE MÉXICO</w:t>
      </w:r>
    </w:p>
    <w:p w:rsidR="00B63A81" w:rsidRPr="00B63A81" w:rsidRDefault="00B63A81" w:rsidP="00B63A81">
      <w:pPr>
        <w:spacing w:after="0" w:line="240" w:lineRule="auto"/>
        <w:jc w:val="both"/>
        <w:rPr>
          <w:rFonts w:ascii="Times New Roman" w:eastAsia="Calibri" w:hAnsi="Times New Roman" w:cs="Times New Roman"/>
          <w:b/>
          <w:bCs/>
          <w:sz w:val="20"/>
          <w:szCs w:val="20"/>
          <w:lang w:val="es-ES_tradnl"/>
        </w:rPr>
      </w:pPr>
      <w:r w:rsidRPr="00B63A81">
        <w:rPr>
          <w:rFonts w:ascii="Times New Roman" w:eastAsia="Calibri" w:hAnsi="Times New Roman" w:cs="Times New Roman"/>
          <w:b/>
          <w:bCs/>
          <w:sz w:val="20"/>
          <w:szCs w:val="20"/>
          <w:lang w:val="es-ES_tradnl"/>
        </w:rPr>
        <w:t>DECRETA:</w:t>
      </w:r>
    </w:p>
    <w:p w:rsidR="00B63A81" w:rsidRPr="00B63A81" w:rsidRDefault="00B63A81" w:rsidP="00B63A81">
      <w:pPr>
        <w:spacing w:after="0" w:line="240" w:lineRule="auto"/>
        <w:jc w:val="both"/>
        <w:rPr>
          <w:rFonts w:ascii="Times New Roman" w:eastAsia="Calibri" w:hAnsi="Times New Roman" w:cs="Times New Roman"/>
          <w:b/>
          <w:bCs/>
          <w:sz w:val="20"/>
          <w:szCs w:val="20"/>
          <w:lang w:val="es-ES_tradnl"/>
        </w:rPr>
      </w:pPr>
    </w:p>
    <w:p w:rsidR="00B63A81" w:rsidRPr="00B63A81" w:rsidRDefault="00B63A81" w:rsidP="00B63A81">
      <w:pPr>
        <w:autoSpaceDE w:val="0"/>
        <w:autoSpaceDN w:val="0"/>
        <w:adjustRightInd w:val="0"/>
        <w:spacing w:after="0" w:line="240" w:lineRule="auto"/>
        <w:jc w:val="center"/>
        <w:rPr>
          <w:rFonts w:ascii="Times New Roman" w:eastAsia="Calibri" w:hAnsi="Times New Roman" w:cs="Times New Roman"/>
          <w:b/>
          <w:bCs/>
          <w:sz w:val="20"/>
          <w:szCs w:val="20"/>
        </w:rPr>
      </w:pPr>
      <w:r w:rsidRPr="00B63A81">
        <w:rPr>
          <w:rFonts w:ascii="Times New Roman" w:eastAsia="Calibri" w:hAnsi="Times New Roman" w:cs="Times New Roman"/>
          <w:b/>
          <w:bCs/>
          <w:sz w:val="20"/>
          <w:szCs w:val="20"/>
        </w:rPr>
        <w:t>LEY DE INGRESOS DE LOS MUNICIPIOS DEL ESTADO DE MÉXICO</w:t>
      </w:r>
    </w:p>
    <w:p w:rsidR="00B63A81" w:rsidRPr="00B63A81" w:rsidRDefault="00B63A81" w:rsidP="00B63A81">
      <w:pPr>
        <w:spacing w:after="0" w:line="240" w:lineRule="auto"/>
        <w:jc w:val="center"/>
        <w:rPr>
          <w:rFonts w:ascii="Times New Roman" w:eastAsia="Calibri" w:hAnsi="Times New Roman" w:cs="Times New Roman"/>
          <w:b/>
          <w:bCs/>
          <w:sz w:val="20"/>
          <w:szCs w:val="20"/>
        </w:rPr>
      </w:pPr>
      <w:r w:rsidRPr="00B63A81">
        <w:rPr>
          <w:rFonts w:ascii="Times New Roman" w:eastAsia="Calibri" w:hAnsi="Times New Roman" w:cs="Times New Roman"/>
          <w:b/>
          <w:bCs/>
          <w:sz w:val="20"/>
          <w:szCs w:val="20"/>
        </w:rPr>
        <w:t>PARA EL EJERCICIO FISCAL 2026</w:t>
      </w:r>
    </w:p>
    <w:p w:rsidR="00B63A81" w:rsidRPr="00B63A81" w:rsidRDefault="00B63A81" w:rsidP="00B63A81">
      <w:pPr>
        <w:spacing w:after="0" w:line="240" w:lineRule="auto"/>
        <w:jc w:val="center"/>
        <w:rPr>
          <w:rFonts w:ascii="Times New Roman" w:eastAsia="Calibri" w:hAnsi="Times New Roman" w:cs="Times New Roman"/>
          <w:b/>
          <w:bCs/>
          <w:sz w:val="20"/>
          <w:szCs w:val="20"/>
        </w:rPr>
      </w:pPr>
    </w:p>
    <w:p w:rsidR="00B63A81" w:rsidRPr="00B63A81" w:rsidRDefault="00B63A81" w:rsidP="00B63A81">
      <w:pPr>
        <w:spacing w:after="0" w:line="240" w:lineRule="auto"/>
        <w:jc w:val="both"/>
        <w:rPr>
          <w:rFonts w:ascii="Times New Roman" w:eastAsia="Times New Roman" w:hAnsi="Times New Roman" w:cs="Times New Roman"/>
          <w:color w:val="000000"/>
          <w:sz w:val="20"/>
          <w:szCs w:val="20"/>
          <w:lang w:eastAsia="es-MX"/>
        </w:rPr>
      </w:pPr>
      <w:r w:rsidRPr="00B63A81">
        <w:rPr>
          <w:rFonts w:ascii="Times New Roman" w:eastAsia="Helvetica Neue" w:hAnsi="Times New Roman" w:cs="Times New Roman"/>
          <w:b/>
          <w:sz w:val="20"/>
          <w:szCs w:val="20"/>
          <w:lang w:val="es-ES_tradnl"/>
        </w:rPr>
        <w:t xml:space="preserve">Artículo 1.- </w:t>
      </w:r>
      <w:r w:rsidRPr="00B63A81">
        <w:rPr>
          <w:rFonts w:ascii="Times New Roman" w:eastAsia="Helvetica Neue" w:hAnsi="Times New Roman" w:cs="Times New Roman"/>
          <w:sz w:val="20"/>
          <w:szCs w:val="20"/>
          <w:lang w:val="es-ES_tradnl"/>
        </w:rPr>
        <w:t>La hacienda pública de los municipios del Estado de México, percibirá durante el Ejercicio Fiscal 2026, los ingresos provenientes de los conceptos que a continuación se enumeran:</w:t>
      </w:r>
    </w:p>
    <w:p w:rsidR="00B63A81" w:rsidRPr="00B63A81" w:rsidRDefault="00B63A81" w:rsidP="00B63A81">
      <w:pPr>
        <w:spacing w:after="0" w:line="240" w:lineRule="auto"/>
        <w:jc w:val="both"/>
        <w:rPr>
          <w:rFonts w:ascii="Times New Roman" w:eastAsia="Times New Roman" w:hAnsi="Times New Roman" w:cs="Times New Roman"/>
          <w:color w:val="000000"/>
          <w:sz w:val="20"/>
          <w:szCs w:val="20"/>
          <w:lang w:eastAsia="es-MX"/>
        </w:rPr>
      </w:pPr>
    </w:p>
    <w:tbl>
      <w:tblPr>
        <w:tblW w:w="5000" w:type="pct"/>
        <w:jc w:val="center"/>
        <w:tblLook w:val="0400" w:firstRow="0" w:lastRow="0" w:firstColumn="0" w:lastColumn="0" w:noHBand="0" w:noVBand="1"/>
      </w:tblPr>
      <w:tblGrid>
        <w:gridCol w:w="483"/>
        <w:gridCol w:w="681"/>
        <w:gridCol w:w="1010"/>
        <w:gridCol w:w="1270"/>
        <w:gridCol w:w="5961"/>
      </w:tblGrid>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IMPUESTOS: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Impuestos Sobre los Ingresos.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1.2.</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Impuestos Sobre el Patrimonio.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1.2.1.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Predial.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1.2.2.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Sobre Adquisición de Inmuebles y otras Operaciones Traslativas de Dominio de Inmuebles.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1.2.3.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Sobre Conjuntos Urbanos.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1.3.</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Impuestos Sobre la Producción, el Consumo y las Transacciones.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1.4.</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Impuestos al Comercio Exterior.</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1.5.</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Impuestos Sobre Nóminas y Asimilables.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1.6.</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Impuestos Ecológicos.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1.7.</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Accesorios de Impuestos.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1.7.1.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Multas.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1.7.2.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Recargos.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1.7.3.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Gastos de Ejecución.</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1.7.4.</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Indemnización por devolución de cheques.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1.8.</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Otros Impuestos.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1.8.1.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Sobre Anuncios Publicitarios.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1.8.2.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Sobre Diversiones, Juegos y Espectáculos Públicos.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1.9.</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Impuestos no Comprendidos en la Ley de Ingresos Vigente, Causados en Ejercicios Fiscales Anteriores Pendientes de Liquidación o Pago.</w:t>
            </w:r>
          </w:p>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2.</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CUOTAS Y APORTACIONES DE SEGURIDAD SOCIAL: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2.1.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Aportaciones para Fondos de Vivienda.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2.2.</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Cuotas para la Seguridad Social.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2.3.</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Cuotas de Ahorro para el Retiro.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2.4.</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Otras Cuotas y Aportaciones para la Seguridad Social.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2.5.</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Accesorios de Cuotas y Aportaciones de Seguridad Social.</w:t>
            </w:r>
          </w:p>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CONTRIBUCIONES DE MEJORAS: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Contribuciones de Mejoras por Obras Públicas.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Contribuciones de Mejoras por Obras Públicas.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Para Obras Públicas y Acciones de Beneficio Social.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Para Obras de Impacto Vial.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3.1.1.3.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Por Servicios Ambientales.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Accesorios de Contribución o Aportación de Mejoras por Obras Públicas.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3.1.2.1.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Multas.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3.1.2.2.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Recargos.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3.1.2.3.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Gastos de Ejecución.</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3.1.2.4.</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Indemnización por Devolución de Cheques.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3.9.</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Contribuciones de Mejoras no Comprendidas en la Ley de Ingresos Vigente, Causadas en Ejercicios Fiscales Anteriores Pendientes de Liquidación o Pago.</w:t>
            </w:r>
          </w:p>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DERECHOS: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Derechos por el Uso, Goce, Aprovechamiento o Explotación de Bienes de Dominio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4.1.1.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Uso de Vías y Áreas Públicas para el Ejercicio de Actividades Comerciales y de Servicios.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4.1.2.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Estacionamiento en la Vía Pública y de Servicio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Derechos por Prestación de Servicios.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Agua Potable, Drenaje, Alcantarillado y Recepción de Caudales de Aguas Residuales para su Tratamiento.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Registro Civil.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Desarrollo Urbano y Obras Públicas.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4.3.4.</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Prestados por Autoridades Fiscales, Administrativas y de Acceso a la Información Pública.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4.3.5.</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Rastros.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4.3.6.</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Corral de Concejo e Identificación de Señales de Sangre, Tatuajes, Elementos Electromagnéticos y Fierros para marcar Ganado y Magueyes.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4.3.7.</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Panteones.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4.3.8.</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Expedición o Refrendo Anual de Licencias para la Venta de Bebidas Alcohólicas al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4.3.9.</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prestados por Autoridades de Seguridad Pública.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4.3.10.</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prestados por Autoridades de Catastro.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4.3.11.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Alumbrado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4.3.12.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Limpieza de Lotes Baldíos, Recolección, Traslado y Disposición Final de Residuos Sólidos Industriales y Comerciales.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4.4.</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Otros Derechos.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4.5.</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Accesorios de Derechos.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4.5.1.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Multas.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4.5.2.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Recargos.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4.5.3.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Gastos de Ejecución.</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4.5.4.</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Indemnización por Devolución de Cheques.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4.9.</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Derechos no Comprendidos en la Ley de Ingresos Vigente, Causados en Ejercicios Fiscales Anteriores Pendientes de Liquidación o Pago.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4.9.1.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Derechos no Comprendidos en la Ley de Ingresos Vigente, Causados en Ejercicios Fiscales Anteriores Pendientes de Liquidación o Pago.</w:t>
            </w:r>
          </w:p>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lastRenderedPageBreak/>
              <w:t>5.</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PRODUCTOS: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Productos.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Productos Derivados del Uso y Aprovechamiento de Bienes no Sujetos a Régimen de Dominio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Por la Venta o Arrendamiento de Bienes Municipales.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Impresos y Papel Especial.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5.1.1.3.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Derivados de Bosques Municipales.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Otros Productos que Generan Ingresos Corrientes.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Derivados de Recursos Propios.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Derivados de Participaciones Federales.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Derivados del Ramo 33.</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5.1.2.4.</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Financieros por FISM.</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5.1.2.5.</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Financieros por FORTAMUNDF.</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5.1.2.6.</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Derivados de Recursos de Programas Estatales.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5.1.2.7.</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Rendimientos o Ingresos Derivados de las Actividades de Organismos Descentralizados y Empresas de Participación Municipal cuando por su Naturaleza Correspondan a actividades que no son Propias de Derecho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5.1.2.8.</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En General, todos aquellos Ingresos que perciba la Hacienda Pública Municipal, derivados de Actividades que no son Propias de Derecho Público, o por la Explotación de sus Bienes Patrimoniales.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5.9.</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Productos no Comprendidos en la Ley de Ingresos Vigente, Causados en Ejercicios Fiscales Anteriores Pendientes de Liquidación o Pago.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5.9.1.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Productos no Comprendidos en la Ley de Ingresos Vigente, Causados en Ejercicios Fiscales Anteriores Pendientes de Liquidación o Pago.</w:t>
            </w:r>
          </w:p>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APROVECHAMIENTOS: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Aprovechamientos.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Multas.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Indemnizaciones.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Reintegros.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6.1.4.</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Aprovechamientos Provenientes de Obras Públicas.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6.1.5.</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Otros Aprovechamientos.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6.1.5.1.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Uso o Explotación de Bienes de Dominio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6.1.5.2.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Herencias, Legados, Cesiones y Donaciones.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6.1.5.3.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Resarcimientos.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Calibri" w:hAnsi="Times New Roman" w:cs="Times New Roman"/>
                <w:b/>
                <w:bCs/>
                <w:sz w:val="20"/>
                <w:szCs w:val="20"/>
                <w:lang w:eastAsia="es-MX"/>
              </w:rPr>
              <w:t>6.2.</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Calibri" w:hAnsi="Times New Roman" w:cs="Times New Roman"/>
                <w:sz w:val="20"/>
                <w:szCs w:val="20"/>
                <w:lang w:eastAsia="es-MX"/>
              </w:rPr>
              <w:t>Aprovechamientos Patrimoniales.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Calibri" w:hAnsi="Times New Roman" w:cs="Times New Roman"/>
                <w:b/>
                <w:bCs/>
                <w:sz w:val="20"/>
                <w:szCs w:val="20"/>
                <w:lang w:eastAsia="es-MX"/>
              </w:rPr>
              <w:t>6.2.1.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Calibri" w:hAnsi="Times New Roman" w:cs="Times New Roman"/>
                <w:sz w:val="20"/>
                <w:szCs w:val="20"/>
                <w:lang w:eastAsia="es-MX"/>
              </w:rPr>
            </w:pPr>
            <w:r w:rsidRPr="00B63A81">
              <w:rPr>
                <w:rFonts w:ascii="Times New Roman" w:eastAsia="Calibri" w:hAnsi="Times New Roman" w:cs="Times New Roman"/>
                <w:sz w:val="20"/>
                <w:szCs w:val="20"/>
                <w:lang w:eastAsia="es-MX"/>
              </w:rPr>
              <w:t>Arrendamiento y Explotación de Bienes Muebles e Inmuebles.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r w:rsidRPr="00B63A81">
              <w:rPr>
                <w:rFonts w:ascii="Times New Roman" w:eastAsia="Calibri" w:hAnsi="Times New Roman" w:cs="Times New Roman"/>
                <w:b/>
                <w:bCs/>
                <w:sz w:val="20"/>
                <w:szCs w:val="20"/>
                <w:lang w:eastAsia="es-MX"/>
              </w:rPr>
              <w:t>6.2.2.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Calibri" w:hAnsi="Times New Roman" w:cs="Times New Roman"/>
                <w:sz w:val="20"/>
                <w:szCs w:val="20"/>
                <w:lang w:eastAsia="es-MX"/>
              </w:rPr>
            </w:pPr>
            <w:r w:rsidRPr="00B63A81">
              <w:rPr>
                <w:rFonts w:ascii="Times New Roman" w:eastAsia="Calibri" w:hAnsi="Times New Roman" w:cs="Times New Roman"/>
                <w:sz w:val="20"/>
                <w:szCs w:val="20"/>
                <w:lang w:eastAsia="es-MX"/>
              </w:rPr>
              <w:t>Enajenación de Bienes Muebles, Inmuebles e intangibles no Sujetos a ser Inventariados.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6.3.</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Accesorios de Aprovechamientos.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6.3.1.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Multas.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6.3.2.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Recargos.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6.3.3.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Gastos de Ejecución.</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6.3.4.</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Indemnización por Devolución de Cheques.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6.9.</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Aprovechamientos no Comprendidos en la Ley de Ingresos Vigente, Causados en Ejercicios Fiscales Anteriores Pendientes de Liquidación o Pago.</w:t>
            </w:r>
          </w:p>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INGRESOS POR VENTA DE BIENES Y PRESTACIÓN DE SERVICIOS Y OTROS INGRESOS: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Venta de Bienes y Prestación de Servicios de Instituciones Públicas de Seguridad Social.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7.2.</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Venta de Bienes y Prestación de Servicios de Empresas Productivas del Estado.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Venta de Bienes y Prestación de Servicios de Entidades Paraestatales y Fideicomisos No Empresariales y No Financieros.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ind w:left="709" w:hanging="709"/>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Estancias Infantiles.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Farmacias.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Médicos.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7.3.4.</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Productos Nutricionales (Amaranto, Soya, etc.).</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7.3.5.</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Velatorios.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7.3.6.</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Colegiaturas.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7.3.7.</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Huertos Familiares.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7.3.8.</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Alberca.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7.3.9.</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Panadería.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7.3.10.</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Laboratorio.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Baños Públicos.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Inscripciones.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Desayunos Escolares.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7.3.14.</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Productos Básicos (Despensas).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7.3.15.</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Jurídicos.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7.3.16.</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Psicológicos.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7.3.17.</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Terapia y Discapacidad.</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7.3.18.</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Diversos.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7.3.19.</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de Organismos del Deporte.</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7.3.20.</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Fideicomisos y Empresas de Participación Municipal.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Rendimientos o Ingresos Derivados de Organismos Descentralizados y Fideicomisos, cuando por su naturaleza correspondan a Actividades Propias de Derecho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Rendimientos o Ingresos Derivados de Empresas de Participación Estatal, cuando por su naturaleza correspondan a Actividades Propias de Derecho Público.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Agua embotellada.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7.3.24.</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Libros, revistas y otras publicaciones, ya sea impresas o de manera digital.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7.3.25.</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Publicaciones en plataformas digitales.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7.3.26.</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Artículos promocionales.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7.3.27.</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Cuota de recuperación alimentos en comedores comunitarios.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7.3.28.</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Uniformes, distintos de los que deben otorgarse derivados de una relación laboral o de los que se asignen por la estancia en albergues a cargo del Municipio.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7.3.29.</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Servicios de veterinaria en general.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7.4.</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Venta de Bienes y Prestación de Servicios de Entidades Paraestatales Empresariales No Financieras con Participación Estatal Mayoritaria.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7.5.</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Venta de Bienes y Prestación de Servicios de Entidades Paraestatales Empresariales Financieras Monetarias con Participación Estatal Mayoritaria.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7.6.</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Venta de Bienes y Prestación de Servicios de Entidades Paraestatales Empresariales Financieras No Monetarias con Participación Estatal Mayoritaria.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7.7.</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Venta de Bienes y Prestación de Servicios de Fideicomisos Financieros Públicos con Participación Estatal Mayoritaria.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7.8.</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por Venta de Bienes y Prestación de Servicios de los Poderes Legislativo y Judicial, y de los Órganos Autónomos.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Otros Ingresos.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Intereses Ganados de Títulos, Valores y demás Instrumentos Financieros.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Otros Ingresos Financieros.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7.9.2.1.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Banco Nacional de Obras y Servicios Públicos.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7.9.2.2.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Otras Instituciones Públicas.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7.9.2.3.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Instituciones Privadas.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7.9.2.4.</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Particulares.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7.9.2.5.</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Pasivos Generados al Cierre del Ejercicio Fiscal Pendientes de Pago.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7.9.2.6.</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Los Derivados de las Operaciones de Crédito en los términos que establece el Título Octavo del Código Financiero del Estado de México y Municipios y Otras Leyes Aplicables.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7.9.3.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Ingresos Financieros.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PARTICIPACIONES, APORTACIONES, CONVENIOS, INCENTIVOS DERIVADOS DE LA COLABORACIÓN FISCAL Y FONDOS DISTINTOS DE APORTACIONES: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Participaciones.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Las participaciones derivadas de la aplicación de la Ley de Coordinación Fiscal y demás ordenamientos jurídicos federales aplicables.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Fondo General de Participaciones.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Fondo de Fomento Municipal.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Fondo de Fiscalización y Recaudación.</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8.1.1.4.</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Correspondientes al Impuesto Especial sobre Producción y Servicios.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8.1.1.5.</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Correspondientes al Impuesto Sobre Automóviles Nuevos.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8.1.1.6.</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Correspondientes al Impuesto Sobre Tenencia o Uso de Vehículos.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8.1.1.7.</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Correspondientes al Fondo de Compensación del Impuesto Sobre Automóviles Nuevos.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8.1.1.8.</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Las derivadas de la aplicación del artículo 4-A de la Ley de Coordinación Fiscal.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8.1.1.9.</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El Impuesto Sobre la Renta efectivamente enterado a la Federación, correspondiente al salario de su personal que preste o desempeñe un servicio personal subordinado, así como de sus organismos públicos descentralizados.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Las participaciones derivadas de la aplicación de la fracción II del artículo 219 del Código Financiero del Estado de México y Municipios.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8.1.2.1.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Del Impuesto Sobre Tenencia o Uso de Vehículos Automotores.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8.1.2.2.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Del Impuesto Sobre Adquisición de Vehículos Automotores Usados.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8.1.2.3.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Del Impuesto Sobre Loterías, Rifas, Sorteos, Concursos y Juegos Permitidos con Cruce de Apuestas.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8.1.2.4.</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Del Impuesto a la Venta Final de Bebidas con Contenido Alcohólico.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8.2.</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Aportaciones.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8.2.1.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Aportaciones.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8.2.1.1.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Fondo de Aportaciones para la Infraestructura Social Municipal.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8.2.1.2.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Fondo de Aportaciones para el Fortalecimiento de los Municipios y las Demarcaciones Territoriales del Distrito Federal.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8.2.1.3.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Remanentes de Ramo 33 (FISM).</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8.2.1.4.</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Remanentes de Ramo 33 (FORTAMUN).</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8.2.1.5.</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Fondo de Aportaciones para la Seguridad Pública (FASP).</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8.3.</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Convenios.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8.3.1.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Convenios.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8.3.1.1.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Multas Federales No Fiscales.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8.3.1.2.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Convenios de Tránsito Estatal con Municipios.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8.4.</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Incentivos Derivados de la Colaboración Fiscal.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8.4.1.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Incentivos Derivados de la Colaboración Fiscal.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8.4.1.1.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Multas Federales No Fiscales.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8.4.1.2.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Convenios de Tránsito Estatal con Municipios.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Fondos Distintos de Aportaciones.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Fondos Distintos de Aportaciones.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Hábitat.</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Excedentes Petroleros.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Ramo 23.</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8.5.1.4.</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FORTASEG.</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8.5.1.5.</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Remanentes de Otros Recursos Federales.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8.5.1.6.</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Otros Recursos Federales.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8.5.1.7.</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de ahorro y subsidio para la vivienda, “Tu Casa” (FONHAPO).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8.5.1.8.</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para el Desarrollo de Zonas Prioritarias.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8.5.1.9.</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3 X 1 para Migrantes.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8.5.1.10.</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de Empleo Temporal (PET).</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de Vivienda Rural.</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de Opciones Productivas.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8.5.1.13.</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para el Rescate de Espacios Públicos.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8.5.1.14.</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Fideicomiso Fondo Nacional de Habitaciones Populares.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8.5.1.15.</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CONADE.</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8.5.1.16.</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para el Programa Calidad para el Deporte CONADE.</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8.5.1.17.</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Cultura Física CONADE.</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8.5.1.18.</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 CONACULTA.</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8.5.1.19.</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del Programa de Devolución de Derechos PRODER.</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8.5.1.20.</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para Agua Potable, Alcantarillado y Saneamiento en Zonas Urbanas APAZU.</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8.5.1.21.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 Instituto Nacional para el Desarrollo de Capacidades del Sector Rural INCA RURAL / Sistema Nacional de Capacitación y Asistencia Técnica Rural Integral SINACATRI.</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8.5.1.22.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Recursos de la Comisión Nacional para el Desarrollo de los Pueblos Indígenas CDI.</w:t>
            </w:r>
          </w:p>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9.</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TRANSFERENCIAS, ASIGNACIONES, SUBSIDIOS Y SUBVENCIONES, Y PENSIONES Y JUBILACIONES: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u w:val="single"/>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9.1.</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Transferencias y Asignaciones.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9.3.</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Subsidios y Subvenciones.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9.5.</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Pensiones y Jubilaciones.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Helvetica Neue" w:hAnsi="Times New Roman" w:cs="Times New Roman"/>
                <w:b/>
                <w:sz w:val="20"/>
                <w:szCs w:val="20"/>
                <w:lang w:val="es-ES_tradnl"/>
              </w:rPr>
              <w:t>9.7.</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Helvetica Neue" w:hAnsi="Times New Roman" w:cs="Times New Roman"/>
                <w:sz w:val="20"/>
                <w:szCs w:val="20"/>
                <w:lang w:val="es-ES_tradnl"/>
              </w:rPr>
              <w:t>Transferencias del Fondo Mexicano del Petróleo para la Estabilización y el Desarrollo.</w:t>
            </w:r>
          </w:p>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Calibri" w:hAnsi="Times New Roman" w:cs="Times New Roman"/>
                <w:b/>
                <w:bCs/>
                <w:sz w:val="20"/>
                <w:szCs w:val="20"/>
                <w:lang w:eastAsia="es-MX"/>
              </w:rPr>
              <w:t>0.</w:t>
            </w: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Helvetica Neue" w:hAnsi="Times New Roman" w:cs="Times New Roman"/>
                <w:sz w:val="20"/>
                <w:szCs w:val="20"/>
                <w:lang w:val="es-ES_tradnl"/>
              </w:rPr>
            </w:pPr>
            <w:r w:rsidRPr="00B63A81">
              <w:rPr>
                <w:rFonts w:ascii="Times New Roman" w:eastAsia="Calibri" w:hAnsi="Times New Roman" w:cs="Times New Roman"/>
                <w:b/>
                <w:bCs/>
                <w:sz w:val="20"/>
                <w:szCs w:val="20"/>
                <w:lang w:eastAsia="es-MX"/>
              </w:rPr>
              <w:t>INGRESOS DERIVADOS DE FINANCIAMIENTOS: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Calibri" w:hAnsi="Times New Roman" w:cs="Times New Roman"/>
                <w:b/>
                <w:bCs/>
                <w:sz w:val="20"/>
                <w:szCs w:val="20"/>
                <w:lang w:eastAsia="es-MX"/>
              </w:rPr>
              <w:t>0.3.</w:t>
            </w: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Calibri" w:hAnsi="Times New Roman" w:cs="Times New Roman"/>
                <w:bCs/>
                <w:sz w:val="20"/>
                <w:szCs w:val="20"/>
                <w:lang w:eastAsia="es-MX"/>
              </w:rPr>
            </w:pPr>
            <w:r w:rsidRPr="00B63A81">
              <w:rPr>
                <w:rFonts w:ascii="Times New Roman" w:eastAsia="Calibri" w:hAnsi="Times New Roman" w:cs="Times New Roman"/>
                <w:sz w:val="20"/>
                <w:szCs w:val="20"/>
                <w:lang w:eastAsia="es-MX"/>
              </w:rPr>
              <w:t>Financiamiento Interno.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Calibri" w:hAnsi="Times New Roman" w:cs="Times New Roman"/>
                <w:b/>
                <w:bCs/>
                <w:sz w:val="20"/>
                <w:szCs w:val="20"/>
                <w:lang w:eastAsia="es-MX"/>
              </w:rPr>
              <w:t>0.3.1.</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Calibri" w:hAnsi="Times New Roman" w:cs="Times New Roman"/>
                <w:b/>
                <w:sz w:val="20"/>
                <w:szCs w:val="20"/>
                <w:lang w:eastAsia="es-MX"/>
              </w:rPr>
            </w:pPr>
            <w:r w:rsidRPr="00B63A81">
              <w:rPr>
                <w:rFonts w:ascii="Times New Roman" w:eastAsia="Calibri" w:hAnsi="Times New Roman" w:cs="Times New Roman"/>
                <w:sz w:val="20"/>
                <w:szCs w:val="20"/>
                <w:lang w:eastAsia="es-MX"/>
              </w:rPr>
              <w:t>Pasivos que se generen como Resultado de Erogaciones que se Devenguen en el Ejercicio Fiscal pero que queden Pendiente de Liquidar al Cierre del mismo.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Calibri" w:hAnsi="Times New Roman" w:cs="Times New Roman"/>
                <w:b/>
                <w:bCs/>
                <w:sz w:val="20"/>
                <w:szCs w:val="20"/>
                <w:lang w:eastAsia="es-MX"/>
              </w:rPr>
              <w:t>0.3.1.1.</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Calibri" w:hAnsi="Times New Roman" w:cs="Times New Roman"/>
                <w:sz w:val="20"/>
                <w:szCs w:val="20"/>
                <w:lang w:eastAsia="es-MX"/>
              </w:rPr>
            </w:pPr>
            <w:r w:rsidRPr="00B63A81">
              <w:rPr>
                <w:rFonts w:ascii="Times New Roman" w:eastAsia="Calibri" w:hAnsi="Times New Roman" w:cs="Times New Roman"/>
                <w:sz w:val="20"/>
                <w:szCs w:val="20"/>
                <w:lang w:eastAsia="es-MX"/>
              </w:rPr>
              <w:t>Ayuntamiento.</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Helvetica Neue" w:hAnsi="Times New Roman" w:cs="Times New Roman"/>
                <w:b/>
                <w:sz w:val="20"/>
                <w:szCs w:val="20"/>
                <w:lang w:val="es-ES_tradnl"/>
              </w:rPr>
            </w:pPr>
            <w:r w:rsidRPr="00B63A81">
              <w:rPr>
                <w:rFonts w:ascii="Times New Roman" w:eastAsia="Calibri" w:hAnsi="Times New Roman" w:cs="Times New Roman"/>
                <w:b/>
                <w:bCs/>
                <w:sz w:val="20"/>
                <w:szCs w:val="20"/>
                <w:lang w:eastAsia="es-MX"/>
              </w:rPr>
              <w:t>0.3.1.2.</w:t>
            </w: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Calibri" w:hAnsi="Times New Roman" w:cs="Times New Roman"/>
                <w:sz w:val="20"/>
                <w:szCs w:val="20"/>
                <w:lang w:eastAsia="es-MX"/>
              </w:rPr>
            </w:pPr>
            <w:r w:rsidRPr="00B63A81">
              <w:rPr>
                <w:rFonts w:ascii="Times New Roman" w:eastAsia="Calibri" w:hAnsi="Times New Roman" w:cs="Times New Roman"/>
                <w:sz w:val="20"/>
                <w:szCs w:val="20"/>
                <w:lang w:eastAsia="es-MX"/>
              </w:rPr>
              <w:t>Organismos Descentralizados Municipales.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r w:rsidRPr="00B63A81">
              <w:rPr>
                <w:rFonts w:ascii="Times New Roman" w:eastAsia="Calibri" w:hAnsi="Times New Roman" w:cs="Times New Roman"/>
                <w:b/>
                <w:bCs/>
                <w:sz w:val="20"/>
                <w:szCs w:val="20"/>
                <w:lang w:eastAsia="es-MX"/>
              </w:rPr>
              <w:t>0.3.2.</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Calibri" w:hAnsi="Times New Roman" w:cs="Times New Roman"/>
                <w:sz w:val="20"/>
                <w:szCs w:val="20"/>
                <w:lang w:eastAsia="es-MX"/>
              </w:rPr>
            </w:pPr>
            <w:r w:rsidRPr="00B63A81">
              <w:rPr>
                <w:rFonts w:ascii="Times New Roman" w:eastAsia="Calibri" w:hAnsi="Times New Roman" w:cs="Times New Roman"/>
                <w:sz w:val="20"/>
                <w:szCs w:val="20"/>
                <w:lang w:eastAsia="es-MX"/>
              </w:rPr>
              <w:t>Pasivos que se generen como Resultado de la Contratación de Créditos, en Términos del Título Octavo del Código Financiero del Estado de México y Municipios por los ayuntamientos.</w:t>
            </w:r>
          </w:p>
        </w:tc>
      </w:tr>
      <w:tr w:rsidR="00B63A81" w:rsidRPr="00B63A81" w:rsidTr="00B63A81">
        <w:trPr>
          <w:trHeight w:val="20"/>
          <w:jc w:val="center"/>
        </w:trPr>
        <w:tc>
          <w:tcPr>
            <w:tcW w:w="25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362"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537"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r w:rsidRPr="00B63A81">
              <w:rPr>
                <w:rFonts w:ascii="Times New Roman" w:eastAsia="Calibri" w:hAnsi="Times New Roman" w:cs="Times New Roman"/>
                <w:b/>
                <w:bCs/>
                <w:sz w:val="20"/>
                <w:szCs w:val="20"/>
                <w:lang w:eastAsia="es-MX"/>
              </w:rPr>
              <w:t>0.3.3.</w:t>
            </w:r>
          </w:p>
        </w:tc>
        <w:tc>
          <w:tcPr>
            <w:tcW w:w="675" w:type="pct"/>
            <w:tcBorders>
              <w:top w:val="nil"/>
              <w:left w:val="nil"/>
              <w:bottom w:val="nil"/>
              <w:right w:val="nil"/>
            </w:tcBorders>
            <w:vAlign w:val="center"/>
          </w:tcPr>
          <w:p w:rsidR="00B63A81" w:rsidRPr="00B63A81" w:rsidRDefault="00B63A81" w:rsidP="00B63A81">
            <w:pPr>
              <w:spacing w:after="0" w:line="240" w:lineRule="auto"/>
              <w:jc w:val="center"/>
              <w:rPr>
                <w:rFonts w:ascii="Times New Roman" w:eastAsia="Calibri" w:hAnsi="Times New Roman" w:cs="Times New Roman"/>
                <w:b/>
                <w:bCs/>
                <w:sz w:val="20"/>
                <w:szCs w:val="20"/>
                <w:lang w:eastAsia="es-MX"/>
              </w:rPr>
            </w:pPr>
          </w:p>
        </w:tc>
        <w:tc>
          <w:tcPr>
            <w:tcW w:w="3169" w:type="pct"/>
            <w:tcBorders>
              <w:top w:val="nil"/>
              <w:left w:val="nil"/>
              <w:bottom w:val="nil"/>
              <w:right w:val="nil"/>
            </w:tcBorders>
            <w:vAlign w:val="center"/>
          </w:tcPr>
          <w:p w:rsidR="00B63A81" w:rsidRPr="00B63A81" w:rsidRDefault="00B63A81" w:rsidP="00B63A81">
            <w:pPr>
              <w:spacing w:after="0" w:line="240" w:lineRule="auto"/>
              <w:jc w:val="both"/>
              <w:rPr>
                <w:rFonts w:ascii="Times New Roman" w:eastAsia="Calibri" w:hAnsi="Times New Roman" w:cs="Times New Roman"/>
                <w:sz w:val="20"/>
                <w:szCs w:val="20"/>
                <w:lang w:eastAsia="es-MX"/>
              </w:rPr>
            </w:pPr>
            <w:r w:rsidRPr="00B63A81">
              <w:rPr>
                <w:rFonts w:ascii="Times New Roman" w:eastAsia="Calibri" w:hAnsi="Times New Roman" w:cs="Times New Roman"/>
                <w:sz w:val="20"/>
                <w:szCs w:val="20"/>
                <w:lang w:eastAsia="es-MX"/>
              </w:rPr>
              <w:t>Pasivos que se generen como Resultado de la Contratación de Créditos por los Organismos Descentralizados Municipales.</w:t>
            </w:r>
          </w:p>
        </w:tc>
      </w:tr>
    </w:tbl>
    <w:p w:rsidR="00B63A81" w:rsidRPr="00B63A81" w:rsidRDefault="00B63A81" w:rsidP="00B63A81">
      <w:pPr>
        <w:spacing w:after="0" w:line="240" w:lineRule="auto"/>
        <w:jc w:val="both"/>
        <w:rPr>
          <w:rFonts w:ascii="Times New Roman" w:eastAsia="Times New Roman" w:hAnsi="Times New Roman" w:cs="Times New Roman"/>
          <w:color w:val="000000"/>
          <w:sz w:val="20"/>
          <w:szCs w:val="20"/>
          <w:lang w:eastAsia="es-MX"/>
        </w:rPr>
      </w:pP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sz w:val="24"/>
          <w:szCs w:val="24"/>
        </w:rPr>
      </w:pPr>
      <w:r w:rsidRPr="00B63A81">
        <w:rPr>
          <w:rFonts w:ascii="Times New Roman" w:eastAsia="Helvetica Neue" w:hAnsi="Times New Roman" w:cs="Times New Roman"/>
          <w:b/>
          <w:sz w:val="24"/>
          <w:szCs w:val="24"/>
          <w:lang w:val="es-ES_tradnl"/>
        </w:rPr>
        <w:t>Artículo 2.-</w:t>
      </w:r>
      <w:r w:rsidRPr="00B63A81">
        <w:rPr>
          <w:rFonts w:ascii="Times New Roman" w:eastAsia="Helvetica Neue" w:hAnsi="Times New Roman" w:cs="Times New Roman"/>
          <w:sz w:val="24"/>
          <w:szCs w:val="24"/>
          <w:lang w:val="es-ES_tradnl"/>
        </w:rPr>
        <w:t xml:space="preserve"> </w:t>
      </w:r>
      <w:r w:rsidRPr="00B63A81">
        <w:rPr>
          <w:rFonts w:ascii="Times New Roman" w:eastAsia="Calibri" w:hAnsi="Times New Roman" w:cs="Times New Roman"/>
          <w:sz w:val="24"/>
          <w:szCs w:val="24"/>
        </w:rPr>
        <w:t>El pago extemporáneo de créditos fiscales dará lugar al cobro de recargos, a razón del 1.85% mensual, sobre el monto total de los mismos, por cada mes o fracción que transcurra sin hacerse el pago.</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3.-</w:t>
      </w:r>
      <w:r w:rsidRPr="00B63A81">
        <w:rPr>
          <w:rFonts w:ascii="Times New Roman" w:eastAsia="Helvetica Neue" w:hAnsi="Times New Roman" w:cs="Times New Roman"/>
          <w:sz w:val="24"/>
          <w:szCs w:val="24"/>
          <w:lang w:val="es-ES_tradnl"/>
        </w:rPr>
        <w:t xml:space="preserve"> Cuando se concedan prórrogas para el pago de créditos fiscales, conforme a lo dispuesto en el Código Financiero del Estado de México y Municipios, se causarán recargos sobre saldos insolutos a razón del 1.38% mensual. </w:t>
      </w:r>
    </w:p>
    <w:p w:rsidR="00B63A81" w:rsidRPr="00B63A81" w:rsidRDefault="00B63A81" w:rsidP="00B63A81">
      <w:pPr>
        <w:widowControl w:val="0"/>
        <w:suppressAutoHyphens/>
        <w:snapToGrid w:val="0"/>
        <w:spacing w:after="0" w:line="240" w:lineRule="auto"/>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4.-</w:t>
      </w:r>
      <w:r w:rsidRPr="00B63A81">
        <w:rPr>
          <w:rFonts w:ascii="Times New Roman" w:eastAsia="Helvetica Neue" w:hAnsi="Times New Roman" w:cs="Times New Roman"/>
          <w:sz w:val="24"/>
          <w:szCs w:val="24"/>
          <w:lang w:val="es-ES_tradnl"/>
        </w:rPr>
        <w:t xml:space="preserve"> El pago de las contribuciones por los conceptos a que se refiere el artículo 1 de esta Ley, se realizará en las oficinas recaudadoras de la Tesorería Municipal correspondiente, en las de los organismos del sector auxiliar de la Administración Pública Municipal; en la Caja General de Gobierno de la Subsecretaría de Tesorería de la Secretaría de Finanzas del Gobierno del Estado de México, cuando exista Convenio para tal efecto; en instituciones o entidades del sistema financiero mexicano, debidamente autorizadas, así como en las oficinas o establecimientos que el propio Ayuntamiento designe y a través de los medios electrónicos que determine la Tesorería Municipal. </w:t>
      </w:r>
    </w:p>
    <w:p w:rsidR="00B63A81" w:rsidRPr="00B63A81" w:rsidRDefault="00B63A81" w:rsidP="00B63A81">
      <w:pPr>
        <w:spacing w:after="0" w:line="240" w:lineRule="auto"/>
        <w:jc w:val="both"/>
        <w:rPr>
          <w:rFonts w:ascii="Times New Roman" w:eastAsia="Calibri" w:hAnsi="Times New Roman" w:cs="Times New Roman"/>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5.-</w:t>
      </w:r>
      <w:r w:rsidRPr="00B63A81">
        <w:rPr>
          <w:rFonts w:ascii="Times New Roman" w:eastAsia="Helvetica Neue" w:hAnsi="Times New Roman" w:cs="Times New Roman"/>
          <w:sz w:val="24"/>
          <w:szCs w:val="24"/>
          <w:lang w:val="es-ES_tradnl"/>
        </w:rPr>
        <w:t xml:space="preserve"> Los ayuntamientos podrán contratar financiamientos a su cargo, así como asumir obligaciones contingentes, exclusivamente para inversiones públicas productivas o para la reestructuración o refinanciamiento de pasivos, en estricto apego a lo dispuesto por el Título </w:t>
      </w:r>
      <w:r w:rsidRPr="00B63A81">
        <w:rPr>
          <w:rFonts w:ascii="Times New Roman" w:eastAsia="Helvetica Neue" w:hAnsi="Times New Roman" w:cs="Times New Roman"/>
          <w:sz w:val="24"/>
          <w:szCs w:val="24"/>
          <w:lang w:val="es-ES_tradnl"/>
        </w:rPr>
        <w:lastRenderedPageBreak/>
        <w:t xml:space="preserve">Octavo del Código Financiero del Estado de México y Municipios, el Título Tercero de la Ley de Disciplina Financiera de las Entidades Federativas y los Municipios, el Título Segundo de la Ley Federal de Presupuesto y Responsabilidad Hacendaria; así como a las Leyes y Reglamentos que regulen, de manera individual o colectiva, los ingresos federales, estatales o extraordinarios que reciban los municipios.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Para los cálculos de los montos de endeudamiento y obligaciones de pago, no se computarán las líneas de crédito contingente o garantía, en tanto los créditos no hayan sido dispuestos o ejercidos; tampoco se computarán los créditos destinados a proyectos autorrecuperables con fuente de pago identificada y que no afecten los ingresos tributarios, ni tampoco los empréstitos contraídos para apoyo de flujo de caja, conforme a la Ley de Disciplina Financiera de las Entidades Federativas y los Municipios.</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rPr>
        <w:t>Para las autorizaciones específicas, los ayuntamientos presentarán de manera individual a la Legislatura la solicitud correspondiente, en términos de lo que establece el artículo 24 de</w:t>
      </w:r>
      <w:r w:rsidRPr="00B63A81">
        <w:rPr>
          <w:rFonts w:ascii="Times New Roman" w:eastAsia="Helvetica Neue" w:hAnsi="Times New Roman" w:cs="Times New Roman"/>
          <w:b/>
          <w:sz w:val="24"/>
          <w:szCs w:val="24"/>
        </w:rPr>
        <w:t xml:space="preserve"> </w:t>
      </w:r>
      <w:r w:rsidRPr="00B63A81">
        <w:rPr>
          <w:rFonts w:ascii="Times New Roman" w:eastAsia="Helvetica Neue" w:hAnsi="Times New Roman" w:cs="Times New Roman"/>
          <w:sz w:val="24"/>
          <w:szCs w:val="24"/>
        </w:rPr>
        <w:t>la Ley de Disciplina Financiera de las Entidades Federativas y los Municipios. Dichas autorizaciones, no podrán exceder los ejercicios fiscales 2026 y 2027.</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La Secretaría de Hacienda y Crédito Público, clasificará a cada Municipio en el nivel de endeudamiento que le corresponda, según el cálculo de los indicadores del Sistema de Alertas, establecido en el Capítulo V de la Ley de Disciplina Financiera de las Entidades Federativas y los Municipios y el Reglamento del Sistema de Alertas, determinando el Techo de Financiamiento Neto correspondiente.</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La Secretaría de Finanzas del Gobierno del Estado de México, únicamente podrá determinar lo correspondiente a las garantías de pago de los municipios, en términos de lo dispuesto por el artículo 271 del Código Financiero del Estado de México y Municipios.</w:t>
      </w:r>
    </w:p>
    <w:p w:rsidR="00B63A81" w:rsidRPr="00B63A81" w:rsidRDefault="00B63A81" w:rsidP="00B63A81">
      <w:pPr>
        <w:widowControl w:val="0"/>
        <w:suppressAutoHyphens/>
        <w:snapToGrid w:val="0"/>
        <w:spacing w:after="0" w:line="240" w:lineRule="auto"/>
        <w:jc w:val="center"/>
        <w:rPr>
          <w:rFonts w:ascii="Times New Roman" w:eastAsia="Calibri" w:hAnsi="Times New Roman" w:cs="Times New Roman"/>
          <w:b/>
          <w:sz w:val="24"/>
          <w:szCs w:val="24"/>
        </w:rPr>
      </w:pPr>
    </w:p>
    <w:p w:rsidR="00B63A81" w:rsidRPr="00B63A81" w:rsidRDefault="00B63A81" w:rsidP="00B63A81">
      <w:pPr>
        <w:widowControl w:val="0"/>
        <w:suppressAutoHyphens/>
        <w:snapToGrid w:val="0"/>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6.-</w:t>
      </w:r>
      <w:r w:rsidRPr="00B63A81">
        <w:rPr>
          <w:rFonts w:ascii="Times New Roman" w:eastAsia="Helvetica Neue" w:hAnsi="Times New Roman" w:cs="Times New Roman"/>
          <w:sz w:val="24"/>
          <w:szCs w:val="24"/>
          <w:lang w:val="es-ES_tradnl"/>
        </w:rPr>
        <w:t xml:space="preserve"> Todos los ingresos municipales, cualquiera que sea su origen o naturaleza, deberán registrarse por la Tesorería Municipal y formar parte de la Cuenta Pública que corresponda, de acuerdo con los ordenamientos aplicables. </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7.-</w:t>
      </w:r>
      <w:r w:rsidRPr="00B63A81">
        <w:rPr>
          <w:rFonts w:ascii="Times New Roman" w:eastAsia="Helvetica Neue" w:hAnsi="Times New Roman" w:cs="Times New Roman"/>
          <w:sz w:val="24"/>
          <w:szCs w:val="24"/>
          <w:lang w:val="es-ES_tradnl"/>
        </w:rPr>
        <w:t xml:space="preserve"> El pago anual anticipado del Impuesto Predial, cuando deba hacerse en montos fijos mensuales, bimestrales o semestrales, dará lugar a una bonificación equivalente al 8%, 6% y 4% sobre su importe total, cuando se realice en una sola exhibición, durante los meses de enero, febrero y marzo respectivamente, del ejercicio fiscal 2026.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Asimismo, los contribuyentes de este impuesto, que en los últimos dos años hayan cubierto sus obligaciones fiscales dentro de los plazos establecidos para ese efecto, gozarán de un estímulo por cumplimiento, consistente en una bonificación del 8% adicional en el mes de enero, 6% en el mes de febrero y 2% en el mes de marzo, pudiendo la autoridad fiscal, otorgar este beneficio con base en los registros que obran en el histórico de pagos electrónicos respectivo o mediante la exhibición de los respectivos comprobantes de pago de los dos ejercicios fiscales anteriores, que solicite la autoridad.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En cualquier caso, el monto a pagar por concepto de Impuesto Predial no podrá ser inferior a la cuota fija establecida en el rango 1 de la tarifa del artículo 109 del Código Financiero del Estado de México y Municipios.</w:t>
      </w:r>
    </w:p>
    <w:p w:rsidR="00B63A81" w:rsidRPr="00B63A81" w:rsidRDefault="00B63A81" w:rsidP="00B63A81">
      <w:pPr>
        <w:spacing w:after="0" w:line="240" w:lineRule="auto"/>
        <w:jc w:val="both"/>
        <w:rPr>
          <w:rFonts w:ascii="Times New Roman" w:eastAsia="Helvetica Neue" w:hAnsi="Times New Roman" w:cs="Times New Roman"/>
          <w:b/>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lastRenderedPageBreak/>
        <w:t>Artículo 8.-</w:t>
      </w:r>
      <w:r w:rsidRPr="00B63A81">
        <w:rPr>
          <w:rFonts w:ascii="Times New Roman" w:eastAsia="Helvetica Neue" w:hAnsi="Times New Roman" w:cs="Times New Roman"/>
          <w:sz w:val="24"/>
          <w:szCs w:val="24"/>
          <w:lang w:val="es-ES_tradnl"/>
        </w:rPr>
        <w:t xml:space="preserve"> El pago anual anticipado de los Derechos </w:t>
      </w:r>
      <w:r w:rsidRPr="00B63A81">
        <w:rPr>
          <w:rFonts w:ascii="Times New Roman" w:eastAsia="Calibri" w:hAnsi="Times New Roman" w:cs="Times New Roman"/>
          <w:sz w:val="24"/>
          <w:szCs w:val="24"/>
        </w:rPr>
        <w:t>por los servicios de Suministro</w:t>
      </w:r>
      <w:r w:rsidRPr="00B63A81">
        <w:rPr>
          <w:rFonts w:ascii="Times New Roman" w:eastAsia="Helvetica Neue" w:hAnsi="Times New Roman" w:cs="Times New Roman"/>
          <w:sz w:val="24"/>
          <w:szCs w:val="24"/>
          <w:lang w:val="es-ES_tradnl"/>
        </w:rPr>
        <w:t xml:space="preserve"> de Agua Potable, Drenaje, Alcantarillado y Recepción de los Caudales de Aguas Residuales para su Tratamiento, cuando deba hacerse en forma mensual o bimestral, dará lugar a una bonificación equivalente al 8%, 6% y 4% sobre su importe total, cuando se realice en una sola exhibición, durante los meses de enero, febrero y marzo, respectivamente, del ejercicio fiscal 2026.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Asimismo, los contribuyentes de estos Derechos, que en los últimos dos años hayan cubierto sus obligaciones fiscales, dentro de los plazos establecidos para ese efecto, gozarán de un estímulo adicional por cumplimiento, consistente en una bonificación del 4% en el mes de enero y del 2% en el mes de febrero.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Cuando alguna de las bonificaciones fiscales señaladas en este artículo resulte procedente, la autoridad municipal deberá aplicarla sin que, en ningún caso, el monto de los derechos a pagar sea inferior a los caudales mínimos establecidos en el artículo 130 del Código Financiero del Estado de México y Municipios.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En el caso del suministro de agua potable con medidor, la autoridad fiscal, recibirá el pago anual anticipado sobre el promedio anual del ejercicio fiscal inmediato anterior, aplicando las bonificaciones referidas en este artículo. Al finalizar el sexto bimestre, determinará el total de metros cúbicos consumidos por el usuario; si de ello resultara un mayor número de metros cúbicos suministrados, que los pagados de forma anualizada; notificará al contribuyente la diferencia para que se realice el pago correspondiente, dentro de los primeros diecisiete días posteriores a la notificación y en caso de resultar una diferencia a favor del contribuyente, se hará la compensación con el pago que se realice del ejercicio fiscal siguiente. </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9.-</w:t>
      </w:r>
      <w:r w:rsidRPr="00B63A81">
        <w:rPr>
          <w:rFonts w:ascii="Times New Roman" w:eastAsia="Helvetica Neue" w:hAnsi="Times New Roman" w:cs="Times New Roman"/>
          <w:sz w:val="24"/>
          <w:szCs w:val="24"/>
          <w:lang w:val="es-ES_tradnl"/>
        </w:rPr>
        <w:t xml:space="preserve"> Para el ejercicio fiscal 2026, los ayuntamientos otorgarán a favor de personas pensionadas o jubiladas, personas en situación de orfandad menores de 18 años, a través de las personas que legalmente los representen, de acuerdo con los ordenamientos aplicables y según corresponda; personas en situación de discapacidad, personas adultas mayores, personas viudas, madres o padres solteros sin ingresos fijos, y aquellas personas físicas, cuya percepción diaria, no rebase dos salarios mínimos generales vigentes, así como a aquellas personas liberadas con motivo de amnistía estatal; una bonificación de hasta el 34% en el pago del Impuesto Predial. La bonificación indicada, se aplicará al propietario o poseedor que acredite que habita el inmueble y cuyo uso sea únicamente habitacional. Para el caso de que existiera más de un inmueble que cumpla con estas condiciones, el beneficio solo será aplicable a uno de ellos.</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Los montos, términos y condiciones para el otorgamiento de la bonificación, se determinarán mediante el acuerdo de cabildo correspondiente.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widowControl w:val="0"/>
        <w:suppressAutoHyphens/>
        <w:snapToGrid w:val="0"/>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En cualquier caso, el monto a pagar por concepto de Impuesto Predial, no podrá ser inferior a la cuota fija establecida en el rango 1 de la tarifa del artículo 109 del Código Financiero del Estado de México y Municipios.</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Calibri" w:hAnsi="Times New Roman" w:cs="Times New Roman"/>
          <w:bCs/>
          <w:sz w:val="24"/>
          <w:szCs w:val="24"/>
        </w:rPr>
      </w:pPr>
      <w:r w:rsidRPr="00B63A81">
        <w:rPr>
          <w:rFonts w:ascii="Times New Roman" w:eastAsia="Calibri" w:hAnsi="Times New Roman" w:cs="Times New Roman"/>
          <w:b/>
          <w:bCs/>
          <w:sz w:val="24"/>
          <w:szCs w:val="24"/>
        </w:rPr>
        <w:t>Artículo 10.-</w:t>
      </w:r>
      <w:r w:rsidRPr="00B63A81">
        <w:rPr>
          <w:rFonts w:ascii="Times New Roman" w:eastAsia="Calibri" w:hAnsi="Times New Roman" w:cs="Times New Roman"/>
          <w:sz w:val="24"/>
          <w:szCs w:val="24"/>
        </w:rPr>
        <w:t xml:space="preserve"> Para el ejercicio fiscal </w:t>
      </w:r>
      <w:r w:rsidRPr="00B63A81">
        <w:rPr>
          <w:rFonts w:ascii="Times New Roman" w:eastAsia="Calibri" w:hAnsi="Times New Roman" w:cs="Times New Roman"/>
          <w:bCs/>
          <w:sz w:val="24"/>
          <w:szCs w:val="24"/>
        </w:rPr>
        <w:t>2026</w:t>
      </w:r>
      <w:r w:rsidRPr="00B63A81">
        <w:rPr>
          <w:rFonts w:ascii="Times New Roman" w:eastAsia="Calibri" w:hAnsi="Times New Roman" w:cs="Times New Roman"/>
          <w:sz w:val="24"/>
          <w:szCs w:val="24"/>
        </w:rPr>
        <w:t xml:space="preserve">, los Ayuntamientos </w:t>
      </w:r>
      <w:r w:rsidRPr="00B63A81">
        <w:rPr>
          <w:rFonts w:ascii="Times New Roman" w:eastAsia="Calibri" w:hAnsi="Times New Roman" w:cs="Times New Roman"/>
          <w:bCs/>
          <w:sz w:val="24"/>
          <w:szCs w:val="24"/>
        </w:rPr>
        <w:t>podrán otorgar</w:t>
      </w:r>
      <w:r w:rsidRPr="00B63A81">
        <w:rPr>
          <w:rFonts w:ascii="Times New Roman" w:eastAsia="Calibri" w:hAnsi="Times New Roman" w:cs="Times New Roman"/>
          <w:sz w:val="24"/>
          <w:szCs w:val="24"/>
        </w:rPr>
        <w:t xml:space="preserve"> una bonificación de hasta el </w:t>
      </w:r>
      <w:r w:rsidRPr="00B63A81">
        <w:rPr>
          <w:rFonts w:ascii="Times New Roman" w:eastAsia="Calibri" w:hAnsi="Times New Roman" w:cs="Times New Roman"/>
          <w:bCs/>
          <w:sz w:val="24"/>
          <w:szCs w:val="24"/>
        </w:rPr>
        <w:t>34%</w:t>
      </w:r>
      <w:r w:rsidRPr="00B63A81">
        <w:rPr>
          <w:rFonts w:ascii="Times New Roman" w:eastAsia="Calibri" w:hAnsi="Times New Roman" w:cs="Times New Roman"/>
          <w:sz w:val="24"/>
          <w:szCs w:val="24"/>
        </w:rPr>
        <w:t xml:space="preserve"> en el pago de los Derechos por los Servicios de Suministro de Agua Potable, Drenaje, Alcantarillado y Recepción de los Caudales de Aguas Residuales para su Tratamiento, a favor de las personas </w:t>
      </w:r>
      <w:r w:rsidRPr="00B63A81">
        <w:rPr>
          <w:rFonts w:ascii="Times New Roman" w:eastAsia="Calibri" w:hAnsi="Times New Roman" w:cs="Times New Roman"/>
          <w:bCs/>
          <w:sz w:val="24"/>
          <w:szCs w:val="24"/>
        </w:rPr>
        <w:t>que acrediten encontrase en alguna de las siguientes condiciones:</w:t>
      </w:r>
    </w:p>
    <w:p w:rsidR="00B63A81" w:rsidRPr="00B63A81" w:rsidRDefault="00B63A81" w:rsidP="00B63A81">
      <w:pPr>
        <w:spacing w:after="0" w:line="240" w:lineRule="auto"/>
        <w:jc w:val="both"/>
        <w:rPr>
          <w:rFonts w:ascii="Times New Roman" w:eastAsia="Calibri" w:hAnsi="Times New Roman" w:cs="Times New Roman"/>
          <w:bCs/>
          <w:sz w:val="24"/>
          <w:szCs w:val="24"/>
        </w:rPr>
      </w:pP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pensionada o jubilada;</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lastRenderedPageBreak/>
        <w:t>Persona que presente una incapacidad parcial permanente del cincuenta por ciento o más, conforme a lo dispuesto por la Ley Federal del Trabajo;</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viuda;</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con sesenta años o más de edad;</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menor de edad en situación de orfandad a través de la persona que legalmente lo represente;</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en estado de gestación o lactancia;</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en estado civil soltera, que acredite tener dependientes económicos;</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que haya sido liberada con motivo de una amnistía estatal;</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prestadora de servicios de asistencia social a personas adultas y adultas mayores, niñas, niños y mujeres en situación de riesgo y vulnerabilidad, previa petición expresa y debida acreditación, o</w:t>
      </w:r>
    </w:p>
    <w:p w:rsidR="00B63A81" w:rsidRPr="00B63A81" w:rsidRDefault="00B63A81" w:rsidP="00F068E2">
      <w:pPr>
        <w:numPr>
          <w:ilvl w:val="0"/>
          <w:numId w:val="21"/>
        </w:numPr>
        <w:spacing w:after="0" w:line="240" w:lineRule="auto"/>
        <w:ind w:left="850" w:hanging="357"/>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Persona madre jefa de familia sin ingresos fijos.</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sz w:val="24"/>
          <w:szCs w:val="24"/>
        </w:rPr>
      </w:pP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sz w:val="24"/>
          <w:szCs w:val="24"/>
        </w:rPr>
      </w:pPr>
      <w:r w:rsidRPr="00B63A81">
        <w:rPr>
          <w:rFonts w:ascii="Times New Roman" w:eastAsia="Calibri" w:hAnsi="Times New Roman" w:cs="Times New Roman"/>
          <w:bCs/>
          <w:sz w:val="24"/>
          <w:szCs w:val="24"/>
        </w:rPr>
        <w:t>La bonificación será aplicable únicamente a la persona beneficiaria que acredite residir en el inmueble objeto del cobro, excluyendo derivaciones, y cuyos ingresos diarios, no excedan de dos salarios mínimos generales vigentes, o que no cuente con ingresos fijos, en cuyo caso, deberá presentar el comprobante de ingresos correspondiente o un estudio socioeconómico, emitido por instituciones oficiales autorizadas.</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sz w:val="24"/>
          <w:szCs w:val="24"/>
        </w:rPr>
      </w:pP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Cs/>
          <w:sz w:val="24"/>
          <w:szCs w:val="24"/>
        </w:rPr>
      </w:pPr>
      <w:r w:rsidRPr="00B63A81">
        <w:rPr>
          <w:rFonts w:ascii="Times New Roman" w:eastAsia="Calibri" w:hAnsi="Times New Roman" w:cs="Times New Roman"/>
          <w:bCs/>
          <w:sz w:val="24"/>
          <w:szCs w:val="24"/>
        </w:rPr>
        <w:t>El monto de los apoyos, así como los términos y condiciones para el otorgamiento de la bonificación, se establecerán mediante el acuerdo de cabildo correspondiente. En todo caso, el monto a pagar por concepto de derechos, no podrá ser inferior a los caudales mínimos establecidos en el artículo 130 del Código Financiero del Estado de México y Municipios.</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sz w:val="24"/>
          <w:szCs w:val="24"/>
        </w:rPr>
      </w:pPr>
      <w:r w:rsidRPr="00B63A81">
        <w:rPr>
          <w:rFonts w:ascii="Times New Roman" w:eastAsia="Helvetica Neue" w:hAnsi="Times New Roman" w:cs="Times New Roman"/>
          <w:b/>
          <w:sz w:val="24"/>
          <w:szCs w:val="24"/>
          <w:lang w:val="es-ES_tradnl"/>
        </w:rPr>
        <w:t>Artículo 11.-</w:t>
      </w:r>
      <w:r w:rsidRPr="00B63A81">
        <w:rPr>
          <w:rFonts w:ascii="Times New Roman" w:eastAsia="Helvetica Neue" w:hAnsi="Times New Roman" w:cs="Times New Roman"/>
          <w:sz w:val="24"/>
          <w:szCs w:val="24"/>
          <w:lang w:val="es-ES_tradnl"/>
        </w:rPr>
        <w:t xml:space="preserve"> </w:t>
      </w:r>
      <w:r w:rsidRPr="00B63A81">
        <w:rPr>
          <w:rFonts w:ascii="Times New Roman" w:eastAsia="Calibri" w:hAnsi="Times New Roman" w:cs="Times New Roman"/>
          <w:sz w:val="24"/>
          <w:szCs w:val="24"/>
        </w:rPr>
        <w:t xml:space="preserve">Los ayuntamientos podrán, durante el ejercicio fiscal 2026, acordar a favor de empresas propietarias de inmuebles en su Municipio, que acrediten el inicio de operaciones con su fuente de empleo, de acuerdo a la normativa aplicable y que tengan su domicilio ubicado en territorio municipal, estímulos fiscales a través de bonificaciones de hasta el 100% del monto del Impuesto Predial determinado a su cargo. </w:t>
      </w:r>
    </w:p>
    <w:p w:rsidR="00B63A81" w:rsidRPr="00B63A81" w:rsidRDefault="00B63A81" w:rsidP="00B63A81">
      <w:pPr>
        <w:widowControl w:val="0"/>
        <w:suppressAutoHyphens/>
        <w:snapToGrid w:val="0"/>
        <w:spacing w:after="0" w:line="240" w:lineRule="auto"/>
        <w:rPr>
          <w:rFonts w:ascii="Times New Roman" w:eastAsia="Calibri" w:hAnsi="Times New Roman" w:cs="Times New Roman"/>
          <w:sz w:val="24"/>
          <w:szCs w:val="24"/>
        </w:rPr>
      </w:pP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sz w:val="24"/>
          <w:szCs w:val="24"/>
        </w:rPr>
      </w:pPr>
      <w:r w:rsidRPr="00B63A81">
        <w:rPr>
          <w:rFonts w:ascii="Times New Roman" w:eastAsia="Calibri" w:hAnsi="Times New Roman" w:cs="Times New Roman"/>
          <w:sz w:val="24"/>
          <w:szCs w:val="24"/>
        </w:rPr>
        <w:t>Los montos de los apoyos, así como los términos, plazos y condiciones en cuanto a su otorgamiento, se determinarán en el correspondiente acuerdo de cabildo, con base en los lineamientos aprobados en el marco del Sistema de Coordinación Hacendaria del Estado de México.</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12.-</w:t>
      </w:r>
      <w:r w:rsidRPr="00B63A81">
        <w:rPr>
          <w:rFonts w:ascii="Times New Roman" w:eastAsia="Helvetica Neue" w:hAnsi="Times New Roman" w:cs="Times New Roman"/>
          <w:sz w:val="24"/>
          <w:szCs w:val="24"/>
          <w:lang w:val="es-ES_tradnl"/>
        </w:rPr>
        <w:t xml:space="preserve"> Los propietarios o poseedores de inmuebles, que se ubiquen en alguna manzana catastral que no se encuentre incluida en las Tablas de Valores Unitarios de Suelo y Construcciones, publicadas para efectos de la determinación del valor catastral, podrán calcularlo considerando los siguientes valores: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ind w:left="1134" w:hanging="426"/>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w:t>
      </w:r>
      <w:r w:rsidRPr="00B63A81">
        <w:rPr>
          <w:rFonts w:ascii="Times New Roman" w:eastAsia="Helvetica Neue" w:hAnsi="Times New Roman" w:cs="Times New Roman"/>
          <w:sz w:val="24"/>
          <w:szCs w:val="24"/>
          <w:lang w:val="es-ES_tradnl"/>
        </w:rPr>
        <w:t xml:space="preserve">. </w:t>
      </w:r>
      <w:r w:rsidRPr="00B63A81">
        <w:rPr>
          <w:rFonts w:ascii="Times New Roman" w:eastAsia="Helvetica Neue" w:hAnsi="Times New Roman" w:cs="Times New Roman"/>
          <w:sz w:val="24"/>
          <w:szCs w:val="24"/>
          <w:lang w:val="es-ES_tradnl"/>
        </w:rPr>
        <w:tab/>
        <w:t>El valor unitario del suelo del área homogénea o de la banda de valor que contiene la manzana catastral en donde se ubique el inmueble, por la superficie del predio.</w:t>
      </w:r>
    </w:p>
    <w:p w:rsidR="00B63A81" w:rsidRPr="00B63A81" w:rsidRDefault="00B63A81" w:rsidP="00B63A81">
      <w:pPr>
        <w:spacing w:after="0" w:line="240" w:lineRule="auto"/>
        <w:ind w:left="1134" w:hanging="426"/>
        <w:jc w:val="both"/>
        <w:rPr>
          <w:rFonts w:ascii="Times New Roman" w:eastAsia="Helvetica Neue" w:hAnsi="Times New Roman" w:cs="Times New Roman"/>
          <w:b/>
          <w:sz w:val="24"/>
          <w:szCs w:val="24"/>
          <w:lang w:val="es-ES_tradnl"/>
        </w:rPr>
      </w:pPr>
    </w:p>
    <w:p w:rsidR="00B63A81" w:rsidRPr="00B63A81" w:rsidRDefault="00B63A81" w:rsidP="00B63A81">
      <w:pPr>
        <w:spacing w:after="0" w:line="240" w:lineRule="auto"/>
        <w:ind w:left="1134" w:hanging="426"/>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b).</w:t>
      </w:r>
      <w:r w:rsidRPr="00B63A81">
        <w:rPr>
          <w:rFonts w:ascii="Times New Roman" w:eastAsia="Helvetica Neue" w:hAnsi="Times New Roman" w:cs="Times New Roman"/>
          <w:sz w:val="24"/>
          <w:szCs w:val="24"/>
          <w:lang w:val="es-ES_tradnl"/>
        </w:rPr>
        <w:t xml:space="preserve"> </w:t>
      </w:r>
      <w:r w:rsidRPr="00B63A81">
        <w:rPr>
          <w:rFonts w:ascii="Times New Roman" w:eastAsia="Helvetica Neue" w:hAnsi="Times New Roman" w:cs="Times New Roman"/>
          <w:sz w:val="24"/>
          <w:szCs w:val="24"/>
          <w:lang w:val="es-ES_tradnl"/>
        </w:rPr>
        <w:tab/>
        <w:t xml:space="preserve">Si existen edificaciones en el predio, el valor unitario de construcción que le corresponda, según la Tabla de Valores Unitarios de Construcciones, por la superficie construida.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lastRenderedPageBreak/>
        <w:t xml:space="preserve">La suma de los resultados obtenidos conforme a los incisos anteriores, considerando los factores de mérito o demérito, que en su caso procedan, se tomará como base para el cálculo del monto anual del Impuesto Predial. </w:t>
      </w:r>
    </w:p>
    <w:p w:rsidR="00B63A81" w:rsidRPr="00B63A81" w:rsidRDefault="00B63A81" w:rsidP="00B63A81">
      <w:pPr>
        <w:widowControl w:val="0"/>
        <w:suppressAutoHyphens/>
        <w:snapToGrid w:val="0"/>
        <w:spacing w:after="0" w:line="240" w:lineRule="auto"/>
        <w:rPr>
          <w:rFonts w:ascii="Times New Roman" w:eastAsia="Calibri" w:hAnsi="Times New Roman" w:cs="Times New Roman"/>
          <w:b/>
          <w:sz w:val="24"/>
          <w:szCs w:val="24"/>
        </w:rPr>
      </w:pPr>
    </w:p>
    <w:p w:rsidR="00B63A81" w:rsidRPr="00B63A81" w:rsidRDefault="00B63A81" w:rsidP="00B63A81">
      <w:pPr>
        <w:widowControl w:val="0"/>
        <w:suppressAutoHyphens/>
        <w:snapToGrid w:val="0"/>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13.-</w:t>
      </w:r>
      <w:r w:rsidRPr="00B63A81">
        <w:rPr>
          <w:rFonts w:ascii="Times New Roman" w:eastAsia="Helvetica Neue" w:hAnsi="Times New Roman" w:cs="Times New Roman"/>
          <w:sz w:val="24"/>
          <w:szCs w:val="24"/>
          <w:lang w:val="es-ES_tradnl"/>
        </w:rPr>
        <w:t xml:space="preserve"> El factor de actualización de los montos de los créditos fiscales, pagados fuera de los plazos señalados en el Código Financiero del Estado de México y Municipios, para el ejercicio fiscal 2026, será de 0.54%, por cada mes o fracción que transcurra sin hacerse el pago respectivo. </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14.-</w:t>
      </w:r>
      <w:r w:rsidRPr="00B63A81">
        <w:rPr>
          <w:rFonts w:ascii="Times New Roman" w:eastAsia="Helvetica Neue" w:hAnsi="Times New Roman" w:cs="Times New Roman"/>
          <w:sz w:val="24"/>
          <w:szCs w:val="24"/>
          <w:lang w:val="es-ES_tradnl"/>
        </w:rPr>
        <w:t xml:space="preserve"> Los ayuntamientos podrán acordar a favor de los contribuyentes sujetos al pago del Impuesto Predial, que lleven a cabo la regularización de la tenencia de la tierra, a través de los organismos públicos creados para tal efecto, y que se presenten a regularizar sus adeudos durante el ejercicio fiscal 2026, estímulos fiscales a través de bonificaciones de hasta el 100% del monto del Impuesto Predial a su cargo, correspondiente a ejercicios fiscales anteriores y de los accesorios legales causados, previa acreditación de que se encuentran en tal supuesto.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widowControl w:val="0"/>
        <w:suppressAutoHyphens/>
        <w:snapToGrid w:val="0"/>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Los montos de los apoyos, así como los términos y condiciones en cuanto a su otorgamiento, se determinarán en el correspondiente acuerdo de cabildo. </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15.-</w:t>
      </w:r>
      <w:r w:rsidRPr="00B63A81">
        <w:rPr>
          <w:rFonts w:ascii="Times New Roman" w:eastAsia="Helvetica Neue" w:hAnsi="Times New Roman" w:cs="Times New Roman"/>
          <w:sz w:val="24"/>
          <w:szCs w:val="24"/>
          <w:lang w:val="es-ES_tradnl"/>
        </w:rPr>
        <w:t xml:space="preserve"> Los ayuntamientos podrán acordar a favor de los contribuyentes sujetos al pago del Impuesto Sobre Adquisición de Inmuebles y Otras Operaciones Traslativas de Dominio de Inmuebles, por operaciones realizadas mediante Programas de Regularización de la Tenencia de la Tierra, promovidos por organismos públicos creados para tal efecto, y que se presenten a regularizar sus adeudos durante el ejercicio fiscal 2026, estímulos fiscales a través de bonificaciones de hasta el 100% en el monto de la contribución, los recargos y la multa.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Los montos de los apoyos, así como los términos y condiciones en cuanto a su otorgamiento, se determinarán en el correspondiente acuerdo de cabildo.</w:t>
      </w:r>
    </w:p>
    <w:p w:rsidR="00B63A81" w:rsidRPr="00B63A81" w:rsidRDefault="00B63A81" w:rsidP="00B63A81">
      <w:pPr>
        <w:autoSpaceDE w:val="0"/>
        <w:autoSpaceDN w:val="0"/>
        <w:adjustRightInd w:val="0"/>
        <w:spacing w:after="0" w:line="240" w:lineRule="auto"/>
        <w:jc w:val="both"/>
        <w:rPr>
          <w:rFonts w:ascii="Times New Roman" w:eastAsia="Calibri" w:hAnsi="Times New Roman" w:cs="Times New Roman"/>
          <w:color w:val="000000"/>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16.-</w:t>
      </w:r>
      <w:r w:rsidRPr="00B63A81">
        <w:rPr>
          <w:rFonts w:ascii="Times New Roman" w:eastAsia="Helvetica Neue" w:hAnsi="Times New Roman" w:cs="Times New Roman"/>
          <w:sz w:val="24"/>
          <w:szCs w:val="24"/>
          <w:lang w:val="es-ES_tradnl"/>
        </w:rPr>
        <w:t xml:space="preserve"> Los ayuntamientos podrán acordar a favor de los contribuyentes sujetos al pago del Impuesto Sobre Adquisición de Inmuebles y Otras Operaciones Traslativas de Dominio de Inmuebles, que adquieran viviendas de tipo social progresiva, de interés social y popular, a través de los organismos públicos creados para tal efecto, y que se presenten a pagar durante el ejercicio fiscal 2026, estímulos fiscales a través de bonificaciones de hasta el 100% en el monto de la contribución, los recargos y la multa.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widowControl w:val="0"/>
        <w:suppressAutoHyphens/>
        <w:snapToGrid w:val="0"/>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Los montos de los apoyos, así como los términos y condiciones en cuanto a su otorgamiento, se determinarán en el correspondiente acuerdo de cabildo. </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17.-</w:t>
      </w:r>
      <w:r w:rsidRPr="00B63A81">
        <w:rPr>
          <w:rFonts w:ascii="Times New Roman" w:eastAsia="Helvetica Neue" w:hAnsi="Times New Roman" w:cs="Times New Roman"/>
          <w:sz w:val="24"/>
          <w:szCs w:val="24"/>
          <w:lang w:val="es-ES_tradnl"/>
        </w:rPr>
        <w:t xml:space="preserve"> Los ayuntamientos mediante el acuerdo de cabildo correspondiente, podrán durante el ejercicio fiscal 2026, acordar a favor de los contribuyentes, sujetos al pago del Impuesto Sobre Adquisición de Inmuebles y Otras Operaciones Traslativas de Dominio de Inmuebles; estímulos fiscales de hasta el 100% en el monto de la contribución que corresponda, en el marco de los programas de regularización de vivienda de inmuebles con uso habitacional, en los que participe el Gobierno del Estado de México, por conducto de las dependencias correspondientes, el Instituto de la Función Registral del Estado de México y el Colegio de Notarios del Estado de México.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El acuerdo de cabildo referido, deberá señalar los requisitos a cumplir los beneficiados, el monto o proporción de los beneficios y las bases del programa, según corresponda. </w:t>
      </w:r>
    </w:p>
    <w:p w:rsidR="00B63A81" w:rsidRPr="00B63A81" w:rsidRDefault="00B63A81" w:rsidP="00B63A81">
      <w:pPr>
        <w:widowControl w:val="0"/>
        <w:suppressAutoHyphens/>
        <w:snapToGrid w:val="0"/>
        <w:spacing w:after="0" w:line="240" w:lineRule="auto"/>
        <w:jc w:val="center"/>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lastRenderedPageBreak/>
        <w:t>Artículo</w:t>
      </w:r>
      <w:r w:rsidRPr="00B63A81">
        <w:rPr>
          <w:rFonts w:ascii="Times New Roman" w:eastAsia="Helvetica Neue" w:hAnsi="Times New Roman" w:cs="Times New Roman"/>
          <w:sz w:val="24"/>
          <w:szCs w:val="24"/>
          <w:lang w:val="es-ES_tradnl"/>
        </w:rPr>
        <w:t xml:space="preserve"> </w:t>
      </w:r>
      <w:r w:rsidRPr="00B63A81">
        <w:rPr>
          <w:rFonts w:ascii="Times New Roman" w:eastAsia="Helvetica Neue" w:hAnsi="Times New Roman" w:cs="Times New Roman"/>
          <w:b/>
          <w:sz w:val="24"/>
          <w:szCs w:val="24"/>
          <w:lang w:val="es-ES_tradnl"/>
        </w:rPr>
        <w:t>18.-</w:t>
      </w:r>
      <w:r w:rsidRPr="00B63A81">
        <w:rPr>
          <w:rFonts w:ascii="Times New Roman" w:eastAsia="Helvetica Neue" w:hAnsi="Times New Roman" w:cs="Times New Roman"/>
          <w:sz w:val="24"/>
          <w:szCs w:val="24"/>
          <w:lang w:val="es-ES_tradnl"/>
        </w:rPr>
        <w:t xml:space="preserve"> Los ayuntamientos podrán acordar en favor de los propietarios o poseedores de predios destinados a actividades agropecuarias, acuícolas y forestales, sujetos al pago del Impuesto Predial, y que se presenten a regularizar sus adeudos durante el ejercicio fiscal</w:t>
      </w:r>
      <w:r w:rsidRPr="00B63A81">
        <w:rPr>
          <w:rFonts w:ascii="Times New Roman" w:eastAsia="Helvetica Neue" w:hAnsi="Times New Roman" w:cs="Times New Roman"/>
          <w:b/>
          <w:sz w:val="24"/>
          <w:szCs w:val="24"/>
          <w:lang w:val="es-ES_tradnl"/>
        </w:rPr>
        <w:t xml:space="preserve"> </w:t>
      </w:r>
      <w:r w:rsidRPr="00B63A81">
        <w:rPr>
          <w:rFonts w:ascii="Times New Roman" w:eastAsia="Helvetica Neue" w:hAnsi="Times New Roman" w:cs="Times New Roman"/>
          <w:sz w:val="24"/>
          <w:szCs w:val="24"/>
          <w:lang w:val="es-ES_tradnl"/>
        </w:rPr>
        <w:t xml:space="preserve">2026; estímulos fiscales a través de bonificaciones de hasta el 100% en el monto de la contribución a su cargo y de los accesorios legales causados.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widowControl w:val="0"/>
        <w:suppressAutoHyphens/>
        <w:snapToGrid w:val="0"/>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Los montos de los apoyos, así como los términos y condiciones en cuanto a su otorgamiento, se determinarán en el correspondiente acuerdo de cabildo. </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19.-</w:t>
      </w:r>
      <w:r w:rsidRPr="00B63A81">
        <w:rPr>
          <w:rFonts w:ascii="Times New Roman" w:eastAsia="Helvetica Neue" w:hAnsi="Times New Roman" w:cs="Times New Roman"/>
          <w:sz w:val="24"/>
          <w:szCs w:val="24"/>
          <w:lang w:val="es-ES_tradnl"/>
        </w:rPr>
        <w:t xml:space="preserve"> Los ayuntamientos podrán acordar a favor de los propietarios o poseedores de inmuebles destinados a casa habitación, sujetos al pago del Impuesto Predial, y que se presenten a regularizar sus adeudos durante el ejercicio fiscal 2026; estímulos fiscales a través de bonificaciones de hasta el 50% del monto del impuesto a su cargo, correspondiente a los ejercicios fiscales 2024 y anteriores.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Los montos de los apoyos, así como los términos y condiciones en cuanto a su otorgamiento, se determinarán en el correspondiente acuerdo de cabildo. </w:t>
      </w:r>
    </w:p>
    <w:p w:rsidR="00B63A81" w:rsidRPr="00B63A81" w:rsidRDefault="00B63A81" w:rsidP="00B63A81">
      <w:pPr>
        <w:widowControl w:val="0"/>
        <w:suppressAutoHyphens/>
        <w:snapToGrid w:val="0"/>
        <w:spacing w:after="0" w:line="240" w:lineRule="auto"/>
        <w:jc w:val="center"/>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20.-</w:t>
      </w:r>
      <w:r w:rsidRPr="00B63A81">
        <w:rPr>
          <w:rFonts w:ascii="Times New Roman" w:eastAsia="Helvetica Neue" w:hAnsi="Times New Roman" w:cs="Times New Roman"/>
          <w:sz w:val="24"/>
          <w:szCs w:val="24"/>
          <w:lang w:val="es-ES_tradnl"/>
        </w:rPr>
        <w:t xml:space="preserve"> Los ayuntamientos podrán acordar a favor de los contribuyentes sujetos al pago de los Derechos por los servicios de Suministro de Agua Potable, Drenaje y Alcantarillado, que lleven a cabo la regularización de sus adeudos durante el ejercicio fiscal 2026; estímulos fiscales a través de bonificaciones de hasta el 50% del monto de la contribución a su cargo, correspondiente a los ejercicios fiscales anteriores, incluyendo los accesorios legales causados.</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Los montos de los apoyos, así como los términos y condiciones en cuanto a su otorgamiento, se determinarán en el correspondiente acuerdo de cabildo. </w:t>
      </w:r>
    </w:p>
    <w:p w:rsidR="00B63A81" w:rsidRPr="00B63A81" w:rsidRDefault="00B63A81" w:rsidP="00B63A81">
      <w:pPr>
        <w:widowControl w:val="0"/>
        <w:suppressAutoHyphens/>
        <w:snapToGrid w:val="0"/>
        <w:spacing w:after="0" w:line="240" w:lineRule="auto"/>
        <w:jc w:val="center"/>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21.-</w:t>
      </w:r>
      <w:r w:rsidRPr="00B63A81">
        <w:rPr>
          <w:rFonts w:ascii="Times New Roman" w:eastAsia="Helvetica Neue" w:hAnsi="Times New Roman" w:cs="Times New Roman"/>
          <w:sz w:val="24"/>
          <w:szCs w:val="24"/>
          <w:lang w:val="es-ES_tradnl"/>
        </w:rPr>
        <w:t xml:space="preserve"> Los ayuntamientos podrán durante el ejercicio fiscal 2026, acordar en favor de los contribuyentes, estímulos fiscales a través de bonificaciones de hasta el 100% en el pago de las contribuciones, según correspondan, cuando se destinen a la apertura de unidades económicas de bajo impacto.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Los montos de los apoyos, así como los términos y condiciones en cuanto a su otorgamiento, se determinarán en el correspondiente acuerdo de cabildo. </w:t>
      </w:r>
    </w:p>
    <w:p w:rsidR="00B63A81" w:rsidRPr="00B63A81" w:rsidRDefault="00B63A81" w:rsidP="00B63A81">
      <w:pPr>
        <w:widowControl w:val="0"/>
        <w:suppressAutoHyphens/>
        <w:snapToGrid w:val="0"/>
        <w:spacing w:after="0" w:line="240" w:lineRule="auto"/>
        <w:jc w:val="center"/>
        <w:rPr>
          <w:rFonts w:ascii="Times New Roman" w:eastAsia="Calibri" w:hAnsi="Times New Roman" w:cs="Times New Roman"/>
          <w:b/>
          <w:sz w:val="24"/>
          <w:szCs w:val="24"/>
        </w:rPr>
      </w:pPr>
    </w:p>
    <w:p w:rsidR="00B63A81" w:rsidRPr="00B63A81" w:rsidRDefault="00B63A81" w:rsidP="00B63A81">
      <w:pPr>
        <w:widowControl w:val="0"/>
        <w:pBdr>
          <w:top w:val="nil"/>
          <w:left w:val="nil"/>
          <w:bottom w:val="nil"/>
          <w:right w:val="nil"/>
          <w:between w:val="nil"/>
        </w:pBd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22.-</w:t>
      </w:r>
      <w:r w:rsidRPr="00B63A81">
        <w:rPr>
          <w:rFonts w:ascii="Times New Roman" w:eastAsia="Helvetica Neue" w:hAnsi="Times New Roman" w:cs="Times New Roman"/>
          <w:sz w:val="24"/>
          <w:szCs w:val="24"/>
          <w:lang w:val="es-ES_tradnl"/>
        </w:rPr>
        <w:t xml:space="preserve"> Los ayuntamientos durante el ejercicio fiscal 2026, podrán acordar en favor de los propietarios y/o poseedores de inmuebles, estímulos fiscales a través de bonificaciones de hasta el 10% en el pago del Impuesto Predial, siempre que acrediten el manejo integral de residuos sólidos urbanos y/o la práctica de acciones de impacto, dirigidas a la sostenibilidad del medio ambiente, según lo previsto por las disposiciones que rigen la materia. </w:t>
      </w:r>
    </w:p>
    <w:p w:rsidR="00B63A81" w:rsidRPr="00B63A81" w:rsidRDefault="00B63A81" w:rsidP="00B63A81">
      <w:pPr>
        <w:widowControl w:val="0"/>
        <w:pBdr>
          <w:top w:val="nil"/>
          <w:left w:val="nil"/>
          <w:bottom w:val="nil"/>
          <w:right w:val="nil"/>
          <w:between w:val="nil"/>
        </w:pBd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widowControl w:val="0"/>
        <w:pBdr>
          <w:top w:val="nil"/>
          <w:left w:val="nil"/>
          <w:bottom w:val="nil"/>
          <w:right w:val="nil"/>
          <w:between w:val="nil"/>
        </w:pBd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Lo anterior, previa emisión del dictamen de procedencia que para tal efecto, expida la unidad administrativa municipal encargada de medio ambiente o ecología, según corresponda.</w:t>
      </w:r>
    </w:p>
    <w:p w:rsidR="00B63A81" w:rsidRPr="00B63A81" w:rsidRDefault="00B63A81" w:rsidP="00B63A81">
      <w:pPr>
        <w:widowControl w:val="0"/>
        <w:pBdr>
          <w:top w:val="nil"/>
          <w:left w:val="nil"/>
          <w:bottom w:val="nil"/>
          <w:right w:val="nil"/>
          <w:between w:val="nil"/>
        </w:pBd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widowControl w:val="0"/>
        <w:suppressAutoHyphens/>
        <w:snapToGrid w:val="0"/>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El monto de la bonificación, así como los términos y condiciones en cuanto a su otorgamiento, se determinarán en el correspondiente acuerdo de cabildo.</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23.-</w:t>
      </w:r>
      <w:r w:rsidRPr="00B63A81">
        <w:rPr>
          <w:rFonts w:ascii="Times New Roman" w:eastAsia="Helvetica Neue" w:hAnsi="Times New Roman" w:cs="Times New Roman"/>
          <w:sz w:val="24"/>
          <w:szCs w:val="24"/>
          <w:lang w:val="es-ES_tradnl"/>
        </w:rPr>
        <w:t xml:space="preserve"> Los ayuntamientos podrán mediante el acuerdo de cabildo correspondiente, cancelar los créditos fiscales, causados con anterioridad al 1 de enero de 2022, cuyo cobro tenga </w:t>
      </w:r>
      <w:r w:rsidRPr="00B63A81">
        <w:rPr>
          <w:rFonts w:ascii="Times New Roman" w:eastAsia="Helvetica Neue" w:hAnsi="Times New Roman" w:cs="Times New Roman"/>
          <w:sz w:val="24"/>
          <w:szCs w:val="24"/>
          <w:lang w:val="es-ES_tradnl"/>
        </w:rPr>
        <w:lastRenderedPageBreak/>
        <w:t xml:space="preserve">encomendado la Tesorería Municipal; cuando el importe histórico del crédito al 31 de diciembre de 2021, sea de $3,000.00 (Tres mil pesos 00/100 M.N.) o menos. No procederá la cancelación, cuando existan dos o más créditos a cargo de una misma persona siempre que la suma de ellos, exceda el límite de $3,000.00 (Tres mil pesos 00/100 M.N.), ni cuando se trate de créditos derivados del Impuesto Predial y de los Derechos por el servicio de Suministro de Agua Potable; así como los derivados de multas administrativas no fiscales y aquellos determinados por concepto de responsabilidad administrativa.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Calibri" w:hAnsi="Times New Roman" w:cs="Times New Roman"/>
          <w:sz w:val="24"/>
          <w:szCs w:val="24"/>
        </w:rPr>
        <w:t>Asimismo, los ayuntamientos podrán mediante acuerdo de cabildo, facultar a la Tesorería Municipal para que lleve a cabo la cancelación de aquellos créditos fiscales municipales, cuyo cobro le corresponde efectuar, en los casos en que exista incosteabilidad, imposibilidad práctica de cobro, o insolvencia, las cuales se determinarán conforme al artículo 45 del Código Financiero del Estado de México y Municipios.</w:t>
      </w:r>
      <w:r w:rsidRPr="00B63A81">
        <w:rPr>
          <w:rFonts w:ascii="Times New Roman" w:eastAsia="Helvetica Neue" w:hAnsi="Times New Roman" w:cs="Times New Roman"/>
          <w:sz w:val="24"/>
          <w:szCs w:val="24"/>
          <w:lang w:val="es-ES_tradnl"/>
        </w:rPr>
        <w:t xml:space="preserve">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widowControl w:val="0"/>
        <w:suppressAutoHyphens/>
        <w:snapToGrid w:val="0"/>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El Instituto Hacendario del Estado de México, dentro de su ámbito de competencia, capacitará y asesorará a la autoridad fiscal municipal, a fin de que esta disposición se aplique correctamente. </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24.-</w:t>
      </w:r>
      <w:r w:rsidRPr="00B63A81">
        <w:rPr>
          <w:rFonts w:ascii="Times New Roman" w:eastAsia="Helvetica Neue" w:hAnsi="Times New Roman" w:cs="Times New Roman"/>
          <w:sz w:val="24"/>
          <w:szCs w:val="24"/>
          <w:lang w:val="es-ES_tradnl"/>
        </w:rPr>
        <w:t xml:space="preserve"> Para el ejercicio fiscal 2026, el importe anual a pagar por los contribuyentes por concepto del Impuesto Predial, no podrá exceder del 20% de incremento, respecto al monto </w:t>
      </w:r>
      <w:r w:rsidRPr="00B63A81">
        <w:rPr>
          <w:rFonts w:ascii="Times New Roman" w:eastAsia="Calibri" w:hAnsi="Times New Roman" w:cs="Times New Roman"/>
          <w:sz w:val="24"/>
          <w:szCs w:val="24"/>
        </w:rPr>
        <w:t>total por concepto del impuesto que le correspondía pagar en el ejercicio fiscal inmediato anterior, calculado conforme a lo dispuesto en el artículo 109 del Código Financiero del Estado de México y Municipios, sin considerar la aplicación de algún subsidio, descuento o beneficio fiscal, así como tampoco actualizaciones, recargos y multas.</w:t>
      </w:r>
    </w:p>
    <w:p w:rsidR="00B63A81" w:rsidRPr="00B63A81" w:rsidRDefault="00B63A81" w:rsidP="00B63A81">
      <w:pPr>
        <w:spacing w:after="0" w:line="240" w:lineRule="auto"/>
        <w:jc w:val="both"/>
        <w:rPr>
          <w:rFonts w:ascii="Times New Roman" w:eastAsia="Calibri" w:hAnsi="Times New Roman" w:cs="Times New Roman"/>
          <w:sz w:val="24"/>
          <w:szCs w:val="24"/>
        </w:rPr>
      </w:pPr>
    </w:p>
    <w:p w:rsidR="00B63A81" w:rsidRPr="00B63A81" w:rsidRDefault="00B63A81" w:rsidP="00B63A81">
      <w:pPr>
        <w:spacing w:after="0" w:line="240" w:lineRule="auto"/>
        <w:jc w:val="both"/>
        <w:rPr>
          <w:rFonts w:ascii="Times New Roman" w:eastAsia="Calibri" w:hAnsi="Times New Roman" w:cs="Times New Roman"/>
          <w:sz w:val="24"/>
          <w:szCs w:val="24"/>
        </w:rPr>
      </w:pPr>
      <w:r w:rsidRPr="00B63A81">
        <w:rPr>
          <w:rFonts w:ascii="Times New Roman" w:eastAsia="Calibri" w:hAnsi="Times New Roman" w:cs="Times New Roman"/>
          <w:sz w:val="24"/>
          <w:szCs w:val="24"/>
        </w:rPr>
        <w:t>Para efectos de lo anterior, se exceptúan los casos en que se observe alguna modificación de la superficie de terreno y/o construcción, así como de la tipología de construcción, conforme a lo manifestado por el contribuyente o verificado por la autoridad competente.</w:t>
      </w:r>
    </w:p>
    <w:p w:rsidR="00B63A81" w:rsidRPr="00B63A81" w:rsidRDefault="00B63A81" w:rsidP="00B63A81">
      <w:pPr>
        <w:widowControl w:val="0"/>
        <w:suppressAutoHyphens/>
        <w:snapToGrid w:val="0"/>
        <w:spacing w:after="0" w:line="240" w:lineRule="auto"/>
        <w:jc w:val="both"/>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25.-</w:t>
      </w:r>
      <w:r w:rsidRPr="00B63A81">
        <w:rPr>
          <w:rFonts w:ascii="Times New Roman" w:eastAsia="Helvetica Neue" w:hAnsi="Times New Roman" w:cs="Times New Roman"/>
          <w:sz w:val="24"/>
          <w:szCs w:val="24"/>
          <w:lang w:val="es-ES_tradnl"/>
        </w:rPr>
        <w:t xml:space="preserve"> Los sujetos al pago del Impuesto Predial, podrán compensar contra el Impuesto Predial determinado, hasta una cantidad igual al 50% del valor total de la inversión que realicen en la adquisición, instalación y operación de energía fotovoltaica para generar y utilizar energía limpia en el inmueble de que se trate, siempre y cuando, esa inversión se realice cumpliendo con los requisitos fiscales que establecen los artículos 29 y 29-A del Código Fiscal de la Federación.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El porcentaje referido en el párrafo anterior, será compensable únicamente durante cinco ejercicios fiscales, en una quinta parte cada año, esto es, en el ejercicio fiscal que realice la inversión y en los cuatro inmediatos posteriores. La compensación en ningún caso generará saldo a favor del Impuesto Predial.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 xml:space="preserve">Tratándose de la venta del inmueble respecto del cual se hubiese generado la compensación, subsistirá el derecho a continuar compensando el citado monto en el plazo establecido en el párrafo inmediato anterior, siempre y cuando, la operación se celebre ante fedatario público. </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Los términos y condiciones para la compensación, se determinarán en el correspondiente acuerdo de cabildo.</w:t>
      </w:r>
    </w:p>
    <w:p w:rsidR="00B63A81" w:rsidRPr="00B63A81" w:rsidRDefault="00B63A81" w:rsidP="00B63A81">
      <w:pPr>
        <w:widowControl w:val="0"/>
        <w:suppressAutoHyphens/>
        <w:snapToGrid w:val="0"/>
        <w:spacing w:after="0" w:line="240" w:lineRule="auto"/>
        <w:jc w:val="center"/>
        <w:rPr>
          <w:rFonts w:ascii="Times New Roman" w:eastAsia="Calibri" w:hAnsi="Times New Roman" w:cs="Times New Roman"/>
          <w:b/>
          <w:sz w:val="24"/>
          <w:szCs w:val="24"/>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26.-</w:t>
      </w:r>
      <w:r w:rsidRPr="00B63A81">
        <w:rPr>
          <w:rFonts w:ascii="Times New Roman" w:eastAsia="Helvetica Neue" w:hAnsi="Times New Roman" w:cs="Times New Roman"/>
          <w:sz w:val="24"/>
          <w:szCs w:val="24"/>
          <w:lang w:val="es-ES_tradnl"/>
        </w:rPr>
        <w:t xml:space="preserve"> Tratándose de contribuyentes a los que les resulte aplicable el otorgamiento de diversos estímulos fiscales de los señalados en los artículos 7, 8, 9, 10 y 22 de esta Ley, el monto total a pagar de la contribución respectiva, se obtendrá después de aplicar todos los beneficios de </w:t>
      </w:r>
      <w:r w:rsidRPr="00B63A81">
        <w:rPr>
          <w:rFonts w:ascii="Times New Roman" w:eastAsia="Helvetica Neue" w:hAnsi="Times New Roman" w:cs="Times New Roman"/>
          <w:sz w:val="24"/>
          <w:szCs w:val="24"/>
          <w:lang w:val="es-ES_tradnl"/>
        </w:rPr>
        <w:lastRenderedPageBreak/>
        <w:t>que sean sujetos, de forma residual; debiendo aplicarse cada uno de los estímulos fiscales, según corresponda, sobre el importe resultante, es decir, aplicarse cada una de las bonificaciones de forma independiente, conforme a los términos y condiciones para el otorgamiento de los estímulos fiscales, que se determinen mediante el acuerdo de cabildo correspondiente.</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En ningún caso, el monto a pagar de la contribución respectiva, será inferior a la cuota fija establecida en el rango 1 de la tarifa del artículo 109 del Código Financiero del Estado de México y Municipios, o que el monto de  los derechos a pagar sea inferior a los caudales mínimos establecidos en el artículo 130 del Código Financiero del Estado de México y Municipios, según corresponda.</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Artículo 27.-</w:t>
      </w:r>
      <w:r w:rsidRPr="00B63A81">
        <w:rPr>
          <w:rFonts w:ascii="Times New Roman" w:eastAsia="Calibri" w:hAnsi="Times New Roman" w:cs="Times New Roman"/>
          <w:b/>
          <w:bCs/>
          <w:sz w:val="24"/>
          <w:szCs w:val="24"/>
        </w:rPr>
        <w:t xml:space="preserve"> </w:t>
      </w:r>
      <w:r w:rsidRPr="00B63A81">
        <w:rPr>
          <w:rFonts w:ascii="Times New Roman" w:eastAsia="Helvetica Neue" w:hAnsi="Times New Roman" w:cs="Times New Roman"/>
          <w:sz w:val="24"/>
          <w:szCs w:val="24"/>
          <w:lang w:val="es-ES_tradnl"/>
        </w:rPr>
        <w:t xml:space="preserve">Los Ayuntamientos que suscriban convenios o instrumentos de coordinación con la Federación o el Estado, para el desarrollo de Programas de Vivienda Social Gubernamental, en cumplimiento a lo dispuesto por estos, podrán exentar hasta el 100 por ciento de las contribuciones, aprovechamientos y sus accesorios de los trámites, permisos, autorizaciones, registros, inscripciones y cualquier otro que se requiera para el desarrollo eficiente de los Programas </w:t>
      </w:r>
      <w:r w:rsidRPr="00B63A81">
        <w:rPr>
          <w:rFonts w:ascii="Times New Roman" w:eastAsia="Calibri" w:hAnsi="Times New Roman" w:cs="Times New Roman"/>
          <w:bCs/>
          <w:sz w:val="24"/>
          <w:szCs w:val="24"/>
        </w:rPr>
        <w:t>de Vivienda Social Gubernamental</w:t>
      </w:r>
      <w:r w:rsidRPr="00B63A81">
        <w:rPr>
          <w:rFonts w:ascii="Times New Roman" w:eastAsia="Helvetica Neue" w:hAnsi="Times New Roman" w:cs="Times New Roman"/>
          <w:sz w:val="24"/>
          <w:szCs w:val="24"/>
          <w:lang w:val="es-ES_tradnl"/>
        </w:rPr>
        <w:t>, incluyendo los relativos para la escrituración y transmisión de la propiedad, en términos de la normativa aplicable.</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sz w:val="24"/>
          <w:szCs w:val="24"/>
          <w:lang w:val="es-ES_tradnl"/>
        </w:rPr>
        <w:t>Los términos y condiciones para la exención en cuanto a su otorgamiento, se determinarán en el correspondiente acuerdo de cabildo.</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center"/>
        <w:rPr>
          <w:rFonts w:ascii="Times New Roman" w:eastAsia="Calibri" w:hAnsi="Times New Roman" w:cs="Times New Roman"/>
          <w:b/>
          <w:bCs/>
          <w:sz w:val="24"/>
          <w:szCs w:val="24"/>
          <w:lang w:val="en-US"/>
        </w:rPr>
      </w:pPr>
      <w:r w:rsidRPr="00B63A81">
        <w:rPr>
          <w:rFonts w:ascii="Times New Roman" w:eastAsia="Calibri" w:hAnsi="Times New Roman" w:cs="Times New Roman"/>
          <w:b/>
          <w:bCs/>
          <w:sz w:val="24"/>
          <w:szCs w:val="24"/>
          <w:lang w:val="en-US"/>
        </w:rPr>
        <w:t>T R A N S I T O R I O S</w:t>
      </w:r>
    </w:p>
    <w:p w:rsidR="00B63A81" w:rsidRPr="00B63A81" w:rsidRDefault="00B63A81" w:rsidP="00B63A81">
      <w:pPr>
        <w:spacing w:after="0" w:line="240" w:lineRule="auto"/>
        <w:jc w:val="both"/>
        <w:rPr>
          <w:rFonts w:ascii="Times New Roman" w:eastAsia="Calibri" w:hAnsi="Times New Roman" w:cs="Times New Roman"/>
          <w:b/>
          <w:sz w:val="24"/>
          <w:szCs w:val="24"/>
          <w:lang w:val="en-US"/>
        </w:rPr>
      </w:pP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r w:rsidRPr="00B63A81">
        <w:rPr>
          <w:rFonts w:ascii="Times New Roman" w:eastAsia="Helvetica Neue" w:hAnsi="Times New Roman" w:cs="Times New Roman"/>
          <w:b/>
          <w:sz w:val="24"/>
          <w:szCs w:val="24"/>
          <w:lang w:val="es-ES_tradnl"/>
        </w:rPr>
        <w:t xml:space="preserve">PRIMERO.- </w:t>
      </w:r>
      <w:r w:rsidRPr="00B63A81">
        <w:rPr>
          <w:rFonts w:ascii="Times New Roman" w:eastAsia="Helvetica Neue" w:hAnsi="Times New Roman" w:cs="Times New Roman"/>
          <w:sz w:val="24"/>
          <w:szCs w:val="24"/>
          <w:lang w:val="es-ES_tradnl"/>
        </w:rPr>
        <w:t>Publíquese la presente Ley en el Periódico Oficial “Gaceta del Gobierno”.</w:t>
      </w:r>
    </w:p>
    <w:p w:rsidR="00B63A81" w:rsidRPr="00B63A81" w:rsidRDefault="00B63A81" w:rsidP="00B63A81">
      <w:pPr>
        <w:spacing w:after="0" w:line="240" w:lineRule="auto"/>
        <w:jc w:val="both"/>
        <w:rPr>
          <w:rFonts w:ascii="Times New Roman" w:eastAsia="Helvetica Neue" w:hAnsi="Times New Roman" w:cs="Times New Roman"/>
          <w:sz w:val="24"/>
          <w:szCs w:val="24"/>
          <w:lang w:val="es-ES_tradnl"/>
        </w:rPr>
      </w:pPr>
    </w:p>
    <w:p w:rsidR="00B63A81" w:rsidRPr="00B63A81" w:rsidRDefault="00B63A81" w:rsidP="00B63A81">
      <w:pPr>
        <w:spacing w:after="0" w:line="240" w:lineRule="auto"/>
        <w:jc w:val="both"/>
        <w:rPr>
          <w:rFonts w:ascii="Times New Roman" w:eastAsia="Helvetica Neue" w:hAnsi="Times New Roman" w:cs="Times New Roman"/>
          <w:bCs/>
          <w:sz w:val="24"/>
          <w:szCs w:val="24"/>
        </w:rPr>
      </w:pPr>
      <w:r w:rsidRPr="00B63A81">
        <w:rPr>
          <w:rFonts w:ascii="Times New Roman" w:eastAsia="Helvetica Neue" w:hAnsi="Times New Roman" w:cs="Times New Roman"/>
          <w:b/>
          <w:sz w:val="24"/>
          <w:szCs w:val="24"/>
        </w:rPr>
        <w:t>SEGUNDO.-</w:t>
      </w:r>
      <w:r w:rsidRPr="00B63A81">
        <w:rPr>
          <w:rFonts w:ascii="Times New Roman" w:eastAsia="Helvetica Neue" w:hAnsi="Times New Roman" w:cs="Times New Roman"/>
          <w:bCs/>
          <w:sz w:val="24"/>
          <w:szCs w:val="24"/>
        </w:rPr>
        <w:t xml:space="preserve"> La presente Ley entrará en vigor el 1 de enero de 2026.</w:t>
      </w:r>
    </w:p>
    <w:p w:rsidR="00B63A81" w:rsidRPr="00B63A81" w:rsidRDefault="00B63A81" w:rsidP="00B63A81">
      <w:pPr>
        <w:spacing w:after="0" w:line="240" w:lineRule="auto"/>
        <w:jc w:val="both"/>
        <w:rPr>
          <w:rFonts w:ascii="Times New Roman" w:eastAsia="Helvetica Neue" w:hAnsi="Times New Roman" w:cs="Times New Roman"/>
          <w:bCs/>
          <w:sz w:val="24"/>
          <w:szCs w:val="24"/>
        </w:rPr>
      </w:pPr>
    </w:p>
    <w:p w:rsidR="00B63A81" w:rsidRPr="00B63A81" w:rsidRDefault="00B63A81" w:rsidP="00B63A81">
      <w:pPr>
        <w:spacing w:after="0" w:line="240" w:lineRule="auto"/>
        <w:jc w:val="both"/>
        <w:rPr>
          <w:rFonts w:ascii="Times New Roman" w:eastAsia="Calibri" w:hAnsi="Times New Roman" w:cs="Times New Roman"/>
          <w:color w:val="222222"/>
          <w:sz w:val="24"/>
          <w:szCs w:val="24"/>
          <w:shd w:val="clear" w:color="auto" w:fill="FFFFFF"/>
        </w:rPr>
      </w:pPr>
      <w:r w:rsidRPr="00B63A81">
        <w:rPr>
          <w:rFonts w:ascii="Times New Roman" w:eastAsia="Helvetica Neue" w:hAnsi="Times New Roman" w:cs="Times New Roman"/>
          <w:b/>
          <w:sz w:val="24"/>
          <w:szCs w:val="24"/>
        </w:rPr>
        <w:t>TERCERO</w:t>
      </w:r>
      <w:r w:rsidRPr="00B63A81">
        <w:rPr>
          <w:rFonts w:ascii="Times New Roman" w:eastAsia="Helvetica Neue" w:hAnsi="Times New Roman" w:cs="Times New Roman"/>
          <w:b/>
          <w:bCs/>
          <w:sz w:val="24"/>
          <w:szCs w:val="24"/>
        </w:rPr>
        <w:t xml:space="preserve">.- </w:t>
      </w:r>
      <w:r w:rsidRPr="00B63A81">
        <w:rPr>
          <w:rFonts w:ascii="Times New Roman" w:eastAsia="Helvetica Neue" w:hAnsi="Times New Roman" w:cs="Times New Roman"/>
          <w:bCs/>
          <w:sz w:val="24"/>
          <w:szCs w:val="24"/>
        </w:rPr>
        <w:t>Las autoridades estatales y municipales, en el ámbito de sus respectivas competencias, proveerán lo necesario a fin de atender lo dispuesto por el artículo 26, relativo a la aplicación de los estímulos fiscales, conforme a los términos establecidos en la presente Ley.</w:t>
      </w:r>
      <w:r w:rsidRPr="00B63A81">
        <w:rPr>
          <w:rFonts w:ascii="Times New Roman" w:eastAsia="Calibri" w:hAnsi="Times New Roman" w:cs="Times New Roman"/>
          <w:sz w:val="24"/>
          <w:szCs w:val="24"/>
        </w:rPr>
        <w:t xml:space="preserve"> </w:t>
      </w:r>
    </w:p>
    <w:p w:rsidR="00B63A81" w:rsidRPr="00B63A81" w:rsidRDefault="00B63A81" w:rsidP="00B63A81">
      <w:pPr>
        <w:spacing w:after="0" w:line="240" w:lineRule="auto"/>
        <w:jc w:val="both"/>
        <w:rPr>
          <w:rFonts w:ascii="Times New Roman" w:eastAsia="Helvetica Neue" w:hAnsi="Times New Roman" w:cs="Times New Roman"/>
          <w:bCs/>
          <w:sz w:val="24"/>
          <w:szCs w:val="24"/>
        </w:rPr>
      </w:pPr>
    </w:p>
    <w:p w:rsidR="00B63A81" w:rsidRPr="00B63A81" w:rsidRDefault="00B63A81" w:rsidP="00B63A81">
      <w:pPr>
        <w:spacing w:after="0" w:line="240" w:lineRule="auto"/>
        <w:jc w:val="both"/>
        <w:rPr>
          <w:rFonts w:ascii="Times New Roman" w:eastAsia="Helvetica Neue" w:hAnsi="Times New Roman" w:cs="Times New Roman"/>
          <w:bCs/>
          <w:sz w:val="24"/>
          <w:szCs w:val="24"/>
        </w:rPr>
      </w:pPr>
      <w:r w:rsidRPr="00B63A81">
        <w:rPr>
          <w:rFonts w:ascii="Times New Roman" w:eastAsia="Helvetica Neue" w:hAnsi="Times New Roman" w:cs="Times New Roman"/>
          <w:b/>
          <w:bCs/>
          <w:sz w:val="24"/>
          <w:szCs w:val="24"/>
        </w:rPr>
        <w:t xml:space="preserve">CUARTO.- </w:t>
      </w:r>
      <w:r w:rsidRPr="00B63A81">
        <w:rPr>
          <w:rFonts w:ascii="Times New Roman" w:eastAsia="Helvetica Neue" w:hAnsi="Times New Roman" w:cs="Times New Roman"/>
          <w:bCs/>
          <w:sz w:val="24"/>
          <w:szCs w:val="24"/>
        </w:rPr>
        <w:t xml:space="preserve">Lo dispuesto en el artículo 27 de esta Ley, entrará en vigor con este Decreto, exceptuándose </w:t>
      </w:r>
      <w:r w:rsidRPr="00B63A81">
        <w:rPr>
          <w:rFonts w:ascii="Times New Roman" w:eastAsia="Calibri" w:hAnsi="Times New Roman" w:cs="Times New Roman"/>
          <w:sz w:val="24"/>
          <w:szCs w:val="24"/>
        </w:rPr>
        <w:t xml:space="preserve">su aplicación, tratándose de conjuntos urbanos, condominios o proyectos habitacionales respecto de los cuales hayan celebrado </w:t>
      </w:r>
      <w:r w:rsidRPr="00B63A81">
        <w:rPr>
          <w:rFonts w:ascii="Times New Roman" w:eastAsia="Helvetica Neue" w:hAnsi="Times New Roman" w:cs="Times New Roman"/>
          <w:bCs/>
          <w:sz w:val="24"/>
          <w:szCs w:val="24"/>
        </w:rPr>
        <w:t>convenios o instrumentos de coordinación en los que los Municipios intervengan, en cuyo caso, se aplicará a partir de la fecha de la suscripción, sin que ello implique aplicación retroactiva ni afectación a derechos adquiridos, de conformidad con la normativa aplicable.</w:t>
      </w:r>
    </w:p>
    <w:p w:rsidR="00B63A81" w:rsidRPr="00B63A81" w:rsidRDefault="00B63A81" w:rsidP="00B63A81">
      <w:pPr>
        <w:spacing w:after="0" w:line="240" w:lineRule="auto"/>
        <w:jc w:val="both"/>
        <w:rPr>
          <w:rFonts w:ascii="Times New Roman" w:eastAsia="Helvetica Neue" w:hAnsi="Times New Roman" w:cs="Times New Roman"/>
          <w:bCs/>
          <w:sz w:val="24"/>
          <w:szCs w:val="24"/>
        </w:rPr>
      </w:pPr>
    </w:p>
    <w:p w:rsidR="00B63A81" w:rsidRPr="00B63A81" w:rsidRDefault="00B63A81" w:rsidP="00B63A81">
      <w:pPr>
        <w:spacing w:after="0" w:line="240" w:lineRule="auto"/>
        <w:jc w:val="both"/>
        <w:rPr>
          <w:rFonts w:ascii="Times New Roman" w:eastAsia="Helvetica Neue" w:hAnsi="Times New Roman" w:cs="Times New Roman"/>
          <w:bCs/>
          <w:sz w:val="24"/>
          <w:szCs w:val="24"/>
        </w:rPr>
      </w:pPr>
      <w:r w:rsidRPr="00B63A81">
        <w:rPr>
          <w:rFonts w:ascii="Times New Roman" w:eastAsia="Helvetica Neue" w:hAnsi="Times New Roman" w:cs="Times New Roman"/>
          <w:bCs/>
          <w:sz w:val="24"/>
          <w:szCs w:val="24"/>
        </w:rPr>
        <w:t>Se contará con un plazo de ciento veinte días hábiles a partir de la entrada en vigor del presente Decreto para que se emitan y/o adecuen las disposiciones administrativas aplicables, en el entendido que para aquellos actos jurídicos derivados de convenios o instrumentos de coordinación ya celebrados</w:t>
      </w:r>
      <w:r w:rsidRPr="00B63A81">
        <w:rPr>
          <w:rFonts w:ascii="Times New Roman" w:eastAsia="Helvetica Neue" w:hAnsi="Times New Roman" w:cs="Times New Roman"/>
          <w:b/>
          <w:bCs/>
          <w:sz w:val="24"/>
          <w:szCs w:val="24"/>
        </w:rPr>
        <w:t xml:space="preserve"> </w:t>
      </w:r>
      <w:r w:rsidRPr="00B63A81">
        <w:rPr>
          <w:rFonts w:ascii="Times New Roman" w:eastAsia="Helvetica Neue" w:hAnsi="Times New Roman" w:cs="Times New Roman"/>
          <w:bCs/>
          <w:sz w:val="24"/>
          <w:szCs w:val="24"/>
        </w:rPr>
        <w:t>en los que los Municipios intervengan, se aplicarán las disposiciones del artículo 27 de esta Ley.</w:t>
      </w:r>
    </w:p>
    <w:p w:rsidR="00B63A81" w:rsidRPr="00B63A81" w:rsidRDefault="00B63A81" w:rsidP="00B63A81">
      <w:pPr>
        <w:spacing w:after="0" w:line="240" w:lineRule="auto"/>
        <w:jc w:val="both"/>
        <w:rPr>
          <w:rFonts w:ascii="Times New Roman" w:eastAsia="Calibri" w:hAnsi="Times New Roman" w:cs="Times New Roman"/>
          <w:bCs/>
          <w:sz w:val="24"/>
          <w:szCs w:val="24"/>
          <w:lang w:val="es-ES_tradnl"/>
        </w:rPr>
      </w:pPr>
    </w:p>
    <w:p w:rsidR="00B63A81" w:rsidRPr="00B63A81" w:rsidRDefault="00B63A81" w:rsidP="00B63A81">
      <w:pPr>
        <w:spacing w:after="0" w:line="240" w:lineRule="auto"/>
        <w:ind w:left="4536"/>
        <w:jc w:val="both"/>
        <w:rPr>
          <w:rFonts w:ascii="Times New Roman" w:eastAsia="Arial Unicode MS" w:hAnsi="Times New Roman" w:cs="Times New Roman"/>
          <w:sz w:val="24"/>
          <w:szCs w:val="24"/>
          <w:u w:color="000000"/>
          <w:lang w:val="es-ES_tradnl" w:eastAsia="es-MX"/>
        </w:rPr>
      </w:pPr>
      <w:bookmarkStart w:id="17" w:name="_Hlk214265509"/>
      <w:r w:rsidRPr="00B63A81">
        <w:rPr>
          <w:rFonts w:ascii="Times New Roman" w:eastAsia="Calibri" w:hAnsi="Times New Roman" w:cs="Times New Roman"/>
          <w:sz w:val="24"/>
          <w:szCs w:val="24"/>
          <w:lang w:val="es-ES_tradnl"/>
        </w:rPr>
        <w:t xml:space="preserve">HOJA DE FIRMA DE LA INICIATIVA DE DECRETO POR EL QUE SE EXPIDE LA LEY DE INGRESOS DE LOS MUNICIPIOS DEL </w:t>
      </w:r>
      <w:r w:rsidRPr="00B63A81">
        <w:rPr>
          <w:rFonts w:ascii="Times New Roman" w:eastAsia="Calibri" w:hAnsi="Times New Roman" w:cs="Times New Roman"/>
          <w:sz w:val="24"/>
          <w:szCs w:val="24"/>
          <w:lang w:val="es-ES_tradnl"/>
        </w:rPr>
        <w:lastRenderedPageBreak/>
        <w:t>ESTADO DE MÉXICO PARA EL EJERCICIO FISCAL 2026.</w:t>
      </w:r>
    </w:p>
    <w:p w:rsidR="00B63A81" w:rsidRPr="00B63A81" w:rsidRDefault="00B63A81" w:rsidP="00B63A81">
      <w:pPr>
        <w:spacing w:after="0" w:line="240" w:lineRule="auto"/>
        <w:jc w:val="both"/>
        <w:rPr>
          <w:rFonts w:ascii="Times New Roman" w:eastAsia="Arial Unicode MS" w:hAnsi="Times New Roman" w:cs="Times New Roman"/>
          <w:sz w:val="24"/>
          <w:szCs w:val="24"/>
          <w:u w:color="000000"/>
          <w:lang w:val="es-ES_tradnl" w:eastAsia="es-MX"/>
        </w:rPr>
      </w:pPr>
    </w:p>
    <w:p w:rsidR="00B63A81" w:rsidRPr="00B63A81" w:rsidRDefault="00B63A81" w:rsidP="00B63A81">
      <w:pPr>
        <w:spacing w:after="0" w:line="240" w:lineRule="auto"/>
        <w:jc w:val="both"/>
        <w:rPr>
          <w:rFonts w:ascii="Times New Roman" w:eastAsia="Arial Unicode MS" w:hAnsi="Times New Roman" w:cs="Times New Roman"/>
          <w:sz w:val="24"/>
          <w:szCs w:val="24"/>
          <w:u w:color="000000"/>
          <w:lang w:val="es-ES_tradnl" w:eastAsia="es-MX"/>
        </w:rPr>
      </w:pPr>
      <w:r w:rsidRPr="00B63A81">
        <w:rPr>
          <w:rFonts w:ascii="Times New Roman" w:eastAsia="Arial Unicode MS" w:hAnsi="Times New Roman" w:cs="Times New Roman"/>
          <w:sz w:val="24"/>
          <w:szCs w:val="24"/>
          <w:u w:color="000000"/>
          <w:lang w:val="es-ES_tradnl" w:eastAsia="es-MX"/>
        </w:rPr>
        <w:t>Reitero a usted, la seguridad de mi atenta y distinguida consideración.</w:t>
      </w:r>
    </w:p>
    <w:p w:rsidR="00B63A81" w:rsidRPr="00B63A81" w:rsidRDefault="00B63A81" w:rsidP="00B63A81">
      <w:pPr>
        <w:spacing w:after="0" w:line="240" w:lineRule="auto"/>
        <w:jc w:val="center"/>
        <w:rPr>
          <w:rFonts w:ascii="Times New Roman" w:eastAsia="MS Mincho" w:hAnsi="Times New Roman" w:cs="Times New Roman"/>
          <w:b/>
          <w:sz w:val="24"/>
          <w:szCs w:val="24"/>
          <w:lang w:val="es-ES_tradnl"/>
        </w:rPr>
      </w:pPr>
    </w:p>
    <w:p w:rsidR="00B63A81" w:rsidRPr="00B63A81" w:rsidRDefault="00B63A81" w:rsidP="00B63A81">
      <w:pPr>
        <w:spacing w:after="0" w:line="240" w:lineRule="auto"/>
        <w:jc w:val="both"/>
        <w:rPr>
          <w:rFonts w:ascii="Times New Roman" w:eastAsia="MS Mincho" w:hAnsi="Times New Roman" w:cs="Times New Roman"/>
          <w:sz w:val="24"/>
          <w:szCs w:val="24"/>
          <w:lang w:val="es-ES_tradnl"/>
        </w:rPr>
      </w:pPr>
      <w:r w:rsidRPr="00B63A81">
        <w:rPr>
          <w:rFonts w:ascii="Times New Roman" w:eastAsia="MS Mincho" w:hAnsi="Times New Roman" w:cs="Times New Roman"/>
          <w:sz w:val="24"/>
          <w:szCs w:val="24"/>
          <w:lang w:val="es-ES_tradnl"/>
        </w:rPr>
        <w:t>Palacio del Poder Ejecutivo, en la Ciudad de Toluca de Lerdo, capital del Estado de México, a los 19 días del mes de noviembre del año 2025.</w:t>
      </w:r>
    </w:p>
    <w:p w:rsidR="00B63A81" w:rsidRPr="00B63A81" w:rsidRDefault="00B63A81" w:rsidP="00B63A81">
      <w:pPr>
        <w:spacing w:after="0" w:line="240" w:lineRule="auto"/>
        <w:jc w:val="center"/>
        <w:rPr>
          <w:rFonts w:ascii="Times New Roman" w:eastAsia="MS Mincho" w:hAnsi="Times New Roman" w:cs="Times New Roman"/>
          <w:b/>
          <w:sz w:val="24"/>
          <w:szCs w:val="24"/>
          <w:lang w:val="es-ES_tradnl"/>
        </w:rPr>
      </w:pPr>
    </w:p>
    <w:p w:rsidR="00B63A81" w:rsidRPr="00B63A81" w:rsidRDefault="00B63A81" w:rsidP="00B63A81">
      <w:pPr>
        <w:spacing w:after="0" w:line="240" w:lineRule="auto"/>
        <w:jc w:val="center"/>
        <w:rPr>
          <w:rFonts w:ascii="Times New Roman" w:eastAsia="Calibri" w:hAnsi="Times New Roman" w:cs="Times New Roman"/>
          <w:b/>
          <w:sz w:val="24"/>
          <w:szCs w:val="24"/>
          <w:lang w:val="es-ES_tradnl"/>
        </w:rPr>
      </w:pPr>
      <w:r w:rsidRPr="00B63A81">
        <w:rPr>
          <w:rFonts w:ascii="Times New Roman" w:eastAsia="Calibri" w:hAnsi="Times New Roman" w:cs="Times New Roman"/>
          <w:b/>
          <w:sz w:val="24"/>
          <w:szCs w:val="24"/>
          <w:lang w:val="es-ES_tradnl"/>
        </w:rPr>
        <w:t>La Gobernadora Constitucional</w:t>
      </w:r>
    </w:p>
    <w:p w:rsidR="00B63A81" w:rsidRPr="00B63A81" w:rsidRDefault="00B63A81" w:rsidP="00B63A81">
      <w:pPr>
        <w:spacing w:after="0" w:line="240" w:lineRule="auto"/>
        <w:jc w:val="center"/>
        <w:rPr>
          <w:rFonts w:ascii="Times New Roman" w:eastAsia="Calibri" w:hAnsi="Times New Roman" w:cs="Times New Roman"/>
          <w:b/>
          <w:sz w:val="24"/>
          <w:szCs w:val="24"/>
          <w:lang w:val="es-ES_tradnl"/>
        </w:rPr>
      </w:pPr>
      <w:r w:rsidRPr="00B63A81">
        <w:rPr>
          <w:rFonts w:ascii="Times New Roman" w:eastAsia="Calibri" w:hAnsi="Times New Roman" w:cs="Times New Roman"/>
          <w:b/>
          <w:sz w:val="24"/>
          <w:szCs w:val="24"/>
          <w:lang w:val="es-ES_tradnl"/>
        </w:rPr>
        <w:t>del Estado de México</w:t>
      </w:r>
    </w:p>
    <w:p w:rsidR="00B63A81" w:rsidRPr="00B63A81" w:rsidRDefault="00B63A81" w:rsidP="00B63A81">
      <w:pPr>
        <w:spacing w:after="0" w:line="240" w:lineRule="auto"/>
        <w:jc w:val="center"/>
        <w:rPr>
          <w:rFonts w:ascii="Times New Roman" w:eastAsia="Calibri" w:hAnsi="Times New Roman" w:cs="Times New Roman"/>
          <w:b/>
          <w:sz w:val="24"/>
          <w:szCs w:val="24"/>
          <w:lang w:val="es-ES_tradnl"/>
        </w:rPr>
      </w:pPr>
      <w:r w:rsidRPr="00B63A81">
        <w:rPr>
          <w:rFonts w:ascii="Times New Roman" w:eastAsia="Calibri" w:hAnsi="Times New Roman" w:cs="Times New Roman"/>
          <w:b/>
          <w:sz w:val="24"/>
          <w:szCs w:val="24"/>
          <w:lang w:val="es-ES_tradnl"/>
        </w:rPr>
        <w:t>Mtra. Delfina Gómez Álvarez</w:t>
      </w:r>
    </w:p>
    <w:p w:rsidR="00B63A81" w:rsidRPr="00B63A81" w:rsidRDefault="00B63A81" w:rsidP="00B63A81">
      <w:pPr>
        <w:widowControl w:val="0"/>
        <w:spacing w:after="0" w:line="240" w:lineRule="auto"/>
        <w:jc w:val="both"/>
        <w:rPr>
          <w:rFonts w:ascii="Times New Roman" w:eastAsia="Calibri" w:hAnsi="Times New Roman" w:cs="Times New Roman"/>
          <w:b/>
          <w:sz w:val="24"/>
          <w:szCs w:val="24"/>
          <w:lang w:val="es-ES_tradnl"/>
        </w:rPr>
      </w:pPr>
    </w:p>
    <w:p w:rsidR="00B63A81" w:rsidRPr="00B63A81" w:rsidRDefault="00B63A81" w:rsidP="00B63A81">
      <w:pPr>
        <w:spacing w:after="0" w:line="240" w:lineRule="auto"/>
        <w:ind w:right="7704"/>
        <w:jc w:val="center"/>
        <w:rPr>
          <w:rFonts w:ascii="Times New Roman" w:eastAsia="Calibri" w:hAnsi="Times New Roman" w:cs="Times New Roman"/>
          <w:b/>
          <w:bCs/>
          <w:sz w:val="24"/>
          <w:szCs w:val="24"/>
          <w:lang w:val="es-ES_tradnl"/>
        </w:rPr>
      </w:pPr>
      <w:r w:rsidRPr="00B63A81">
        <w:rPr>
          <w:rFonts w:ascii="Times New Roman" w:eastAsia="Calibri" w:hAnsi="Times New Roman" w:cs="Times New Roman"/>
          <w:b/>
          <w:bCs/>
          <w:sz w:val="24"/>
          <w:szCs w:val="24"/>
          <w:lang w:val="es-ES_tradnl"/>
        </w:rPr>
        <w:t>* OFJ</w:t>
      </w:r>
    </w:p>
    <w:bookmarkEnd w:id="17"/>
    <w:p w:rsidR="00077D87" w:rsidRPr="00B63A81" w:rsidRDefault="00077D87" w:rsidP="00077D87">
      <w:pPr>
        <w:spacing w:after="0" w:line="240" w:lineRule="auto"/>
        <w:jc w:val="center"/>
        <w:rPr>
          <w:rFonts w:ascii="Times New Roman" w:hAnsi="Times New Roman"/>
          <w:sz w:val="24"/>
          <w:szCs w:val="24"/>
        </w:rPr>
      </w:pPr>
    </w:p>
    <w:p w:rsidR="00077D87" w:rsidRPr="00D70A72" w:rsidRDefault="00077D87" w:rsidP="00077D87">
      <w:pPr>
        <w:spacing w:after="0" w:line="240" w:lineRule="auto"/>
        <w:jc w:val="center"/>
        <w:rPr>
          <w:rFonts w:ascii="Times New Roman" w:hAnsi="Times New Roman"/>
          <w:i/>
          <w:sz w:val="24"/>
          <w:szCs w:val="24"/>
        </w:rPr>
      </w:pPr>
      <w:r w:rsidRPr="00D70A72">
        <w:rPr>
          <w:rFonts w:ascii="Times New Roman" w:hAnsi="Times New Roman"/>
          <w:i/>
          <w:sz w:val="24"/>
          <w:szCs w:val="24"/>
        </w:rPr>
        <w:t>(Fin del documento)</w:t>
      </w:r>
    </w:p>
    <w:p w:rsidR="00077D87" w:rsidRPr="00D70A72" w:rsidRDefault="00077D87" w:rsidP="00077D87">
      <w:pPr>
        <w:spacing w:after="0" w:line="240" w:lineRule="auto"/>
        <w:jc w:val="center"/>
        <w:rPr>
          <w:rFonts w:ascii="Times New Roman" w:hAnsi="Times New Roman"/>
          <w:sz w:val="24"/>
          <w:szCs w:val="24"/>
        </w:rPr>
      </w:pPr>
    </w:p>
    <w:p w:rsidR="00E469F0" w:rsidRPr="00D70A72" w:rsidRDefault="00E469F0" w:rsidP="00B54AF5">
      <w:pPr>
        <w:spacing w:after="0" w:line="240" w:lineRule="auto"/>
        <w:jc w:val="both"/>
        <w:rPr>
          <w:rFonts w:ascii="Times New Roman" w:hAnsi="Times New Roman" w:cs="Times New Roman"/>
          <w:color w:val="000000" w:themeColor="text1"/>
          <w:sz w:val="24"/>
          <w:szCs w:val="24"/>
        </w:rPr>
      </w:pPr>
      <w:r w:rsidRPr="00D70A72">
        <w:rPr>
          <w:rFonts w:ascii="Times New Roman" w:hAnsi="Times New Roman" w:cs="Times New Roman"/>
          <w:color w:val="000000" w:themeColor="text1"/>
          <w:sz w:val="24"/>
          <w:szCs w:val="24"/>
        </w:rPr>
        <w:t>PRESIDENTA DIP. MARTHA AZUCENA CAMACHO REYNOSO. Gracias diputada.</w:t>
      </w:r>
    </w:p>
    <w:p w:rsidR="00E469F0" w:rsidRPr="00D70A72" w:rsidRDefault="00E469F0" w:rsidP="00B54AF5">
      <w:pPr>
        <w:spacing w:after="0" w:line="240" w:lineRule="auto"/>
        <w:jc w:val="both"/>
        <w:rPr>
          <w:rFonts w:ascii="Times New Roman" w:hAnsi="Times New Roman" w:cs="Times New Roman"/>
          <w:color w:val="000000" w:themeColor="text1"/>
          <w:sz w:val="24"/>
          <w:szCs w:val="24"/>
        </w:rPr>
      </w:pPr>
      <w:r w:rsidRPr="00D70A72">
        <w:rPr>
          <w:rFonts w:ascii="Times New Roman" w:hAnsi="Times New Roman" w:cs="Times New Roman"/>
          <w:color w:val="000000" w:themeColor="text1"/>
          <w:sz w:val="24"/>
          <w:szCs w:val="24"/>
        </w:rPr>
        <w:tab/>
        <w:t>Para el punto 5.3, la diputada Vicepresidenta Leticia Mejía García leerá la iniciativa de Presupuesto de Egresos del Gobierno del Estado de México para el Ejercicio Fiscal 2026.</w:t>
      </w:r>
    </w:p>
    <w:p w:rsidR="00E469F0" w:rsidRPr="00D70A72" w:rsidRDefault="00E469F0" w:rsidP="00B54AF5">
      <w:pPr>
        <w:spacing w:after="0" w:line="240" w:lineRule="auto"/>
        <w:jc w:val="both"/>
        <w:rPr>
          <w:rFonts w:ascii="Times New Roman" w:hAnsi="Times New Roman" w:cs="Times New Roman"/>
          <w:color w:val="000000" w:themeColor="text1"/>
          <w:sz w:val="24"/>
          <w:szCs w:val="24"/>
        </w:rPr>
      </w:pPr>
      <w:r w:rsidRPr="00D70A72">
        <w:rPr>
          <w:rFonts w:ascii="Times New Roman" w:hAnsi="Times New Roman" w:cs="Times New Roman"/>
          <w:color w:val="000000" w:themeColor="text1"/>
          <w:sz w:val="24"/>
          <w:szCs w:val="24"/>
        </w:rPr>
        <w:t>VICEPRESIDENTA DIP. LETICIA MEJÍA GARCÍA.</w:t>
      </w:r>
      <w:r w:rsidR="00077D87" w:rsidRPr="00D70A72">
        <w:rPr>
          <w:rFonts w:ascii="Times New Roman" w:hAnsi="Times New Roman" w:cs="Times New Roman"/>
          <w:color w:val="000000" w:themeColor="text1"/>
          <w:sz w:val="24"/>
          <w:szCs w:val="24"/>
        </w:rPr>
        <w:t xml:space="preserve"> </w:t>
      </w:r>
      <w:r w:rsidR="000F3916" w:rsidRPr="00D70A72">
        <w:rPr>
          <w:rFonts w:ascii="Times New Roman" w:hAnsi="Times New Roman" w:cs="Times New Roman"/>
          <w:color w:val="000000" w:themeColor="text1"/>
          <w:sz w:val="24"/>
          <w:szCs w:val="24"/>
        </w:rPr>
        <w:t>Gracias.</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D70A72">
        <w:rPr>
          <w:rFonts w:ascii="Times New Roman" w:hAnsi="Times New Roman" w:cs="Times New Roman"/>
          <w:color w:val="000000" w:themeColor="text1"/>
          <w:sz w:val="24"/>
          <w:szCs w:val="24"/>
        </w:rPr>
        <w:t>DIPUTADA MARTHA AZUCENA CAMACHO REYNOSO</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PRESIDENTA DE LA MESA DIRECTIVA DE LA LXII</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LEGISLATURA DEL ESTADO DE MÉXICO</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PRESENTE</w:t>
      </w:r>
      <w:r w:rsidR="000F369C" w:rsidRPr="007A27A5">
        <w:rPr>
          <w:rFonts w:ascii="Times New Roman" w:hAnsi="Times New Roman" w:cs="Times New Roman"/>
          <w:color w:val="000000" w:themeColor="text1"/>
          <w:sz w:val="24"/>
          <w:szCs w:val="24"/>
        </w:rPr>
        <w:t>.</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Delfina Gómez Álvarez, Gobernadora Constitucional del Estado Libre y Soberano de México, en ejercicio de la facultad que me confieren los artículos 51 fracción I y 77 fracciones V y XIX de la Constitución Política del Estado Libre y Soberano de México, se somete a la consideración de esta Honorable Legislatura por el digno conducto de usted, Iniciativa de Decreto de Presupuesto de Egresos del Gobierno del Estado de México para el Ejercicio Fiscal 2026.</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Reitero a usted la seguridad de mi atenta y distinguida consideración.</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Palacio del Poder Ejecutivo, en la ciudad de Toluca de Lerdo, capital del Estado de México, a los diecinueve del mes de noviembre del año dos mil veinticinco.</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BF8F00" w:themeColor="accent4" w:themeShade="BF"/>
          <w:sz w:val="24"/>
          <w:szCs w:val="24"/>
        </w:rPr>
        <w:tab/>
      </w:r>
      <w:r w:rsidRPr="007A27A5">
        <w:rPr>
          <w:rFonts w:ascii="Times New Roman" w:hAnsi="Times New Roman" w:cs="Times New Roman"/>
          <w:color w:val="000000" w:themeColor="text1"/>
          <w:sz w:val="24"/>
          <w:szCs w:val="24"/>
        </w:rPr>
        <w:t>La Gobernadora Constitucional del Estado de México, Maestra Delfina Gómez Álvarez.</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Es cuanto Presidenta.</w:t>
      </w:r>
    </w:p>
    <w:p w:rsidR="00F6257A" w:rsidRPr="00CE5E21" w:rsidRDefault="00F6257A" w:rsidP="00F6257A">
      <w:pPr>
        <w:pStyle w:val="Sinespaciado"/>
      </w:pPr>
    </w:p>
    <w:p w:rsidR="00F6257A" w:rsidRPr="00CE5E21" w:rsidRDefault="00F6257A" w:rsidP="00F6257A">
      <w:pPr>
        <w:spacing w:after="0" w:line="240" w:lineRule="auto"/>
        <w:jc w:val="center"/>
        <w:rPr>
          <w:rFonts w:ascii="Times New Roman" w:hAnsi="Times New Roman"/>
          <w:i/>
          <w:sz w:val="24"/>
          <w:szCs w:val="24"/>
        </w:rPr>
      </w:pPr>
      <w:r w:rsidRPr="00CE5E21">
        <w:rPr>
          <w:rFonts w:ascii="Times New Roman" w:hAnsi="Times New Roman"/>
          <w:i/>
          <w:sz w:val="24"/>
          <w:szCs w:val="24"/>
        </w:rPr>
        <w:t>(Se inserta documento)</w:t>
      </w:r>
    </w:p>
    <w:p w:rsidR="00F6257A" w:rsidRPr="00CE5E21" w:rsidRDefault="00F6257A" w:rsidP="00F6257A">
      <w:pPr>
        <w:spacing w:after="0" w:line="240" w:lineRule="auto"/>
        <w:jc w:val="center"/>
        <w:rPr>
          <w:rFonts w:ascii="Times New Roman" w:hAnsi="Times New Roman"/>
          <w:sz w:val="24"/>
          <w:szCs w:val="24"/>
        </w:rPr>
      </w:pPr>
    </w:p>
    <w:p w:rsidR="00A26CD3" w:rsidRPr="00A26CD3" w:rsidRDefault="00A26CD3" w:rsidP="00A26CD3">
      <w:pPr>
        <w:spacing w:after="0" w:line="240" w:lineRule="auto"/>
        <w:ind w:left="6663"/>
        <w:jc w:val="both"/>
        <w:rPr>
          <w:rFonts w:ascii="Times New Roman" w:eastAsia="Bookman Old Style" w:hAnsi="Times New Roman" w:cs="Times New Roman"/>
          <w:sz w:val="20"/>
          <w:szCs w:val="20"/>
          <w:lang w:val="es-ES"/>
        </w:rPr>
      </w:pPr>
      <w:r w:rsidRPr="00A26CD3">
        <w:rPr>
          <w:rFonts w:ascii="Times New Roman" w:eastAsia="Bookman Old Style" w:hAnsi="Times New Roman" w:cs="Times New Roman"/>
          <w:sz w:val="20"/>
          <w:szCs w:val="20"/>
          <w:lang w:val="es-ES"/>
        </w:rPr>
        <w:t>Toluca de Lerdo, México, a 19 de noviembre de 2025.</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sz w:val="24"/>
          <w:szCs w:val="24"/>
          <w:lang w:val="es-ES"/>
        </w:rPr>
      </w:pPr>
      <w:r w:rsidRPr="00662CD1">
        <w:rPr>
          <w:rFonts w:ascii="Times New Roman" w:eastAsia="Bookman Old Style" w:hAnsi="Times New Roman" w:cs="Times New Roman"/>
          <w:b/>
          <w:sz w:val="24"/>
          <w:szCs w:val="24"/>
          <w:lang w:val="es-ES"/>
        </w:rPr>
        <w:t>DIPUTADA</w:t>
      </w:r>
    </w:p>
    <w:p w:rsidR="00A26CD3" w:rsidRPr="00662CD1" w:rsidRDefault="00A26CD3" w:rsidP="00A26CD3">
      <w:pPr>
        <w:spacing w:after="0" w:line="240" w:lineRule="auto"/>
        <w:jc w:val="both"/>
        <w:rPr>
          <w:rFonts w:ascii="Times New Roman" w:eastAsia="Bookman Old Style" w:hAnsi="Times New Roman" w:cs="Times New Roman"/>
          <w:b/>
          <w:sz w:val="24"/>
          <w:szCs w:val="24"/>
          <w:lang w:val="es-ES"/>
        </w:rPr>
      </w:pPr>
      <w:r w:rsidRPr="00662CD1">
        <w:rPr>
          <w:rFonts w:ascii="Times New Roman" w:eastAsia="Bookman Old Style" w:hAnsi="Times New Roman" w:cs="Times New Roman"/>
          <w:b/>
          <w:sz w:val="24"/>
          <w:szCs w:val="24"/>
          <w:lang w:val="es-ES"/>
        </w:rPr>
        <w:t>MARTHA AZUCENA CAMACHO REYNOSO</w:t>
      </w:r>
    </w:p>
    <w:p w:rsidR="00A26CD3" w:rsidRPr="00662CD1" w:rsidRDefault="00A26CD3" w:rsidP="00A26CD3">
      <w:pPr>
        <w:spacing w:after="0" w:line="240" w:lineRule="auto"/>
        <w:jc w:val="both"/>
        <w:rPr>
          <w:rFonts w:ascii="Times New Roman" w:eastAsia="Bookman Old Style" w:hAnsi="Times New Roman" w:cs="Times New Roman"/>
          <w:b/>
          <w:sz w:val="24"/>
          <w:szCs w:val="24"/>
          <w:lang w:val="es-ES"/>
        </w:rPr>
      </w:pPr>
      <w:r w:rsidRPr="00662CD1">
        <w:rPr>
          <w:rFonts w:ascii="Times New Roman" w:eastAsia="Bookman Old Style" w:hAnsi="Times New Roman" w:cs="Times New Roman"/>
          <w:b/>
          <w:sz w:val="24"/>
          <w:szCs w:val="24"/>
          <w:lang w:val="es-ES"/>
        </w:rPr>
        <w:t xml:space="preserve">PRESIDENTA DE LA MESA DIRECTIVA DE LA </w:t>
      </w:r>
    </w:p>
    <w:p w:rsidR="00A26CD3" w:rsidRPr="00662CD1" w:rsidRDefault="00A26CD3" w:rsidP="00A26CD3">
      <w:pPr>
        <w:spacing w:after="0" w:line="240" w:lineRule="auto"/>
        <w:jc w:val="both"/>
        <w:rPr>
          <w:rFonts w:ascii="Times New Roman" w:eastAsia="Bookman Old Style" w:hAnsi="Times New Roman" w:cs="Times New Roman"/>
          <w:b/>
          <w:sz w:val="24"/>
          <w:szCs w:val="24"/>
          <w:lang w:val="es-ES"/>
        </w:rPr>
      </w:pPr>
      <w:r w:rsidRPr="00662CD1">
        <w:rPr>
          <w:rFonts w:ascii="Times New Roman" w:eastAsia="Bookman Old Style" w:hAnsi="Times New Roman" w:cs="Times New Roman"/>
          <w:b/>
          <w:sz w:val="24"/>
          <w:szCs w:val="24"/>
          <w:lang w:val="es-ES"/>
        </w:rPr>
        <w:t>H. “LXII” LEGISLATURA DEL ESTADO DE MÉXICO</w:t>
      </w:r>
    </w:p>
    <w:p w:rsidR="00A26CD3" w:rsidRPr="00662CD1" w:rsidRDefault="00A26CD3" w:rsidP="00A26CD3">
      <w:pPr>
        <w:spacing w:after="0" w:line="240" w:lineRule="auto"/>
        <w:jc w:val="both"/>
        <w:rPr>
          <w:rFonts w:ascii="Times New Roman" w:eastAsia="Bookman Old Style" w:hAnsi="Times New Roman" w:cs="Times New Roman"/>
          <w:b/>
          <w:sz w:val="24"/>
          <w:szCs w:val="24"/>
          <w:lang w:val="es-ES"/>
        </w:rPr>
      </w:pPr>
      <w:r w:rsidRPr="00662CD1">
        <w:rPr>
          <w:rFonts w:ascii="Times New Roman" w:eastAsia="Bookman Old Style" w:hAnsi="Times New Roman" w:cs="Times New Roman"/>
          <w:b/>
          <w:sz w:val="24"/>
          <w:szCs w:val="24"/>
          <w:lang w:val="es-ES"/>
        </w:rPr>
        <w:t>P R E S E N T E</w:t>
      </w:r>
    </w:p>
    <w:p w:rsidR="00A26CD3" w:rsidRPr="00662CD1" w:rsidRDefault="00A26CD3" w:rsidP="00A26CD3">
      <w:pPr>
        <w:spacing w:after="0" w:line="240" w:lineRule="auto"/>
        <w:jc w:val="both"/>
        <w:rPr>
          <w:rFonts w:ascii="Times New Roman" w:eastAsia="Bookman Old Style" w:hAnsi="Times New Roman" w:cs="Times New Roman"/>
          <w:b/>
          <w:sz w:val="24"/>
          <w:szCs w:val="24"/>
          <w:lang w:val="es-ES_tradnl"/>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b/>
          <w:sz w:val="24"/>
          <w:szCs w:val="24"/>
          <w:lang w:val="es-ES"/>
        </w:rPr>
        <w:t xml:space="preserve">DELFINA GÓMEZ ÁLVAREZ, Gobernadora Constitucional del Estado Libre y Soberano de México, </w:t>
      </w:r>
      <w:r w:rsidRPr="00662CD1">
        <w:rPr>
          <w:rFonts w:ascii="Times New Roman" w:eastAsia="Bookman Old Style" w:hAnsi="Times New Roman" w:cs="Times New Roman"/>
          <w:sz w:val="24"/>
          <w:szCs w:val="24"/>
          <w:lang w:val="es-ES"/>
        </w:rPr>
        <w:t xml:space="preserve">en ejercicio de la facultad que me confieren los artículos 51, fracción I, y 77, fracciones V y XIX, de la Constitución Política del Estado Libre y Soberano de México, se somete a la </w:t>
      </w:r>
      <w:r w:rsidRPr="00662CD1">
        <w:rPr>
          <w:rFonts w:ascii="Times New Roman" w:eastAsia="Bookman Old Style" w:hAnsi="Times New Roman" w:cs="Times New Roman"/>
          <w:sz w:val="24"/>
          <w:szCs w:val="24"/>
          <w:lang w:val="es-ES"/>
        </w:rPr>
        <w:lastRenderedPageBreak/>
        <w:t xml:space="preserve">consideración de esa H. Legislatura, por el digno conducto de Usted, </w:t>
      </w:r>
      <w:r w:rsidRPr="00662CD1">
        <w:rPr>
          <w:rFonts w:ascii="Times New Roman" w:eastAsia="Bookman Old Style" w:hAnsi="Times New Roman" w:cs="Times New Roman"/>
          <w:b/>
          <w:sz w:val="24"/>
          <w:szCs w:val="24"/>
          <w:lang w:val="es-ES"/>
        </w:rPr>
        <w:t>Iniciativa de Decreto de Presupuesto de Egresos del Gobierno del Estado de México para el Ejercicio Fiscal 2026</w:t>
      </w:r>
      <w:r w:rsidRPr="00662CD1">
        <w:rPr>
          <w:rFonts w:ascii="Times New Roman" w:eastAsia="Bookman Old Style" w:hAnsi="Times New Roman" w:cs="Times New Roman"/>
          <w:sz w:val="24"/>
          <w:szCs w:val="24"/>
          <w:lang w:val="es-ES"/>
        </w:rPr>
        <w:t>, conforme a la siguiente:</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bCs/>
          <w:sz w:val="24"/>
          <w:szCs w:val="24"/>
          <w:lang w:val="es-ES"/>
        </w:rPr>
      </w:pPr>
      <w:r w:rsidRPr="00662CD1">
        <w:rPr>
          <w:rFonts w:ascii="Times New Roman" w:eastAsia="Bookman Old Style" w:hAnsi="Times New Roman" w:cs="Times New Roman"/>
          <w:b/>
          <w:bCs/>
          <w:sz w:val="24"/>
          <w:szCs w:val="24"/>
          <w:lang w:val="es-ES"/>
        </w:rPr>
        <w:t>Situación Económica</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En el Estado de México la transformación avanza con paso firme, reflejando el mandato popular de construir un gobierno honesto, austero y eficiente, que consolide a las finanzas públicas. Durante estos dos primeros años de trabajo, hemos asumido con plena responsabilidad el reto de fortalecer los ingresos propios, optimizar la administración tributaria y garantizar que cada peso recaudado se obtenga con transparencia, legalidad y eficacia, en estricto apego a la normatividad vigente.</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Desde el inicio de este gobierno, la premisa ha sido clara: ejercer el poder público únicamente para servir al pueblo. Los resultados son tangibles. Gracias a la modernización del sistema tributario, el uso de inteligencia fiscal y la simplificación administrativa, los ingresos propios del Estado han alcanzado una recaudación histórica de más de 56 mil millones de pesos en 2024. Este desempeño refleja una política de austeridad que no compromete el crecimiento, sino que lo respalda con bases sólidas.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El Estado de México continuará ofreciendo un entorno de certeza fiscal que impulse la competitividad y detone proyectos productivos en la Entidad, en una política de austeridad orientada a garantizar el bienestar de las y los mexiquenses y a mantener finanzas públicas sanas. Es importante destacar que, por tercer año consecutivo, el Gobierno del Estado de México no contratará deuda, reafirmando una política de estricta disciplina financiera refrendando el compromiso de fortalecer los ingresos estatales y atender las necesidades de la población, sin recurrir al endeudamiento.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El Gobierno del Estado de México reitera su promesa con una transformación profunda y duradera: un cambio que garantice la igualdad, la justicia y la prosperidad, y que convierta a nuestra entidad en un motor económico y social del país. Con la confianza depositada por el pueblo mexiquense, seguiremos trabajando con honestidad, eficacia y responsabilidad.</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bCs/>
          <w:sz w:val="24"/>
          <w:szCs w:val="24"/>
          <w:lang w:val="es-ES"/>
        </w:rPr>
      </w:pPr>
      <w:r w:rsidRPr="00662CD1">
        <w:rPr>
          <w:rFonts w:ascii="Times New Roman" w:eastAsia="Bookman Old Style" w:hAnsi="Times New Roman" w:cs="Times New Roman"/>
          <w:b/>
          <w:bCs/>
          <w:sz w:val="24"/>
          <w:szCs w:val="24"/>
          <w:lang w:val="es-ES"/>
        </w:rPr>
        <w:t>Estimación de Gasto para 2026</w:t>
      </w:r>
    </w:p>
    <w:p w:rsidR="00A26CD3" w:rsidRPr="00662CD1" w:rsidRDefault="00A26CD3" w:rsidP="00A26CD3">
      <w:pPr>
        <w:spacing w:after="0" w:line="240" w:lineRule="auto"/>
        <w:jc w:val="both"/>
        <w:rPr>
          <w:rFonts w:ascii="Times New Roman" w:eastAsia="Bookman Old Style" w:hAnsi="Times New Roman" w:cs="Times New Roman"/>
          <w:b/>
          <w:bCs/>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El Proyecto de Presupuesto de Egresos del Gobierno del Estado de México para el Ejercicio Fiscal 2026 (el “Proyecto”) que se somete a consideración de este Honorable Congreso del Estado de México, contempla un gasto total de 410 mil 341 millones 615 mil 262 pesos, lo que implica un crecimiento del 5.6 por ciento, con respecto al Presupuesto aprobado para el Ejercicio Fiscal 2025,  consolidando por segundo año, una política de gasto responsable y equilibrada con las proyecciones de ingresos previstas en la Ley de Ingresos del Estado de México; con el propósito de mantener un balance presupuestario, y contribuir a la estabilidad de las finanzas públicas.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Para los Organismos Descentralizados se prevé una asignación de 160 mil 537 millones 727 mil 799 pesos, para los órganos Autónomos de 14 mil 595 millones 289 mil 428 pesos, para el Poder Legislativo 2 mil 346 millones 597 mil 978 pesos y para el judicial 6 mil 331 millones 216 mil 477 pesos, un techo de gasto </w:t>
      </w:r>
      <w:r w:rsidRPr="00662CD1">
        <w:rPr>
          <w:rFonts w:ascii="Times New Roman" w:eastAsia="Bookman Old Style" w:hAnsi="Times New Roman" w:cs="Times New Roman"/>
          <w:sz w:val="24"/>
          <w:szCs w:val="24"/>
        </w:rPr>
        <w:t xml:space="preserve">para fortalecer capacidades institucionales y asegurar la operación regular y eficaz de </w:t>
      </w:r>
      <w:r w:rsidRPr="00662CD1">
        <w:rPr>
          <w:rFonts w:ascii="Times New Roman" w:eastAsia="Bookman Old Style" w:hAnsi="Times New Roman" w:cs="Times New Roman"/>
          <w:sz w:val="24"/>
          <w:szCs w:val="24"/>
          <w:lang w:val="es-ES"/>
        </w:rPr>
        <w:t>estos.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lastRenderedPageBreak/>
        <w:t>El presente Proyecto se elaboró atendiendo lo dispuesto en la Constitución Política del Estado Libre y Soberano de México, la Ley de Disciplina Financiera de las Entidades Federativas y los Municipios, la Ley General de Contabilidad Gubernamental, la Ley Federal de Presupuesto y Responsabilidad Hacendaria, la Ley de Coordinación Fiscal, las Normas que emite el Consejo Nacional de Armonización Contable, el Código Financiero del Estado de México y Municipios y demás ordenamientos aplicables a la materia.</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Se trata de una propuesta presupuestal construida con visión de Estado, que fortalece la rectoría del interés público y traduce en asignaciones presupuestarias una definición política clara: gobernar para servir a la gente, sin excesos, sin simulación y sin privilegios. Formulado con disciplina, planeación, realismo financiero y austeridad republicana; este Proyecto refrenda el compromiso de la Cuarta Transformación: que el presupuesto no sea instrumento de élites sino herramienta directa de justicia social, bienestar, desarrollo productivo y prosperidad compartida para las y los mexiquenses.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Este Proyecto se apega a los principios del Desarrollo del Bienestar y Humanismo Mexicano, y en la convicción de que el gobierno solo tiene sentido si sirve a la gente, su diseño fue realizado considerando un contexto económico nacional e internacional marcado por factores que generarán mayores oportunidades de desarrollo económico, empleo y atracción de inversión productiva, pero también  sujeto a reglas de disciplina financiera que permitirá el uso eficiente de los recursos públicos en beneficio de las y los mexiquenses.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Esta propuesta se sustenta, una vez más, en los principios de la Cuarta Transformación, tomando en cuenta las necesidades reales de la población del Estado de México y alineándose al Plan de Desarrollo del Estado de México, así como a sus programas sectoriales y regionales. </w:t>
      </w:r>
      <w:r w:rsidRPr="00662CD1">
        <w:rPr>
          <w:rFonts w:ascii="Times New Roman" w:eastAsia="Bookman Old Style" w:hAnsi="Times New Roman" w:cs="Times New Roman"/>
          <w:sz w:val="24"/>
          <w:szCs w:val="24"/>
        </w:rPr>
        <w:t xml:space="preserve">Se trata de un Presupuesto de Egresos </w:t>
      </w:r>
      <w:r w:rsidRPr="00662CD1">
        <w:rPr>
          <w:rFonts w:ascii="Times New Roman" w:eastAsia="Bookman Old Style" w:hAnsi="Times New Roman" w:cs="Times New Roman"/>
          <w:sz w:val="24"/>
          <w:szCs w:val="24"/>
          <w:lang w:val="es-ES"/>
        </w:rPr>
        <w:t xml:space="preserve">del Gobierno del Estado de México para el Ejercicio Fiscal 2026, </w:t>
      </w:r>
      <w:r w:rsidRPr="00662CD1">
        <w:rPr>
          <w:rFonts w:ascii="Times New Roman" w:eastAsia="Bookman Old Style" w:hAnsi="Times New Roman" w:cs="Times New Roman"/>
          <w:sz w:val="24"/>
          <w:szCs w:val="24"/>
        </w:rPr>
        <w:t>que deja atrás inercias históricas y prioriza el bienestar social de forma explícita, traduciendo la visión transformadora del gobierno en asignaciones concretas.</w:t>
      </w:r>
      <w:r w:rsidRPr="00662CD1">
        <w:rPr>
          <w:rFonts w:ascii="Times New Roman" w:eastAsia="Bookman Old Style" w:hAnsi="Times New Roman" w:cs="Times New Roman"/>
          <w:sz w:val="24"/>
          <w:szCs w:val="24"/>
          <w:lang w:val="es-ES"/>
        </w:rPr>
        <w:t xml:space="preserve"> </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La política de gasto que se pone a su consideración continuará siendo esencial para concretar nuestros objetivos de gobierno.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Es una propuesta que integra a todas las personas y poblaciones de la Entidad, sin excepción y exclusión, para no dejar a nadie atrás, ni a nadie afuera, buscando generar bienestar a través de la transversalización de la perspectiva de género, la atención a niñas, niños, adolescentes, población de la diversidad sexual y personas adultas mayores. Todo ello, bajo un enfoque de sostenibilidad que armoniza el presupuesto público con los Objetivos de Desarrollo Sostenible para el 2030.</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A lo largo de este segundo año de gobierno, esta administración ha sentado las bases de una nueva realidad institucional y social en el Estado de México, mediante una visión política, económica y social, que pone en el centro, el bienestar de las personas. El objetivo es que cada mexiquense pueda vivir sin desigualdades, sin carencias, con paz, con seguridad y sin corrupción, consolidando el principio de bienestar como insignia del presente gobierno y con igualdad de oportunidades para todas y todos los mexiquenses. </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Todo ello se materializa mediante el enfoque de aplicar cada peso en las necesidades prioritarias de la gente, gobernando con y para el pueblo, </w:t>
      </w:r>
      <w:r w:rsidRPr="00662CD1">
        <w:rPr>
          <w:rFonts w:ascii="Times New Roman" w:eastAsia="Bookman Old Style" w:hAnsi="Times New Roman" w:cs="Times New Roman"/>
          <w:sz w:val="24"/>
          <w:szCs w:val="24"/>
        </w:rPr>
        <w:t xml:space="preserve">eliminando inercias discrecionales y prácticas históricas que privilegiaron intereses particulares o estructuras burocráticas sobredimensionadas. Este Proyecto no sólo define montos; ordena prioridades, corrige distorsiones y dirige recursos </w:t>
      </w:r>
      <w:r w:rsidRPr="00662CD1">
        <w:rPr>
          <w:rFonts w:ascii="Times New Roman" w:eastAsia="Bookman Old Style" w:hAnsi="Times New Roman" w:cs="Times New Roman"/>
          <w:sz w:val="24"/>
          <w:szCs w:val="24"/>
        </w:rPr>
        <w:lastRenderedPageBreak/>
        <w:t>hacia donde sí transforman la vida real de las personas, bajo los criterios de justicia social y eficacia pública</w:t>
      </w:r>
      <w:r w:rsidRPr="00662CD1">
        <w:rPr>
          <w:rFonts w:ascii="Times New Roman" w:eastAsia="Bookman Old Style" w:hAnsi="Times New Roman" w:cs="Times New Roman"/>
          <w:sz w:val="24"/>
          <w:szCs w:val="24"/>
          <w:lang w:val="es-ES"/>
        </w:rPr>
        <w:t>.</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 xml:space="preserve">En este Proyecto se plantea continuar con una política fiscal responsable, orientada a mantener el equilibrio presupuestal y una lógica de gasto austero, transparente, eficaz y sustentado en la justicia social. </w:t>
      </w:r>
      <w:r w:rsidRPr="00662CD1">
        <w:rPr>
          <w:rFonts w:ascii="Times New Roman" w:eastAsia="Bookman Old Style" w:hAnsi="Times New Roman" w:cs="Times New Roman"/>
          <w:sz w:val="24"/>
          <w:szCs w:val="24"/>
        </w:rPr>
        <w:t xml:space="preserve">Esta administración reafirma que el Presupuesto de Egresos </w:t>
      </w:r>
      <w:r w:rsidRPr="00662CD1">
        <w:rPr>
          <w:rFonts w:ascii="Times New Roman" w:eastAsia="Bookman Old Style" w:hAnsi="Times New Roman" w:cs="Times New Roman"/>
          <w:sz w:val="24"/>
          <w:szCs w:val="24"/>
          <w:lang w:val="es-ES"/>
        </w:rPr>
        <w:t xml:space="preserve">del Gobierno del Estado de México </w:t>
      </w:r>
      <w:r w:rsidRPr="00662CD1">
        <w:rPr>
          <w:rFonts w:ascii="Times New Roman" w:eastAsia="Bookman Old Style" w:hAnsi="Times New Roman" w:cs="Times New Roman"/>
          <w:sz w:val="24"/>
          <w:szCs w:val="24"/>
        </w:rPr>
        <w:t>es una herramienta de Estado para corregir desigualdades y no un ejercicio contable inercial; por ello, privilegia la planeación y la disciplina financiera como condiciones para el desarrollo.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No se plantea la imposición de endeudamiento nuevo, lo que confirma que la consolidación presupuestaria se realizará a partir del fortalecimiento institucional, el orden administrativo, la eficiencia del gasto y no desde mayores cargas fiscales para las familias mexiquenses.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Este gobierno ha asumido el compromiso de mantener y sanear las finanzas sin descuidar las obligaciones que se tienen con la ciudadanía. Se sostiene la convicción de continuar con un ejercicio disciplinado del gasto público, con medidas de contención del gasto y disciplina financiera, promoviendo una administración transparente, eficiente y eficaz de los recursos. Ello, permitirá mejorar los servicios y la atención brindada a la población, con una visión moderna que coloque al Estado de México en la vanguardia tecnológica y administrativa. </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La elaboración de este Proyecto ha implicado continuar con el ejercicio de armonización de la Estructura Programática, conforme a los estándares de Presupuesto Basado en Resultado (</w:t>
      </w:r>
      <w:proofErr w:type="spellStart"/>
      <w:r w:rsidRPr="00662CD1">
        <w:rPr>
          <w:rFonts w:ascii="Times New Roman" w:eastAsia="Bookman Old Style" w:hAnsi="Times New Roman" w:cs="Times New Roman"/>
          <w:sz w:val="24"/>
          <w:szCs w:val="24"/>
          <w:lang w:val="es-ES"/>
        </w:rPr>
        <w:t>PbR</w:t>
      </w:r>
      <w:proofErr w:type="spellEnd"/>
      <w:r w:rsidRPr="00662CD1">
        <w:rPr>
          <w:rFonts w:ascii="Times New Roman" w:eastAsia="Bookman Old Style" w:hAnsi="Times New Roman" w:cs="Times New Roman"/>
          <w:sz w:val="24"/>
          <w:szCs w:val="24"/>
          <w:lang w:val="es-ES"/>
        </w:rPr>
        <w:t>) y la Metodología del Marco Lógico, lo cual permite una asignación de los recursos con mayor eficiencia y transparencia, enfocado a resultados y, debidamente alienados al cumplimiento del Plan de Desarrollo Estatal 2023 - 2029.</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rPr>
        <w:t>Este proceso de armonización no es un ajuste meramente formal o contable; es una herramienta para tomar decisiones presupuestarias racionales, orientadas a resolver problemas públicos con efectividad. La alineación programática permite monitorear resultados y cerrar la brecha histórica entre el gasto ejercido y los resultados tangibles para la población, mejorando los mecanismos de control del gasto público, fortaleciendo la transparencia, la rendición de cuentas y promoviendo la</w:t>
      </w:r>
      <w:r w:rsidRPr="00662CD1">
        <w:rPr>
          <w:rFonts w:ascii="Times New Roman" w:eastAsia="Bookman Old Style" w:hAnsi="Times New Roman" w:cs="Times New Roman"/>
          <w:sz w:val="24"/>
          <w:szCs w:val="24"/>
          <w:lang w:val="es-ES"/>
        </w:rPr>
        <w:t xml:space="preserve"> efectiva toma de decisiones.</w:t>
      </w:r>
    </w:p>
    <w:p w:rsidR="00A26CD3" w:rsidRPr="00662CD1" w:rsidRDefault="00A26CD3" w:rsidP="00A26CD3">
      <w:pPr>
        <w:spacing w:after="0" w:line="240" w:lineRule="auto"/>
        <w:jc w:val="both"/>
        <w:rPr>
          <w:rFonts w:ascii="Times New Roman" w:eastAsia="Bookman Old Style" w:hAnsi="Times New Roman" w:cs="Times New Roman"/>
          <w:sz w:val="24"/>
          <w:szCs w:val="24"/>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 xml:space="preserve">Esta administración </w:t>
      </w:r>
      <w:r w:rsidRPr="00662CD1">
        <w:rPr>
          <w:rFonts w:ascii="Times New Roman" w:eastAsia="Bookman Old Style" w:hAnsi="Times New Roman" w:cs="Times New Roman"/>
          <w:sz w:val="24"/>
          <w:szCs w:val="24"/>
        </w:rPr>
        <w:t xml:space="preserve">impulsa el fortalecimiento de la </w:t>
      </w:r>
      <w:r w:rsidRPr="00662CD1">
        <w:rPr>
          <w:rFonts w:ascii="Times New Roman" w:eastAsia="Bookman Old Style" w:hAnsi="Times New Roman" w:cs="Times New Roman"/>
          <w:sz w:val="24"/>
          <w:szCs w:val="24"/>
          <w:lang w:val="es-ES"/>
        </w:rPr>
        <w:t xml:space="preserve">capacidad administrativa, como condición necesaria para que cada acción, esté sustentada en políticas basadas en evidencias y aplicadas con rigor técnico. Por ello, se han realizado diagnósticos sectoriales del problema público, lo que permite atender los retos sociales de manera directa y efectiva, lo cual se ve reflejado en cada uno de los Programas y Proyectos, teniendo propuestas de intervención más efectivas y cercanas a la gente, </w:t>
      </w:r>
      <w:r w:rsidRPr="00662CD1">
        <w:rPr>
          <w:rFonts w:ascii="Times New Roman" w:eastAsia="Bookman Old Style" w:hAnsi="Times New Roman" w:cs="Times New Roman"/>
          <w:sz w:val="24"/>
          <w:szCs w:val="24"/>
        </w:rPr>
        <w:t>garantizando que los recursos se dirijan a acciones necesarias, pertinentes y con sustento real, evitando improvisación y orientando el gasto hacia impacto medible.</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La dimensión analítica se reflejará en el seguimiento de indicadores y metas de actividad de cada Programa y Proyecto, lo que permitirá evaluar avances, corregir desviaciones y priorizar acciones con pertinencia territorial y social, de manera más cercana a la gente.</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 xml:space="preserve">Este Proyecto atiende lo dispuesto en el Plan de Desarrollo del Estado de México 2023–2029, garantizando coherencia entre la planeación estratégica, la asignación presupuestal, la acción gubernamental y rendición de cuentas. La alienación Institucional </w:t>
      </w:r>
      <w:r w:rsidRPr="00662CD1">
        <w:rPr>
          <w:rFonts w:ascii="Times New Roman" w:eastAsia="Bookman Old Style" w:hAnsi="Times New Roman" w:cs="Times New Roman"/>
          <w:sz w:val="24"/>
          <w:szCs w:val="24"/>
        </w:rPr>
        <w:t xml:space="preserve">no se limita a etiquetar recursos: </w:t>
      </w:r>
      <w:r w:rsidRPr="00662CD1">
        <w:rPr>
          <w:rFonts w:ascii="Times New Roman" w:eastAsia="Bookman Old Style" w:hAnsi="Times New Roman" w:cs="Times New Roman"/>
          <w:sz w:val="24"/>
          <w:szCs w:val="24"/>
        </w:rPr>
        <w:lastRenderedPageBreak/>
        <w:t>organiza, orienta y condiciona el destino del gasto a resultados verificables y a prioridades de Estado, asegurando que cada peso se traduzca en bienestar tangible para la población.</w:t>
      </w:r>
    </w:p>
    <w:p w:rsidR="00A26CD3" w:rsidRPr="00662CD1" w:rsidRDefault="00A26CD3" w:rsidP="00A26CD3">
      <w:pPr>
        <w:spacing w:after="0" w:line="240" w:lineRule="auto"/>
        <w:jc w:val="both"/>
        <w:rPr>
          <w:rFonts w:ascii="Times New Roman" w:eastAsia="Bookman Old Style" w:hAnsi="Times New Roman" w:cs="Times New Roman"/>
          <w:sz w:val="24"/>
          <w:szCs w:val="24"/>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Se prevé un gasto programable de 325 mil 745 millones 077 mil 848 pesos para la ejecución de los programas institucionales, principalmente en materia de salud, educación, seguridad, bienestar social e infraestructura y un gasto no programable de 84 mil 596 millones 537 mil 414 pesos, para cubrir las obligaciones de pago del servicio de la deuda pública, participaciones y aportaciones a Municipios.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Entre las prioridades presupuestales para el Ejercicio Fiscal 2026, se destaca el incremento del 13% (2 mil 424 millones 905 mil 459 pesos) a los Programas Sociales, con respecto a lo autorizado para el Ejercicio Fiscal 2025. Este incremento, refrenda el compromiso de esta administración con la justicia social, la inclusión y el combate a la desigualdad, lograr el principal objetivo de esta Administración: "Por el bien de todos, primero los pobres".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Los Programas Sociales en este Presupuesto, no se conciben como gasto asistencial, sino como inversión estratégica en justicia social, movilidad estructural y construcción de bienestar permanente. Se trata de una política de gasto orientada a elevar capacidades reales, fortalecer la autonomía económica de los hogares y generar condiciones sostenibles de desarrollo.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bookmarkStart w:id="18" w:name="_bookmark0"/>
      <w:bookmarkEnd w:id="18"/>
      <w:r w:rsidRPr="00662CD1">
        <w:rPr>
          <w:rFonts w:ascii="Times New Roman" w:eastAsia="Bookman Old Style" w:hAnsi="Times New Roman" w:cs="Times New Roman"/>
          <w:sz w:val="24"/>
          <w:szCs w:val="24"/>
        </w:rPr>
        <w:t>La distribución presupuestal destinada a los Poderes del Estado y a los Organismos Constitucionalmente Autónomos respeta plenamente la separación de poderes y la autonomía presupuestal prevista en el marco constitucional, garantizando que cada ente ejerza sus funciones sin interferencias externas, en apego a las competencias que la Constitución local les otorga.</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rPr>
        <w:t>La acción gubernamental se estructura en</w:t>
      </w:r>
      <w:r w:rsidRPr="00662CD1">
        <w:rPr>
          <w:rFonts w:ascii="Times New Roman" w:eastAsia="Bookman Old Style" w:hAnsi="Times New Roman" w:cs="Times New Roman"/>
          <w:sz w:val="24"/>
          <w:szCs w:val="24"/>
          <w:lang w:val="es-ES"/>
        </w:rPr>
        <w:t xml:space="preserve"> cuatro Ejes de Cambio y tres Ejes Transversales </w:t>
      </w:r>
      <w:r w:rsidRPr="00662CD1">
        <w:rPr>
          <w:rFonts w:ascii="Times New Roman" w:eastAsia="Bookman Old Style" w:hAnsi="Times New Roman" w:cs="Times New Roman"/>
          <w:sz w:val="24"/>
          <w:szCs w:val="24"/>
        </w:rPr>
        <w:t xml:space="preserve">que integran las prioridades del Humanismo Mexicano, con perspectiva social, territorial y de sostenibilidad, en correspondencia con la visión transformadora de esta administración, </w:t>
      </w:r>
      <w:r w:rsidRPr="00662CD1">
        <w:rPr>
          <w:rFonts w:ascii="Times New Roman" w:eastAsia="Bookman Old Style" w:hAnsi="Times New Roman" w:cs="Times New Roman"/>
          <w:sz w:val="24"/>
          <w:szCs w:val="24"/>
          <w:lang w:val="es-ES"/>
        </w:rPr>
        <w:t xml:space="preserve">conforme a lo siguiente: </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bCs/>
          <w:i/>
          <w:iCs/>
          <w:sz w:val="24"/>
          <w:szCs w:val="24"/>
          <w:lang w:val="es-ES"/>
        </w:rPr>
      </w:pPr>
      <w:r w:rsidRPr="00662CD1">
        <w:rPr>
          <w:rFonts w:ascii="Times New Roman" w:eastAsia="Bookman Old Style" w:hAnsi="Times New Roman" w:cs="Times New Roman"/>
          <w:b/>
          <w:bCs/>
          <w:i/>
          <w:iCs/>
          <w:sz w:val="24"/>
          <w:szCs w:val="24"/>
          <w:lang w:val="es-ES"/>
        </w:rPr>
        <w:t>Eje 1. Cero corrupción y gobierno del pueblo y para el pueblo “Estado de Derecho y austeridad”</w:t>
      </w:r>
    </w:p>
    <w:p w:rsidR="00A26CD3" w:rsidRPr="00662CD1" w:rsidRDefault="00A26CD3" w:rsidP="00A26CD3">
      <w:pPr>
        <w:spacing w:after="0" w:line="240" w:lineRule="auto"/>
        <w:jc w:val="both"/>
        <w:rPr>
          <w:rFonts w:ascii="Times New Roman" w:eastAsia="Bookman Old Style" w:hAnsi="Times New Roman" w:cs="Times New Roman"/>
          <w:b/>
          <w:bCs/>
          <w:i/>
          <w:iCs/>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 xml:space="preserve">Este gobierno busca fortalecer un Estado de Derecho </w:t>
      </w:r>
      <w:r w:rsidRPr="00662CD1">
        <w:rPr>
          <w:rFonts w:ascii="Times New Roman" w:eastAsia="Bookman Old Style" w:hAnsi="Times New Roman" w:cs="Times New Roman"/>
          <w:sz w:val="24"/>
          <w:szCs w:val="24"/>
        </w:rPr>
        <w:t xml:space="preserve">que sirve al pueblo, elimina privilegios históricos, combate la corrupción en todas sus formas y consolida las prácticas de un gobierno honesto, transparente, austero y cercano a la gente, </w:t>
      </w:r>
      <w:r w:rsidRPr="00662CD1">
        <w:rPr>
          <w:rFonts w:ascii="Times New Roman" w:eastAsia="Bookman Old Style" w:hAnsi="Times New Roman" w:cs="Times New Roman"/>
          <w:sz w:val="24"/>
          <w:szCs w:val="24"/>
          <w:lang w:val="es-ES"/>
        </w:rPr>
        <w:t>que garantiza la participación permanente e informada de la ciudadanía en las decisiones de política pública y en la rendición de cuentas</w:t>
      </w:r>
      <w:r w:rsidRPr="00662CD1">
        <w:rPr>
          <w:rFonts w:ascii="Times New Roman" w:eastAsia="Bookman Old Style" w:hAnsi="Times New Roman" w:cs="Times New Roman"/>
          <w:sz w:val="24"/>
          <w:szCs w:val="24"/>
        </w:rPr>
        <w:t xml:space="preserve">. </w:t>
      </w:r>
    </w:p>
    <w:p w:rsidR="00A26CD3" w:rsidRPr="00662CD1" w:rsidRDefault="00A26CD3" w:rsidP="00A26CD3">
      <w:pPr>
        <w:spacing w:after="0" w:line="240" w:lineRule="auto"/>
        <w:jc w:val="both"/>
        <w:rPr>
          <w:rFonts w:ascii="Times New Roman" w:eastAsia="Bookman Old Style" w:hAnsi="Times New Roman" w:cs="Times New Roman"/>
          <w:sz w:val="24"/>
          <w:szCs w:val="24"/>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rPr>
        <w:t xml:space="preserve">La modernización administrativa y el uso de tecnologías públicas permiten simplificar procesos, acortar tiempos y elevar la confianza institucional, para rendir </w:t>
      </w:r>
      <w:r w:rsidRPr="00662CD1">
        <w:rPr>
          <w:rFonts w:ascii="Times New Roman" w:eastAsia="Bookman Old Style" w:hAnsi="Times New Roman" w:cs="Times New Roman"/>
          <w:sz w:val="24"/>
          <w:szCs w:val="24"/>
          <w:lang w:val="es-ES"/>
        </w:rPr>
        <w:t>cuentas claras, manteniendo el control y supervisión puntual en la ejecución del gasto. Esto eleva la confianza de las personas en las autoridades, favorece la vigilancia del uso de los recursos públicos e instaura un nuevo modelo de trabajo conjunto y de intercambio de información entre el pueblo y el gobierno.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rPr>
        <w:t xml:space="preserve">Se impulsa una administración pública moderna, </w:t>
      </w:r>
      <w:r w:rsidRPr="00662CD1">
        <w:rPr>
          <w:rFonts w:ascii="Times New Roman" w:eastAsia="Bookman Old Style" w:hAnsi="Times New Roman" w:cs="Times New Roman"/>
          <w:sz w:val="24"/>
          <w:szCs w:val="24"/>
          <w:lang w:val="es-ES"/>
        </w:rPr>
        <w:t>mediante la profesionalización de las personas servidoras públicas para dignificar los espacios para la prestación de servicios al público, elevar la calidad en los trámites gubernamentales y posibilitar mayor accesibilidad ciudadana.</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 xml:space="preserve">Asimismo, se asignan recursos para el pago de jubilaciones, reafirmando el compromiso de este Gobierno con quienes dedicaron su vida al servicio público, garantizando su bienestar en todas las </w:t>
      </w:r>
      <w:r w:rsidRPr="00662CD1">
        <w:rPr>
          <w:rFonts w:ascii="Times New Roman" w:eastAsia="Bookman Old Style" w:hAnsi="Times New Roman" w:cs="Times New Roman"/>
          <w:sz w:val="24"/>
          <w:szCs w:val="24"/>
        </w:rPr>
        <w:lastRenderedPageBreak/>
        <w:t>etapas de la vida laboral y posterior a ella. El reto estructural asociado al sistema de pensiones persiste debido al incremento del padrón de pensionados y al aumento en la esperanza de vida (88 años promedio). Por ello, se fortalecerán medidas de eficiencia institucional y control del gasto que contribuyan a desacelerar el deterioro actuarial, sin comprometer el cumplimiento de las obligaciones vigentes.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La coordinación con municipios, Entes Públicos y otras entidades federativas, se consolida como </w:t>
      </w:r>
      <w:r w:rsidRPr="00662CD1">
        <w:rPr>
          <w:rFonts w:ascii="Times New Roman" w:eastAsia="Bookman Old Style" w:hAnsi="Times New Roman" w:cs="Times New Roman"/>
          <w:sz w:val="24"/>
          <w:szCs w:val="24"/>
        </w:rPr>
        <w:t>principio rector para potenciar desarrollo, garantizar paz social y elevar la eficacia territorial del Estado, reconociendo que la transformación pública solo es posible con corresponsabilidad institucional y articulación permanente con la ciudadanía, buscando</w:t>
      </w:r>
      <w:r w:rsidRPr="00662CD1">
        <w:rPr>
          <w:rFonts w:ascii="Times New Roman" w:eastAsia="Bookman Old Style" w:hAnsi="Times New Roman" w:cs="Times New Roman"/>
          <w:sz w:val="24"/>
          <w:szCs w:val="24"/>
          <w:lang w:val="es-ES"/>
        </w:rPr>
        <w:t>potenciar su desarrollo y gobernabilidad que por su ubicación geográfica, su importancia demográfica, económica, política, social y cultural, nuestra Entidad representa una muestra de la realidad nacional y constituye un espacio plural de dialogo y coordinación permanente, cuya atención requiere de una profunda coordinación entre los municipios, las instituciones de los distintos órdenes de gobierno, las entidades federativas vecinas, los órganos autónomos y, por supuesto, de la ciudadanía en general, para transformar su realidad.</w:t>
      </w:r>
    </w:p>
    <w:p w:rsidR="00A26CD3" w:rsidRPr="00662CD1" w:rsidRDefault="00A26CD3" w:rsidP="00A26CD3">
      <w:pPr>
        <w:spacing w:after="0" w:line="240" w:lineRule="auto"/>
        <w:jc w:val="both"/>
        <w:rPr>
          <w:rFonts w:ascii="Times New Roman" w:eastAsia="Bookman Old Style" w:hAnsi="Times New Roman" w:cs="Times New Roman"/>
          <w:b/>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Cs/>
          <w:i/>
          <w:sz w:val="24"/>
          <w:szCs w:val="24"/>
          <w:lang w:val="es-ES"/>
        </w:rPr>
      </w:pPr>
      <w:r w:rsidRPr="00662CD1">
        <w:rPr>
          <w:rFonts w:ascii="Times New Roman" w:eastAsia="Bookman Old Style" w:hAnsi="Times New Roman" w:cs="Times New Roman"/>
          <w:b/>
          <w:i/>
          <w:sz w:val="24"/>
          <w:szCs w:val="24"/>
          <w:lang w:val="es-ES"/>
        </w:rPr>
        <w:t>Eje 2. Bienestar ambiental y acceso universal al agua. “Preservación y promoción ecológica”.</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El Estado ratifica su compromiso con el Derecho Humano al agua, para garantizar el acceso a este de forma sustentable, suficiente, salubre y asequible, preservando el equilibrio hidrológico y </w:t>
      </w:r>
      <w:r w:rsidRPr="00662CD1">
        <w:rPr>
          <w:rFonts w:ascii="Times New Roman" w:eastAsia="Bookman Old Style" w:hAnsi="Times New Roman" w:cs="Times New Roman"/>
          <w:sz w:val="24"/>
          <w:szCs w:val="24"/>
        </w:rPr>
        <w:t>y fortaleciendo la restauración y conservación de bosques y ecosistemas</w:t>
      </w:r>
      <w:r w:rsidRPr="00662CD1">
        <w:rPr>
          <w:rFonts w:ascii="Times New Roman" w:eastAsia="Bookman Old Style" w:hAnsi="Times New Roman" w:cs="Times New Roman"/>
          <w:sz w:val="24"/>
          <w:szCs w:val="24"/>
          <w:lang w:val="es-ES"/>
        </w:rPr>
        <w:t>.</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rPr>
        <w:t>Se impulsan acciones que promueven</w:t>
      </w:r>
      <w:r w:rsidRPr="00662CD1" w:rsidDel="00FD0174">
        <w:rPr>
          <w:rFonts w:ascii="Times New Roman" w:eastAsia="Bookman Old Style" w:hAnsi="Times New Roman" w:cs="Times New Roman"/>
          <w:sz w:val="24"/>
          <w:szCs w:val="24"/>
          <w:lang w:val="es-ES"/>
        </w:rPr>
        <w:t xml:space="preserve"> </w:t>
      </w:r>
      <w:r w:rsidRPr="00662CD1">
        <w:rPr>
          <w:rFonts w:ascii="Times New Roman" w:eastAsia="Bookman Old Style" w:hAnsi="Times New Roman" w:cs="Times New Roman"/>
          <w:sz w:val="24"/>
          <w:szCs w:val="24"/>
          <w:lang w:val="es-ES"/>
        </w:rPr>
        <w:t>entre los mexiquenses el respeto, cuidado y protección de los seres sintientes, trato digno a la fauna silvestre, doméstica y de cautiverio, fortaleciendo la coordinación con los Ayuntamientos, sociedad civil y la ciudadanía, para promover la cultura de la denuncia y erradicar prácticas contrarias a la dignidad y el bienestar animal.</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Asimismo, se promueve el impulso de energías limpias, </w:t>
      </w:r>
      <w:r w:rsidRPr="00662CD1">
        <w:rPr>
          <w:rFonts w:ascii="Times New Roman" w:eastAsia="Bookman Old Style" w:hAnsi="Times New Roman" w:cs="Times New Roman"/>
          <w:sz w:val="24"/>
          <w:szCs w:val="24"/>
        </w:rPr>
        <w:t>la transición hacia modelos más sostenibles y el fortalecimiento de</w:t>
      </w:r>
      <w:r w:rsidRPr="00662CD1">
        <w:rPr>
          <w:rFonts w:ascii="Times New Roman" w:eastAsia="Bookman Old Style" w:hAnsi="Times New Roman" w:cs="Times New Roman"/>
          <w:sz w:val="24"/>
          <w:szCs w:val="24"/>
          <w:lang w:val="es-ES"/>
        </w:rPr>
        <w:t xml:space="preserve"> los mecanismos de manejo integral de residuos </w:t>
      </w:r>
      <w:r w:rsidRPr="00662CD1">
        <w:rPr>
          <w:rFonts w:ascii="Times New Roman" w:eastAsia="Bookman Old Style" w:hAnsi="Times New Roman" w:cs="Times New Roman"/>
          <w:sz w:val="24"/>
          <w:szCs w:val="24"/>
        </w:rPr>
        <w:t>con responsabilidad ambiental y visión de futuro en la Entidad</w:t>
      </w:r>
      <w:r w:rsidRPr="00662CD1">
        <w:rPr>
          <w:rFonts w:ascii="Times New Roman" w:eastAsia="Bookman Old Style" w:hAnsi="Times New Roman" w:cs="Times New Roman"/>
          <w:sz w:val="24"/>
          <w:szCs w:val="24"/>
          <w:lang w:val="es-ES"/>
        </w:rPr>
        <w:t>.</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i/>
          <w:sz w:val="24"/>
          <w:szCs w:val="24"/>
          <w:lang w:val="es-ES"/>
        </w:rPr>
      </w:pPr>
      <w:r w:rsidRPr="00662CD1">
        <w:rPr>
          <w:rFonts w:ascii="Times New Roman" w:eastAsia="Bookman Old Style" w:hAnsi="Times New Roman" w:cs="Times New Roman"/>
          <w:b/>
          <w:i/>
          <w:sz w:val="24"/>
          <w:szCs w:val="24"/>
          <w:lang w:val="es-ES"/>
        </w:rPr>
        <w:t>Eje 3. Empleo digno y desarrollo económico “Inclusión para el bienestar y la prosperidad”.</w:t>
      </w:r>
    </w:p>
    <w:p w:rsidR="00A26CD3" w:rsidRPr="00662CD1" w:rsidRDefault="00A26CD3" w:rsidP="00A26CD3">
      <w:pPr>
        <w:spacing w:after="0" w:line="240" w:lineRule="auto"/>
        <w:jc w:val="both"/>
        <w:rPr>
          <w:rFonts w:ascii="Times New Roman" w:eastAsia="Bookman Old Style" w:hAnsi="Times New Roman" w:cs="Times New Roman"/>
          <w:b/>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Este Proyecto impulsa el empleo digno y al desarrollo económico para mejorar ingreso y bienestar de los mexiquenses, promoviendo empleos formales, mejor remunerados y con justicia laboral; en un esfuerzo por saldar la deuda histórica con las y los trabajadores.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Se fortalece la economía social y productiva incluyente, apoyando la formalización, el crecimiento de las empresas, el autoempleo; así como el fortalecimiento de las micro, pequeñas y medianas empresas familiares rurales, la agroindustria, los talleres artesanales y los grupos solidarios.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La relocalización de las cadenas de valor </w:t>
      </w:r>
      <w:r w:rsidRPr="00662CD1">
        <w:rPr>
          <w:rFonts w:ascii="Times New Roman" w:eastAsia="Bookman Old Style" w:hAnsi="Times New Roman" w:cs="Times New Roman"/>
          <w:sz w:val="24"/>
          <w:szCs w:val="24"/>
        </w:rPr>
        <w:t>representa una oportunidad estratégica</w:t>
      </w:r>
      <w:r w:rsidRPr="00662CD1">
        <w:rPr>
          <w:rFonts w:ascii="Times New Roman" w:eastAsia="Bookman Old Style" w:hAnsi="Times New Roman" w:cs="Times New Roman"/>
          <w:sz w:val="24"/>
          <w:szCs w:val="24"/>
          <w:lang w:val="es-ES"/>
        </w:rPr>
        <w:t xml:space="preserve"> para consolidar a la Entidad como un polo de desarrollo económico aprovechando sus vocaciones productivas y su ventaja competitiva.</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También </w:t>
      </w:r>
      <w:r w:rsidRPr="00662CD1">
        <w:rPr>
          <w:rFonts w:ascii="Times New Roman" w:eastAsia="Bookman Old Style" w:hAnsi="Times New Roman" w:cs="Times New Roman"/>
          <w:sz w:val="24"/>
          <w:szCs w:val="24"/>
        </w:rPr>
        <w:t>se promueve un turismo sostenible e incluyente, revalorizando</w:t>
      </w:r>
      <w:r w:rsidRPr="00662CD1">
        <w:rPr>
          <w:rFonts w:ascii="Times New Roman" w:eastAsia="Bookman Old Style" w:hAnsi="Times New Roman" w:cs="Times New Roman"/>
          <w:sz w:val="24"/>
          <w:szCs w:val="24"/>
          <w:lang w:val="es-ES"/>
        </w:rPr>
        <w:t xml:space="preserve">a la gran diversidad de recursos naturales y culturales en todas sus regiones, a través de acciones que incrementan la </w:t>
      </w:r>
      <w:r w:rsidRPr="00662CD1">
        <w:rPr>
          <w:rFonts w:ascii="Times New Roman" w:eastAsia="Bookman Old Style" w:hAnsi="Times New Roman" w:cs="Times New Roman"/>
          <w:sz w:val="24"/>
          <w:szCs w:val="24"/>
          <w:lang w:val="es-ES"/>
        </w:rPr>
        <w:lastRenderedPageBreak/>
        <w:t>inversión destinada a la conservación y puesta en valor del patrimonio natural y cultural de la Entidad, reconociendo su enorme potencial, debido a su ubicación geográfica.</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El desarrollo agrario y la dignificación del campo resultan fundamentales para fortalecer la seguridad y soberanía alimentaria. Se impulsa la productividad agropecuaria y forestal con prácticas sostenibles y nuevos incentivos económicos, hacia la soberanía y autosuficiencia alimentarias.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En materia de movilidad segura, se proponen un conjunto de acciones para mejorar a la conectividad vial, la accesibilidad e inclusión, la calidad del transporte público y la infraestructura urbana, para atender un rezago de décadas reduciendo tiempos de traslado y con ello contribuir a mejorar las condiciones de vida de los mexiquenses.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Este gobierno considera prioritario invertir en infraestructura urbana y rural, a fin de generar mejores niveles de vida y bienestar de la población, estos recursos se asignarán </w:t>
      </w:r>
      <w:r w:rsidRPr="00662CD1">
        <w:rPr>
          <w:rFonts w:ascii="Times New Roman" w:eastAsia="Bookman Old Style" w:hAnsi="Times New Roman" w:cs="Times New Roman"/>
          <w:sz w:val="24"/>
          <w:szCs w:val="24"/>
        </w:rPr>
        <w:t xml:space="preserve">priorizando los proyectos de infraestructura con mayor impacto territorial y </w:t>
      </w:r>
      <w:r w:rsidRPr="00662CD1">
        <w:rPr>
          <w:rFonts w:ascii="Times New Roman" w:eastAsia="Bookman Old Style" w:hAnsi="Times New Roman" w:cs="Times New Roman"/>
          <w:sz w:val="24"/>
          <w:szCs w:val="24"/>
          <w:lang w:val="es-ES"/>
        </w:rPr>
        <w:t>contribución a reducir brechas regionales de desarrollo, a fin de que la inversión pública no solo mejore bienes y servicios, sino que genere condiciones sostenibles de bienestar comunitario, la modernización de espacios públicos y un desarrollo urbano equilibrado, mejorando los servicios públicos a nivel Municipal.</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En este sentido, se incrementa en 12% (2 mil 069 millones 355 mil 483 pesos) la inversión pública con respecto al Ejercicio Fiscal anterior, el mayor incremento otorgado en los últimos 6 años; y, sin recurrir al endeudamiento público, un gran esfuerzo por dotar de mayor infraestructura al Estado, con el propósito de atender rezagos y necesidades en todo el territorio. Por ello, desde el principio de este gobierno se ha trabajado para ampliar la capacidad estatal en ámbitos como movilidad urbana, acceso al agua y mantenimiento de caminos y vías urbanas a través de programas como el “Bachetón”, </w:t>
      </w:r>
      <w:r w:rsidRPr="00662CD1">
        <w:rPr>
          <w:rFonts w:ascii="Times New Roman" w:eastAsia="Bookman Old Style" w:hAnsi="Times New Roman" w:cs="Times New Roman"/>
          <w:sz w:val="24"/>
          <w:szCs w:val="24"/>
        </w:rPr>
        <w:t xml:space="preserve">fortaleciendo condiciones de bienestar y desarrollo </w:t>
      </w:r>
      <w:r w:rsidRPr="00662CD1">
        <w:rPr>
          <w:rFonts w:ascii="Times New Roman" w:eastAsia="Bookman Old Style" w:hAnsi="Times New Roman" w:cs="Times New Roman"/>
          <w:sz w:val="24"/>
          <w:szCs w:val="24"/>
          <w:lang w:val="es-ES"/>
        </w:rPr>
        <w:t>de nuestro Estado.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Con apoyo de diferentes órdenes de gobierno (Federación-Estado-Municipios) se constituirá el Plan Integral de la Zona Oriente que beneficiará a una de las zonas más densamente pobladas y que por años, estuvo excluida del desarrollo económico y del bienestar social. Dicho Plan contempla 121 líneas de acción en infraestructura social, movilidad, vivienda, educación y salud; y considera una inversión superior a 75 mil 786 millones de pesos (60% Gobierno Federal, 30% por el Estado y 10% Municipios).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En materia de inversión, se realizó una simplificación administrativa que permitirá agilizar el ejercicio del gasto, directamente desde los organismos auxiliares que tiene como atribución la ejecución de obras en materia de movilidad y mantenimiento de caminos y vías urbanas.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i/>
          <w:sz w:val="24"/>
          <w:szCs w:val="24"/>
          <w:lang w:val="es-ES"/>
        </w:rPr>
      </w:pPr>
      <w:r w:rsidRPr="00662CD1">
        <w:rPr>
          <w:rFonts w:ascii="Times New Roman" w:eastAsia="Bookman Old Style" w:hAnsi="Times New Roman" w:cs="Times New Roman"/>
          <w:b/>
          <w:i/>
          <w:sz w:val="24"/>
          <w:szCs w:val="24"/>
          <w:lang w:val="es-ES"/>
        </w:rPr>
        <w:t>Eje 4. Bienestar social. “Combate a la pobreza y atención a grupos en situación de vulnerabilidad”</w:t>
      </w:r>
    </w:p>
    <w:p w:rsidR="00A26CD3" w:rsidRPr="00662CD1" w:rsidRDefault="00A26CD3" w:rsidP="00A26CD3">
      <w:pPr>
        <w:spacing w:after="0" w:line="240" w:lineRule="auto"/>
        <w:jc w:val="both"/>
        <w:rPr>
          <w:rFonts w:ascii="Times New Roman" w:eastAsia="Bookman Old Style" w:hAnsi="Times New Roman" w:cs="Times New Roman"/>
          <w:b/>
          <w:i/>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rPr>
        <w:t xml:space="preserve">En este eje se encuentra el núcleo del proyecto transformador del </w:t>
      </w:r>
      <w:r w:rsidRPr="00662CD1">
        <w:rPr>
          <w:rFonts w:ascii="Times New Roman" w:eastAsia="Bookman Old Style" w:hAnsi="Times New Roman" w:cs="Times New Roman"/>
          <w:sz w:val="24"/>
          <w:szCs w:val="24"/>
          <w:lang w:val="es-ES"/>
        </w:rPr>
        <w:t xml:space="preserve">Gobierno Estatal: combatir la pobreza, reducir carencias sociales y atender a grupos y territorios en condición de vulnerabilidad. La visión humanista prioriza políticas públicas que eleven bienestar, fortalezcan autonomía y generen condiciones reales de inclusión para la población mexiquense. </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En este Proyecto impulsamos programas, proyectos y acciones de desarrollo social que permitan elevar el bienestar de las personas en situación de</w:t>
      </w:r>
      <w:r w:rsidRPr="00662CD1">
        <w:rPr>
          <w:rFonts w:ascii="Times New Roman" w:eastAsia="Bookman Old Style" w:hAnsi="Times New Roman" w:cs="Times New Roman"/>
          <w:sz w:val="24"/>
          <w:szCs w:val="24"/>
        </w:rPr>
        <w:t xml:space="preserve"> </w:t>
      </w:r>
      <w:r w:rsidRPr="00662CD1">
        <w:rPr>
          <w:rFonts w:ascii="Times New Roman" w:eastAsia="Bookman Old Style" w:hAnsi="Times New Roman" w:cs="Times New Roman"/>
          <w:sz w:val="24"/>
          <w:szCs w:val="24"/>
          <w:lang w:val="es-ES"/>
        </w:rPr>
        <w:t xml:space="preserve">pobreza, carencias sociales y marginación, acceso </w:t>
      </w:r>
      <w:r w:rsidRPr="00662CD1">
        <w:rPr>
          <w:rFonts w:ascii="Times New Roman" w:eastAsia="Bookman Old Style" w:hAnsi="Times New Roman" w:cs="Times New Roman"/>
          <w:sz w:val="24"/>
          <w:szCs w:val="24"/>
          <w:lang w:val="es-ES"/>
        </w:rPr>
        <w:lastRenderedPageBreak/>
        <w:t xml:space="preserve">a la salud integral; fomento a la cultura y al arte; gestión para la vivienda y servicios públicos dignos. </w:t>
      </w:r>
      <w:r w:rsidRPr="00662CD1">
        <w:rPr>
          <w:rFonts w:ascii="Times New Roman" w:eastAsia="Bookman Old Style" w:hAnsi="Times New Roman" w:cs="Times New Roman"/>
          <w:sz w:val="24"/>
          <w:szCs w:val="24"/>
        </w:rPr>
        <w:t>Para esta administración, el bienestar social no es gasto corriente, es inversión pública para igualar oportunidades y romper ciclos de desigualdad estructural.</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 xml:space="preserve">El presupuesto privilegia acciones dirigidas a personas en situación de vulnerabilidad, el bienestar </w:t>
      </w:r>
      <w:r w:rsidRPr="00662CD1">
        <w:rPr>
          <w:rFonts w:ascii="Times New Roman" w:eastAsia="Bookman Old Style" w:hAnsi="Times New Roman" w:cs="Times New Roman"/>
          <w:sz w:val="24"/>
          <w:szCs w:val="24"/>
          <w:lang w:val="es-ES"/>
        </w:rPr>
        <w:t xml:space="preserve">de niñas, niños, adolescentes, jóvenes y personas adultas mayores, </w:t>
      </w:r>
      <w:r w:rsidRPr="00662CD1">
        <w:rPr>
          <w:rFonts w:ascii="Times New Roman" w:eastAsia="Bookman Old Style" w:hAnsi="Times New Roman" w:cs="Times New Roman"/>
          <w:sz w:val="24"/>
          <w:szCs w:val="24"/>
        </w:rPr>
        <w:t>personas con discapacidad, así como a comunidades con rezago persistente, orientando los recursos públicos a corregir desigualdades reales y mejorar su nivel de vida.</w:t>
      </w:r>
    </w:p>
    <w:p w:rsidR="00A26CD3" w:rsidRPr="00662CD1" w:rsidRDefault="00A26CD3" w:rsidP="00A26CD3">
      <w:pPr>
        <w:spacing w:after="0" w:line="240" w:lineRule="auto"/>
        <w:jc w:val="both"/>
        <w:rPr>
          <w:rFonts w:ascii="Times New Roman" w:eastAsia="Bookman Old Style" w:hAnsi="Times New Roman" w:cs="Times New Roman"/>
          <w:sz w:val="24"/>
          <w:szCs w:val="24"/>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La política educativa que se impulsa en este Proyecto, busca ampliar cobertura en todos los tipos y niveles del Sistema Educativo, fortaleciendo infraestructura, equipamiento, mobiliario, conectividad y uso de tecnología en escuelas. La prioridad educativa será prevenir el abandono escolar e impulsar procesos de reinserción en secundaria y media superior, reconociendo que estas etapas definen trayectorias de movilidad social y oportunidades de desarrollo.</w:t>
      </w:r>
    </w:p>
    <w:p w:rsidR="00A26CD3" w:rsidRPr="00662CD1" w:rsidRDefault="00A26CD3" w:rsidP="00A26CD3">
      <w:pPr>
        <w:spacing w:after="0" w:line="240" w:lineRule="auto"/>
        <w:jc w:val="both"/>
        <w:rPr>
          <w:rFonts w:ascii="Times New Roman" w:eastAsia="Bookman Old Style" w:hAnsi="Times New Roman" w:cs="Times New Roman"/>
          <w:sz w:val="24"/>
          <w:szCs w:val="24"/>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Asimismo, se revaloriza a las personas docentes y servidoras públicas educativas, promoviendo condiciones dignas para la enseñanza, fortaleciendo comunidades escolares sanas y entornos protectores.</w:t>
      </w:r>
    </w:p>
    <w:p w:rsidR="00A26CD3" w:rsidRPr="00662CD1" w:rsidRDefault="00A26CD3" w:rsidP="00A26CD3">
      <w:pPr>
        <w:spacing w:after="0" w:line="240" w:lineRule="auto"/>
        <w:jc w:val="both"/>
        <w:rPr>
          <w:rFonts w:ascii="Times New Roman" w:eastAsia="Bookman Old Style" w:hAnsi="Times New Roman" w:cs="Times New Roman"/>
          <w:sz w:val="24"/>
          <w:szCs w:val="24"/>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rPr>
        <w:t>En materia cultural y deportiva, se impulsan acciones de promoción cultural, acceso al arte, fomento deportivo escolar, masificación del deporte y alto rendimiento, como instrumentos de inclusión, cohesión social y formación integral.</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Queremos continuar disminuyendo la inseguridad alimentaria, garantizando el acceso a la alimentación nutritiva y de calidad para la población en situación de vulnerabilidad. Además, se busca promover el pleno respeto, protección y ejercicio de los derechos humanos de niñas, niños, adolescentes y jóvenes, así como preservar su desarrollo social y económico sostenible, protegiendo al mismo tiempo, su patrimonio cultural y el medio ambiente en el que se desenvuelven.</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En materia de salud, se plantea fortalecer l</w:t>
      </w:r>
      <w:r w:rsidRPr="00662CD1">
        <w:rPr>
          <w:rFonts w:ascii="Times New Roman" w:eastAsia="Bookman Old Style" w:hAnsi="Times New Roman" w:cs="Times New Roman"/>
          <w:sz w:val="24"/>
          <w:szCs w:val="24"/>
        </w:rPr>
        <w:t xml:space="preserve">a atención médica con enfoque preventivo, cobertura oportuna, trato digno y mejora permanente en la calidad de los servicios públicos. Adicionalmente se </w:t>
      </w:r>
      <w:r w:rsidRPr="00662CD1">
        <w:rPr>
          <w:rFonts w:ascii="Times New Roman" w:eastAsia="Bookman Old Style" w:hAnsi="Times New Roman" w:cs="Times New Roman"/>
          <w:sz w:val="24"/>
          <w:szCs w:val="24"/>
          <w:lang w:val="es-ES"/>
        </w:rPr>
        <w:t xml:space="preserve">continúa trabajando en estrecha coordinación con el Gobierno Federal en la transición institucional que se ha emprendido, con la firme convicción de que la prioridad es la salud de las y los mexiquenses. </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Es por ello que, si bien dentro de los recursos federales se observa una disminución de 3 mil 349 millones 146 mil 297 pesos para el Fondo de Aportaciones para los Servicios de Salud (FASSA), toda vez estos recursos serán ejercidos directamente por el Gobierno Federal, este esquema se consolida como clave para revertir rezagos </w:t>
      </w:r>
      <w:r w:rsidRPr="00662CD1">
        <w:rPr>
          <w:rFonts w:ascii="Times New Roman" w:eastAsia="Bookman Old Style" w:hAnsi="Times New Roman" w:cs="Times New Roman"/>
          <w:sz w:val="24"/>
          <w:szCs w:val="24"/>
        </w:rPr>
        <w:t>históricos y garantizar el acceso efectivo a servicios de salud. En tal sentido, aun cuando parte del financiamiento federal se ejercerá directamente por la Federación, la responsabilidad estatal con la salud de las y los mexiquenses, no disminuye</w:t>
      </w:r>
      <w:r w:rsidRPr="00662CD1">
        <w:rPr>
          <w:rFonts w:ascii="Times New Roman" w:eastAsia="Bookman Old Style" w:hAnsi="Times New Roman" w:cs="Times New Roman"/>
          <w:sz w:val="24"/>
          <w:szCs w:val="24"/>
          <w:lang w:val="es-ES"/>
        </w:rPr>
        <w:t>.</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rPr>
        <w:t>Se propone consolidar modelos de promoción de la salud</w:t>
      </w:r>
      <w:r w:rsidRPr="00662CD1">
        <w:rPr>
          <w:rFonts w:ascii="Times New Roman" w:eastAsia="Bookman Old Style" w:hAnsi="Times New Roman" w:cs="Times New Roman"/>
          <w:sz w:val="24"/>
          <w:szCs w:val="24"/>
          <w:lang w:val="es-ES"/>
        </w:rPr>
        <w:t xml:space="preserve"> y prevención de enfermedades, atacando las principales causas de morbilidad y mortalidad; así como, la capacitación continua del personal de salud y la evaluación de la calidad de los servicios con énfasis en los grupos vulnerables, mediante una atención médica de calidad, oportuna, con un trato adecuado, de mayor cobertura, y que promueva estilos de vida saludables asegurando abasto y control de insumos.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lastRenderedPageBreak/>
        <w:t xml:space="preserve">Un tema prioritario es la salud mental, por ello, se impulsan políticas intersectoriales para diagnóstico y atención integral del bienestar mental, </w:t>
      </w:r>
      <w:r w:rsidRPr="00662CD1">
        <w:rPr>
          <w:rFonts w:ascii="Times New Roman" w:eastAsia="Bookman Old Style" w:hAnsi="Times New Roman" w:cs="Times New Roman"/>
          <w:sz w:val="24"/>
          <w:szCs w:val="24"/>
        </w:rPr>
        <w:t>reconociendo su impacto en la vida cotidiana y en la cohesión comunitaria</w:t>
      </w:r>
      <w:r w:rsidRPr="00662CD1">
        <w:rPr>
          <w:rFonts w:ascii="Times New Roman" w:eastAsia="Bookman Old Style" w:hAnsi="Times New Roman" w:cs="Times New Roman"/>
          <w:sz w:val="24"/>
          <w:szCs w:val="24"/>
          <w:lang w:val="es-ES"/>
        </w:rPr>
        <w:t>.</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 xml:space="preserve">En lo relativo a nuestros pueblos originarios, este Proyecto plantea acciones para fortalecer el goce, la promoción y protección de sus derechos humanos preservando identidad, tradiciones y patrimonio cultural, así como impulsando la revalorización los usos y costumbres de los pueblos indígenas, para su desarrollo comunitario </w:t>
      </w:r>
      <w:r w:rsidRPr="00662CD1">
        <w:rPr>
          <w:rFonts w:ascii="Times New Roman" w:eastAsia="Bookman Old Style" w:hAnsi="Times New Roman" w:cs="Times New Roman"/>
          <w:sz w:val="24"/>
          <w:szCs w:val="24"/>
        </w:rPr>
        <w:t>desde sus propias realidades territoriales.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 xml:space="preserve">En materia de vivienda, se proponen estrategias para elevar condiciones de habitabilidad con enfoque incluyente, enfocadas en la población más vulnerable, impulsar una política de regulaciones de suelo, que otorguen seguridad documental en la tenencia de la tierra, fortalecer capacidades municipales para servicios públicos dignos, reconociendo que, la certeza jurídica en la vivienda </w:t>
      </w:r>
      <w:r w:rsidRPr="00662CD1">
        <w:rPr>
          <w:rFonts w:ascii="Times New Roman" w:eastAsia="Bookman Old Style" w:hAnsi="Times New Roman" w:cs="Times New Roman"/>
          <w:sz w:val="24"/>
          <w:szCs w:val="24"/>
        </w:rPr>
        <w:t>y en la tenencia de la tierra es condición para acceso pleno a derechos, porque solo con seguridad documental se puede construir patrimonio familiar sostenible.</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Asimismo, se fortalecen acciones para atender las necesidades y problemáticas de la población de la diversidad sexual, para ello se asigna por segunda vez, un presupuesto de 36 millones 055 mil 097 pesos a través del Proyecto “Cultura de igualdad entre la mujer y el hombre; y población LGBTIQ+, para la prevención de la violencia de género”, impulsando igualdad sustantiva, prevención de violencia de género y acceso, y ejercicio pleno de sus derechos, fomentando un desarrollo incluyente y justo, basado en la igualdad de oportunidades impulsando valores de convivencia, reconocimiento, ayuda mutua y no discriminación.</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Asimismo, mediante el Pacto por la Primera Infancia, se identificaron actividades de todos los Entes Públicos que implementan acciones directas o indirectas en favor de las niñas, niños, adolescentes y jóvenes que habitan en nuestra Entidad, sabiendo que estará en sus manos el bienestar social de la sociedad mexiquense en el futuro.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 xml:space="preserve">Para fortalecer la coherencia de la acción gubernamental y facilitar la rendición de cuentas, se establece la alineación estratégica a los siete ejes, cuatro “Ejes de Cambio” y tres “Ejes Transversales” del PDEM 2023 - 2026. </w:t>
      </w:r>
      <w:r w:rsidRPr="00662CD1">
        <w:rPr>
          <w:rFonts w:ascii="Times New Roman" w:eastAsia="Bookman Old Style" w:hAnsi="Times New Roman" w:cs="Times New Roman"/>
          <w:sz w:val="24"/>
          <w:szCs w:val="24"/>
        </w:rPr>
        <w:t>Dichos Ejes Transversales, articulan principios que deben estar presentes en todas las políticas públicas, programas presupuestarios y decisiones institucionales, como un marco orientador que condiciona diseño, ejecución, seguimiento y evaluación del gasto. La transversalidad asegura que la acción pública sea consistente con la transformación y que la asignación presupuestal no sea neutra, sino alineada a objetivos estratégicos superiores.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i/>
          <w:sz w:val="24"/>
          <w:szCs w:val="24"/>
          <w:lang w:val="es-ES"/>
        </w:rPr>
      </w:pPr>
      <w:r w:rsidRPr="00662CD1">
        <w:rPr>
          <w:rFonts w:ascii="Times New Roman" w:eastAsia="Bookman Old Style" w:hAnsi="Times New Roman" w:cs="Times New Roman"/>
          <w:b/>
          <w:i/>
          <w:sz w:val="24"/>
          <w:szCs w:val="24"/>
          <w:lang w:val="es-ES"/>
        </w:rPr>
        <w:t>Eje Transversal 1. Igualdad de género</w:t>
      </w:r>
    </w:p>
    <w:p w:rsidR="00A26CD3" w:rsidRPr="00662CD1" w:rsidRDefault="00A26CD3" w:rsidP="00A26CD3">
      <w:pPr>
        <w:spacing w:after="0" w:line="240" w:lineRule="auto"/>
        <w:jc w:val="both"/>
        <w:rPr>
          <w:rFonts w:ascii="Times New Roman" w:eastAsia="Bookman Old Style" w:hAnsi="Times New Roman" w:cs="Times New Roman"/>
          <w:b/>
          <w:i/>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Por segundo año el gobierno del Estado de México instrumentará un Presupuesto de Egresos con Perspectiva de Género que, de manera transversal, incorpore la perspectiva de género en el diseño, elaboración, aplicación, seguimiento y evaluación de resultados de los programas y proyectos presupuestarios de la Administración Pública Estatal, con el objeto de promover la igualdad sustantiva entre mujeres y hombres, se impulse la erradicación de la violencia contra las mujeres y la igualdad de oportunidades y derechos en educación, salud y participación en la toma de decisiones públicas. </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lastRenderedPageBreak/>
        <w:t>En ese sentido, l</w:t>
      </w:r>
      <w:r w:rsidRPr="00662CD1">
        <w:rPr>
          <w:rFonts w:ascii="Times New Roman" w:eastAsia="Bookman Old Style" w:hAnsi="Times New Roman" w:cs="Times New Roman"/>
          <w:sz w:val="24"/>
          <w:szCs w:val="24"/>
        </w:rPr>
        <w:t>a igualdad sustantiva entre mujeres y hombres es condición estructural del Humanismo Mexicano, no una política de acompañamiento, por lo que, en este Proyecto se apoyan las siguientes acciones de carácter transversal:</w:t>
      </w:r>
    </w:p>
    <w:p w:rsidR="00A26CD3" w:rsidRPr="00662CD1" w:rsidRDefault="00A26CD3" w:rsidP="00A26CD3">
      <w:pPr>
        <w:spacing w:after="0" w:line="240" w:lineRule="auto"/>
        <w:jc w:val="both"/>
        <w:rPr>
          <w:rFonts w:ascii="Times New Roman" w:eastAsia="Bookman Old Style" w:hAnsi="Times New Roman" w:cs="Times New Roman"/>
          <w:sz w:val="24"/>
          <w:szCs w:val="24"/>
        </w:rPr>
      </w:pP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Fortalecer el marco normativo institucional en materia de perspectiva de género.</w:t>
      </w: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Fomentar la generación de políticas públicas con perspectiva de género.</w:t>
      </w: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Prevenir y atender la violencia de género en sus diferentes modalidades socioculturales, con enfoque multidisciplinario e </w:t>
      </w:r>
      <w:proofErr w:type="spellStart"/>
      <w:r w:rsidRPr="00662CD1">
        <w:rPr>
          <w:rFonts w:ascii="Times New Roman" w:eastAsia="Bookman Old Style" w:hAnsi="Times New Roman" w:cs="Times New Roman"/>
          <w:sz w:val="24"/>
          <w:szCs w:val="24"/>
          <w:lang w:val="es-ES"/>
        </w:rPr>
        <w:t>interseccional</w:t>
      </w:r>
      <w:proofErr w:type="spellEnd"/>
      <w:r w:rsidRPr="00662CD1">
        <w:rPr>
          <w:rFonts w:ascii="Times New Roman" w:eastAsia="Bookman Old Style" w:hAnsi="Times New Roman" w:cs="Times New Roman"/>
          <w:sz w:val="24"/>
          <w:szCs w:val="24"/>
          <w:lang w:val="es-ES"/>
        </w:rPr>
        <w:t>.</w:t>
      </w: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Crear entornos y territorios seguros para las mujeres, fomentando la construcción de la paz.</w:t>
      </w: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Incorporar la perspectiva de género en los servicios de educación y salud.</w:t>
      </w: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Transitar hacia un modelo de salud de la mujer, basado en la prevención y no solo en la atención curativa.</w:t>
      </w: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Fortalecer programas de prevención del embarazo infantil y adolescente.</w:t>
      </w: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Incrementar la participación igualitaria de las mujeres en espacios de toma de decisiones públicas y comunitarias.</w:t>
      </w:r>
    </w:p>
    <w:p w:rsidR="00A26CD3" w:rsidRPr="00662CD1" w:rsidRDefault="00A26CD3" w:rsidP="00F068E2">
      <w:pPr>
        <w:numPr>
          <w:ilvl w:val="0"/>
          <w:numId w:val="126"/>
        </w:numPr>
        <w:spacing w:after="0" w:line="240" w:lineRule="auto"/>
        <w:ind w:left="448"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Empoderar a las mujeres para mejorar su calidad de vida, así como potenciar su autonomía económica y derechos laborales.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La convicción de este gobierno es priorizar la igualdad de género, mediante la atención y cumplimiento de la normatividad e instrumentos internacionales que fomentan, protegen y vigilan los derechos de las mujeres.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i/>
          <w:sz w:val="24"/>
          <w:szCs w:val="24"/>
          <w:lang w:val="es-ES"/>
        </w:rPr>
      </w:pPr>
      <w:r w:rsidRPr="00662CD1">
        <w:rPr>
          <w:rFonts w:ascii="Times New Roman" w:eastAsia="Bookman Old Style" w:hAnsi="Times New Roman" w:cs="Times New Roman"/>
          <w:b/>
          <w:i/>
          <w:sz w:val="24"/>
          <w:szCs w:val="24"/>
          <w:lang w:val="es-ES"/>
        </w:rPr>
        <w:t>Eje Transversal 2. Construcción de la paz y seguridad</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En atención a la problemática nacional en la materia, el Gobierno del Estado de México propone un incremento real neto en el presupuesto p</w:t>
      </w:r>
      <w:r w:rsidRPr="00662CD1">
        <w:rPr>
          <w:rFonts w:ascii="Times New Roman" w:eastAsia="Bookman Old Style" w:hAnsi="Times New Roman" w:cs="Times New Roman"/>
          <w:sz w:val="24"/>
          <w:szCs w:val="24"/>
        </w:rPr>
        <w:t xml:space="preserve">ara fortalecer la </w:t>
      </w:r>
      <w:r w:rsidRPr="00662CD1">
        <w:rPr>
          <w:rFonts w:ascii="Times New Roman" w:eastAsia="Bookman Old Style" w:hAnsi="Times New Roman" w:cs="Times New Roman"/>
          <w:sz w:val="24"/>
          <w:szCs w:val="24"/>
          <w:lang w:val="es-ES"/>
        </w:rPr>
        <w:t>seguridad pública, a fin de reforzar las capacidades institucionales, operativas y preventivas para la protección ciudadana</w:t>
      </w:r>
      <w:r w:rsidRPr="00662CD1">
        <w:rPr>
          <w:rFonts w:ascii="Times New Roman" w:eastAsia="Bookman Old Style" w:hAnsi="Times New Roman" w:cs="Times New Roman"/>
          <w:sz w:val="24"/>
          <w:szCs w:val="24"/>
        </w:rPr>
        <w:t>, consolidando una política de seguridad que atienda causas, reduzca riesgos y mejore capacidades públicas.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Se impulsan acciones para la construcción de la paz desde diversos ángulos, primeramente, atendiendo a las causas de los delitos, fortaleciendo a los cuerpos policiales, la implementación de estrategias de inteligencia e investigación y modernizando y humanizando el Sistema Penitenciario del Estado.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Por ello, a través de este Proyecto se apoyan las acciones siguientes: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Promover una cultura de paz, respeto y convivencia pacífica.</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Crear condiciones para prevenir y abordar la violencia en todas sus formas.</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Resolver problemas de la comunidad impulsando mecanismos que garanticen el acceso de la justicia cívica, así como coadyuvar en el acceso a la justicia de las víctimas del delito y violencia de género.</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Fortalecer las capacidades de la Comisión de Búsqueda de Personas y de la Coordinación Ejecutiva del Mecanismo de Protección Integral de Periodistas y Personas Defensoras de Derechos Humanos.</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Impulsar la cohesión social como condición indispensable para la gobernabilidad y paz social.</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Incrementar el número de policías, mejor capacitados, equipados y remunerados, garantizando controles de confianza para erradicar la corrupción.</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lastRenderedPageBreak/>
        <w:t>Implementar acciones de inteligencia e investigación para prevenir y combatir el delito y optimizando los sistemas existentes.</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Modernizar el marco jurídico en materia de seguridad pública.</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Coordinar acciones interinstitucionales para prevenir y atender los delitos.</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Prevenir y combatir la comisión de los delitos de alto impacto.</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Impulsar el respeto, defensa y protección de los derechos humanos, la igualdad de género y la cultura de paz, así como mecanismos alternativos de solución de controversias y programas de atención de víctimas y ofendidos del delito.</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Impulsar y fortalecer el ejercicio de la defensoría pública.</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Establecer estrategias para lograr la reinserción social efectiva.</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Fortalecer la infraestructura de las instituciones penitenciarias, la seguridad de las Personas Privadas de la libertad y de visitantes de los centros penitenciarios, así como la inteligencia penitenciaria.</w:t>
      </w:r>
    </w:p>
    <w:p w:rsidR="00A26CD3" w:rsidRPr="00662CD1" w:rsidRDefault="00A26CD3" w:rsidP="00F068E2">
      <w:pPr>
        <w:numPr>
          <w:ilvl w:val="0"/>
          <w:numId w:val="127"/>
        </w:numPr>
        <w:spacing w:after="0" w:line="240" w:lineRule="auto"/>
        <w:ind w:hanging="357"/>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Evaluar los riesgos y fortalecer la vigilancia y ejecución de medidas cautelares.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El gasto en seguridad pública es una prioridad urgente en el Estado y esta administración destina mayores recursos públicos para dotar de capacitación y mejores condiciones a sus policías y en las instituciones penitenciarias, atender y revertir la saturación del sistema, fortalecer la atención a las causas que generan inseguridad e impulsar políticas de prevención situacional para mejorar los entornos sociales.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Asimismo, este Proyecto plantea contar con un Sistema de Protección Civil resiliente y adaptado a las necesidades de la comunidad, capaz de enfrentar los riesgos derivados de la ocurrencia de fenómenos perturbadores, minimizar sus efectos y acelerar la recuperación de la normalidad, que tenga como estrategia principal  mitigar el impacto de fenómenos perturbadores, protegiendo a la población a través de acciones coordinadas de prevención, de respuesta oportuna a emergencias ocurridas por desastres naturales y antropogénicos.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En tal sentido, se considera una asignación de 100 millones de pesos para la Atención de Desastres y Siniestros Ambientales o Antropogénicos destinados a la atención de personas afectadas y daños causados a la infraestructura pública estatal por desastres naturales, así como para ejecutar acciones de prevención y mitigación del impacto en las finanzas estatales. Este Fondo prevé recursos para dar cumplimiento a lo dispuesto en el artículo 9 de la Ley de Disciplina Financiera de las Entidades Federativas y los Municipios.</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b/>
          <w:i/>
          <w:sz w:val="24"/>
          <w:szCs w:val="24"/>
          <w:lang w:val="es-ES"/>
        </w:rPr>
      </w:pPr>
      <w:r w:rsidRPr="00662CD1">
        <w:rPr>
          <w:rFonts w:ascii="Times New Roman" w:eastAsia="Bookman Old Style" w:hAnsi="Times New Roman" w:cs="Times New Roman"/>
          <w:b/>
          <w:i/>
          <w:sz w:val="24"/>
          <w:szCs w:val="24"/>
          <w:lang w:val="es-ES"/>
        </w:rPr>
        <w:t>Eje Transversal 3. Cumplimiento a los Objetivos de Desarrollo Sostenible</w:t>
      </w:r>
    </w:p>
    <w:p w:rsidR="00A26CD3" w:rsidRPr="00662CD1" w:rsidRDefault="00A26CD3" w:rsidP="00A26CD3">
      <w:pPr>
        <w:spacing w:after="0" w:line="240" w:lineRule="auto"/>
        <w:jc w:val="both"/>
        <w:rPr>
          <w:rFonts w:ascii="Times New Roman" w:eastAsia="Bookman Old Style" w:hAnsi="Times New Roman" w:cs="Times New Roman"/>
          <w:b/>
          <w:i/>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rPr>
      </w:pPr>
      <w:r w:rsidRPr="00662CD1">
        <w:rPr>
          <w:rFonts w:ascii="Times New Roman" w:eastAsia="Bookman Old Style" w:hAnsi="Times New Roman" w:cs="Times New Roman"/>
          <w:sz w:val="24"/>
          <w:szCs w:val="24"/>
          <w:lang w:val="es-ES"/>
        </w:rPr>
        <w:t xml:space="preserve">Cada acción de este gobierno incorpora Objetivos de Desarrollo Sostenible (ODS) </w:t>
      </w:r>
      <w:r w:rsidRPr="00662CD1">
        <w:rPr>
          <w:rFonts w:ascii="Times New Roman" w:eastAsia="Bookman Old Style" w:hAnsi="Times New Roman" w:cs="Times New Roman"/>
          <w:sz w:val="24"/>
          <w:szCs w:val="24"/>
        </w:rPr>
        <w:t xml:space="preserve">como marco transversal referencial y estructural de política pública, para asegurar que las acciones gubernamentales y los recursos públicos mantengan visión de impacto integral y buscando </w:t>
      </w:r>
      <w:r w:rsidRPr="00662CD1">
        <w:rPr>
          <w:rFonts w:ascii="Times New Roman" w:eastAsia="Bookman Old Style" w:hAnsi="Times New Roman" w:cs="Times New Roman"/>
          <w:sz w:val="24"/>
          <w:szCs w:val="24"/>
          <w:lang w:val="es-ES"/>
        </w:rPr>
        <w:t>se asignen de manera coherente con las metas globales de sostenibilidad y equidad</w:t>
      </w:r>
      <w:r w:rsidRPr="00662CD1">
        <w:rPr>
          <w:rFonts w:ascii="Times New Roman" w:eastAsia="Bookman Old Style" w:hAnsi="Times New Roman" w:cs="Times New Roman"/>
          <w:sz w:val="24"/>
          <w:szCs w:val="24"/>
        </w:rPr>
        <w:t>.</w:t>
      </w:r>
    </w:p>
    <w:p w:rsidR="00A26CD3" w:rsidRPr="00662CD1" w:rsidRDefault="00A26CD3" w:rsidP="00A26CD3">
      <w:pPr>
        <w:spacing w:after="0" w:line="240" w:lineRule="auto"/>
        <w:jc w:val="both"/>
        <w:rPr>
          <w:rFonts w:ascii="Times New Roman" w:eastAsia="Bookman Old Style" w:hAnsi="Times New Roman" w:cs="Times New Roman"/>
          <w:sz w:val="24"/>
          <w:szCs w:val="24"/>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rPr>
        <w:t xml:space="preserve">Se incorporan criterios de </w:t>
      </w:r>
      <w:r w:rsidRPr="00662CD1">
        <w:rPr>
          <w:rFonts w:ascii="Times New Roman" w:eastAsia="Bookman Old Style" w:hAnsi="Times New Roman" w:cs="Times New Roman"/>
          <w:sz w:val="24"/>
          <w:szCs w:val="24"/>
          <w:lang w:val="es-ES"/>
        </w:rPr>
        <w:t>sostenibilidad y equidad para promover la inclusión social, eficiencia en el uso de los recursos públicos, la rendición de cuentas y el desarrollo económico sostenible con responsabilidad intergeneracional. De esa forma, en cada oficina de gobierno y en cada una de las acciones de las personas servidoras públicas, se atiendan los compromisos que el Estado Mexicano ha suscrito.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lastRenderedPageBreak/>
        <w:t>El presente Proyecto reconoce a los Municipios como un aliado y primer receptor y traductor de necesidades ciudadanas, por lo que, se prevé, una asignación de recursos del Fondo Estatal de Fortalecimiento Municipal (FEFOM) por 2 mil 500 millones de pesos, los cuales buscan fortalecer la capacidad municipal para llevar a cabo inversión pública productiva que contribuya sustancialmente al desarrollo regional.</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 xml:space="preserve">El compromiso que se tiene en esta administración con el bienestar de las y los mexiquenses, se refleja en las políticas públicas orientadas a mejorar sus condiciones de vida, por ello, se propone mantener el subsidio al Impuesto Sobre Tenencia o Uso de Vehículos con matrícula estatal, en beneficio de las y los ciudadanos, propietarios de cualquier vehículo, siempre y cuando, cumplan con los requisitos establecidos en la normatividad vigente, ajustando los parámetros económicos </w:t>
      </w:r>
      <w:r w:rsidRPr="00662CD1">
        <w:rPr>
          <w:rFonts w:ascii="Times New Roman" w:eastAsia="Bookman Old Style" w:hAnsi="Times New Roman" w:cs="Times New Roman"/>
          <w:sz w:val="24"/>
          <w:szCs w:val="24"/>
        </w:rPr>
        <w:t>conforme a la evolución de mercado para no afectar a las familias mexiquenses</w:t>
      </w:r>
      <w:r w:rsidRPr="00662CD1">
        <w:rPr>
          <w:rFonts w:ascii="Times New Roman" w:eastAsia="Bookman Old Style" w:hAnsi="Times New Roman" w:cs="Times New Roman"/>
          <w:sz w:val="24"/>
          <w:szCs w:val="24"/>
          <w:lang w:val="es-ES"/>
        </w:rPr>
        <w:t>.</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Es necesario enfatizar que, el Estado de México trabajará de manera coordinada y complementaria con el Gobierno Federal, en la atención de las diversas problemáticas de la Entidad, lo cual permitirá optimizar recursos, evitar duplicidades y trazar un esquema de colaboración con mejores resultados y mayor impacto para las y los mexiquenses. Por ello, en varios sentidos, no son comparables los montos de asignación que hoy se presentan a los de ejercicios fiscales anteriores. La actual administración concibe al presupuesto como una herramienta para servir y no para simular, la prioridad es que los recursos públicos lleguen directamente a quienes más lo necesitan.</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Honorables Diputadas y Diputados, este Presupuesto de Egresos que se pone a su consideración, se elaboró priorizando el bienestar social y permitiendo cubrir las necesidades de la población del Estado de México, con base en experiencias identificadas en territorio, evitando hacerlo de forma inercial, sino enfocado a los objetivos establecidos en el Plan de Desarrollo del Estado de México.</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r w:rsidRPr="00662CD1">
        <w:rPr>
          <w:rFonts w:ascii="Times New Roman" w:eastAsia="Bookman Old Style" w:hAnsi="Times New Roman" w:cs="Times New Roman"/>
          <w:sz w:val="24"/>
          <w:szCs w:val="24"/>
          <w:lang w:val="es-ES"/>
        </w:rPr>
        <w:t>Esta administración asume el compromiso de que los recursos públicos que se asignen a los programas presupuestarios autorizados, se ejerzan bajo estricta observancia de la normativa en materia de racionalidad, disciplina, honradez, transparencia y rendición de cuentas, informándose oportunamente a la LXII Legislatura sobre su avance al ejercicio de recursos públicos, de conformidad con la normativa aplicable.</w:t>
      </w:r>
    </w:p>
    <w:p w:rsidR="00A26CD3" w:rsidRPr="00662CD1" w:rsidRDefault="00A26CD3" w:rsidP="00A26CD3">
      <w:pPr>
        <w:spacing w:after="0" w:line="240" w:lineRule="auto"/>
        <w:jc w:val="both"/>
        <w:rPr>
          <w:rFonts w:ascii="Times New Roman" w:eastAsia="Bookman Old Style" w:hAnsi="Times New Roman" w:cs="Times New Roman"/>
          <w:sz w:val="24"/>
          <w:szCs w:val="24"/>
          <w:lang w:val="es-ES"/>
        </w:rPr>
      </w:pPr>
    </w:p>
    <w:p w:rsidR="00A26CD3" w:rsidRPr="005733B4" w:rsidRDefault="00A26CD3" w:rsidP="00A26CD3">
      <w:pPr>
        <w:spacing w:after="0" w:line="240" w:lineRule="auto"/>
        <w:jc w:val="both"/>
        <w:rPr>
          <w:rFonts w:ascii="Times New Roman" w:eastAsia="Bookman Old Style" w:hAnsi="Times New Roman" w:cs="Times New Roman"/>
          <w:b/>
          <w:sz w:val="24"/>
          <w:szCs w:val="24"/>
        </w:rPr>
      </w:pPr>
      <w:r w:rsidRPr="005733B4">
        <w:rPr>
          <w:rFonts w:ascii="Times New Roman" w:eastAsia="Bookman Old Style" w:hAnsi="Times New Roman" w:cs="Times New Roman"/>
          <w:sz w:val="24"/>
          <w:szCs w:val="24"/>
          <w:lang w:val="es-ES"/>
        </w:rPr>
        <w:t>E</w:t>
      </w:r>
      <w:r w:rsidRPr="005733B4">
        <w:rPr>
          <w:rFonts w:ascii="Times New Roman" w:eastAsia="Bookman Old Style" w:hAnsi="Times New Roman" w:cs="Times New Roman"/>
          <w:sz w:val="24"/>
          <w:szCs w:val="24"/>
        </w:rPr>
        <w:t xml:space="preserve">n mérito de lo anterior, se solicita respetuosamente a esta H. </w:t>
      </w:r>
      <w:r w:rsidRPr="005733B4">
        <w:rPr>
          <w:rFonts w:ascii="Times New Roman" w:eastAsia="Bookman Old Style" w:hAnsi="Times New Roman" w:cs="Times New Roman"/>
          <w:sz w:val="24"/>
          <w:szCs w:val="24"/>
          <w:lang w:val="es-ES"/>
        </w:rPr>
        <w:t xml:space="preserve">Soberanía </w:t>
      </w:r>
      <w:r w:rsidRPr="005733B4">
        <w:rPr>
          <w:rFonts w:ascii="Times New Roman" w:eastAsia="Bookman Old Style" w:hAnsi="Times New Roman" w:cs="Times New Roman"/>
          <w:sz w:val="24"/>
          <w:szCs w:val="24"/>
        </w:rPr>
        <w:t>que, de considerarlo procedente</w:t>
      </w:r>
      <w:r w:rsidRPr="005733B4">
        <w:rPr>
          <w:rFonts w:ascii="Times New Roman" w:eastAsia="Bookman Old Style" w:hAnsi="Times New Roman" w:cs="Times New Roman"/>
          <w:sz w:val="24"/>
          <w:szCs w:val="24"/>
          <w:lang w:val="es-ES"/>
        </w:rPr>
        <w:t>, tengan a bien aprobar en sus términos, la siguiente Iniciativa de Proyecto de Presupuesto de Egresos del Gobierno del Estado de México para el Ejercicio Fiscal 2026.</w:t>
      </w:r>
    </w:p>
    <w:p w:rsidR="00A26CD3" w:rsidRPr="005733B4" w:rsidRDefault="00A26CD3" w:rsidP="00A26CD3">
      <w:pPr>
        <w:spacing w:after="0" w:line="240" w:lineRule="auto"/>
        <w:jc w:val="center"/>
        <w:rPr>
          <w:rFonts w:ascii="Times New Roman" w:eastAsia="Bookman Old Style" w:hAnsi="Times New Roman" w:cs="Times New Roman"/>
          <w:b/>
          <w:sz w:val="24"/>
          <w:szCs w:val="24"/>
        </w:rPr>
      </w:pPr>
    </w:p>
    <w:p w:rsidR="00A26CD3" w:rsidRPr="005733B4" w:rsidRDefault="00A26CD3" w:rsidP="00A26CD3">
      <w:pPr>
        <w:spacing w:after="0" w:line="240" w:lineRule="auto"/>
        <w:jc w:val="center"/>
        <w:rPr>
          <w:rFonts w:ascii="Times New Roman" w:eastAsia="Bookman Old Style" w:hAnsi="Times New Roman" w:cs="Times New Roman"/>
          <w:b/>
          <w:sz w:val="24"/>
          <w:szCs w:val="24"/>
        </w:rPr>
      </w:pPr>
    </w:p>
    <w:p w:rsidR="00A26CD3" w:rsidRPr="005733B4" w:rsidRDefault="00A26CD3" w:rsidP="00A26CD3">
      <w:pPr>
        <w:spacing w:after="0" w:line="240" w:lineRule="auto"/>
        <w:rPr>
          <w:rFonts w:ascii="Times New Roman" w:eastAsia="Calibri" w:hAnsi="Times New Roman" w:cs="Times New Roman"/>
          <w:b/>
          <w:bCs/>
          <w:kern w:val="2"/>
          <w:sz w:val="24"/>
          <w:szCs w:val="24"/>
          <w:lang w:val="es-ES_tradnl"/>
        </w:rPr>
      </w:pPr>
      <w:r w:rsidRPr="005733B4">
        <w:rPr>
          <w:rFonts w:ascii="Times New Roman" w:eastAsia="Calibri" w:hAnsi="Times New Roman" w:cs="Times New Roman"/>
          <w:b/>
          <w:bCs/>
          <w:kern w:val="2"/>
          <w:sz w:val="24"/>
          <w:szCs w:val="24"/>
          <w:lang w:val="es-ES_tradnl"/>
        </w:rPr>
        <w:t>DECRETO NÚMERO:</w:t>
      </w:r>
    </w:p>
    <w:p w:rsidR="00A26CD3" w:rsidRPr="005733B4" w:rsidRDefault="00A26CD3" w:rsidP="00A26CD3">
      <w:pPr>
        <w:spacing w:after="0" w:line="240" w:lineRule="auto"/>
        <w:jc w:val="both"/>
        <w:rPr>
          <w:rFonts w:ascii="Times New Roman" w:eastAsia="Calibri" w:hAnsi="Times New Roman" w:cs="Times New Roman"/>
          <w:b/>
          <w:bCs/>
          <w:kern w:val="2"/>
          <w:sz w:val="24"/>
          <w:szCs w:val="24"/>
          <w:lang w:val="es-ES_tradnl"/>
        </w:rPr>
      </w:pPr>
      <w:r w:rsidRPr="005733B4">
        <w:rPr>
          <w:rFonts w:ascii="Times New Roman" w:eastAsia="Calibri" w:hAnsi="Times New Roman" w:cs="Times New Roman"/>
          <w:b/>
          <w:bCs/>
          <w:kern w:val="2"/>
          <w:sz w:val="24"/>
          <w:szCs w:val="24"/>
          <w:lang w:val="es-ES_tradnl"/>
        </w:rPr>
        <w:t xml:space="preserve">LA H. “LXII” LEGISLATURA </w:t>
      </w:r>
    </w:p>
    <w:p w:rsidR="00A26CD3" w:rsidRPr="005733B4" w:rsidRDefault="00A26CD3" w:rsidP="00A26CD3">
      <w:pPr>
        <w:spacing w:after="0" w:line="240" w:lineRule="auto"/>
        <w:jc w:val="both"/>
        <w:rPr>
          <w:rFonts w:ascii="Times New Roman" w:eastAsia="Calibri" w:hAnsi="Times New Roman" w:cs="Times New Roman"/>
          <w:b/>
          <w:bCs/>
          <w:kern w:val="2"/>
          <w:sz w:val="24"/>
          <w:szCs w:val="24"/>
          <w:lang w:val="es-ES_tradnl"/>
        </w:rPr>
      </w:pPr>
      <w:r w:rsidRPr="005733B4">
        <w:rPr>
          <w:rFonts w:ascii="Times New Roman" w:eastAsia="Calibri" w:hAnsi="Times New Roman" w:cs="Times New Roman"/>
          <w:b/>
          <w:bCs/>
          <w:kern w:val="2"/>
          <w:sz w:val="24"/>
          <w:szCs w:val="24"/>
          <w:lang w:val="es-ES_tradnl"/>
        </w:rPr>
        <w:t>DEL ESTADO DE MÉXICO</w:t>
      </w:r>
    </w:p>
    <w:p w:rsidR="00A26CD3" w:rsidRPr="005733B4" w:rsidRDefault="00A26CD3" w:rsidP="00A26CD3">
      <w:pPr>
        <w:spacing w:after="0" w:line="240" w:lineRule="auto"/>
        <w:jc w:val="both"/>
        <w:rPr>
          <w:rFonts w:ascii="Times New Roman" w:eastAsia="Calibri" w:hAnsi="Times New Roman" w:cs="Times New Roman"/>
          <w:b/>
          <w:bCs/>
          <w:kern w:val="2"/>
          <w:sz w:val="24"/>
          <w:szCs w:val="24"/>
          <w:lang w:val="es-ES_tradnl"/>
        </w:rPr>
      </w:pPr>
      <w:r w:rsidRPr="005733B4">
        <w:rPr>
          <w:rFonts w:ascii="Times New Roman" w:eastAsia="Calibri" w:hAnsi="Times New Roman" w:cs="Times New Roman"/>
          <w:b/>
          <w:bCs/>
          <w:kern w:val="2"/>
          <w:sz w:val="24"/>
          <w:szCs w:val="24"/>
          <w:lang w:val="es-ES_tradnl"/>
        </w:rPr>
        <w:t>DECRETA:</w:t>
      </w:r>
    </w:p>
    <w:p w:rsidR="00A26CD3" w:rsidRPr="005733B4" w:rsidRDefault="00A26CD3" w:rsidP="00A26CD3">
      <w:pPr>
        <w:spacing w:after="0" w:line="240" w:lineRule="auto"/>
        <w:jc w:val="center"/>
        <w:rPr>
          <w:rFonts w:ascii="Times New Roman" w:eastAsia="Bookman Old Style" w:hAnsi="Times New Roman" w:cs="Times New Roman"/>
          <w:b/>
          <w:sz w:val="24"/>
          <w:szCs w:val="24"/>
        </w:rPr>
      </w:pPr>
    </w:p>
    <w:p w:rsidR="00A26CD3" w:rsidRPr="005733B4" w:rsidRDefault="00A26CD3" w:rsidP="00A26CD3">
      <w:pP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PRESUPUESTO DE EGRESOS DEL GOBIERNO DEL ESTADO</w:t>
      </w:r>
    </w:p>
    <w:p w:rsidR="00A26CD3" w:rsidRPr="005733B4" w:rsidRDefault="00A26CD3" w:rsidP="00A26CD3">
      <w:pP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DE MÉXICO PARA EL EJERCICIO FISCAL 2026</w:t>
      </w:r>
    </w:p>
    <w:p w:rsidR="00A26CD3" w:rsidRPr="005733B4" w:rsidRDefault="00A26CD3" w:rsidP="00A26CD3">
      <w:pPr>
        <w:spacing w:after="0" w:line="240" w:lineRule="auto"/>
        <w:jc w:val="center"/>
        <w:rPr>
          <w:rFonts w:ascii="Times New Roman" w:eastAsia="Bookman Old Style" w:hAnsi="Times New Roman" w:cs="Times New Roman"/>
          <w:b/>
          <w:sz w:val="24"/>
          <w:szCs w:val="24"/>
        </w:rPr>
      </w:pPr>
    </w:p>
    <w:p w:rsidR="00A26CD3" w:rsidRPr="005733B4" w:rsidRDefault="00A26CD3" w:rsidP="00A26CD3">
      <w:pP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TÍTULO PRIMERO</w:t>
      </w:r>
    </w:p>
    <w:p w:rsidR="00A26CD3" w:rsidRPr="005733B4" w:rsidRDefault="00A26CD3" w:rsidP="00A26CD3">
      <w:pP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DISPOSICIONES GENERALES</w:t>
      </w:r>
    </w:p>
    <w:p w:rsidR="00A26CD3" w:rsidRPr="005733B4" w:rsidRDefault="00A26CD3" w:rsidP="00A26CD3">
      <w:pPr>
        <w:spacing w:after="0" w:line="240" w:lineRule="auto"/>
        <w:jc w:val="center"/>
        <w:rPr>
          <w:rFonts w:ascii="Times New Roman" w:eastAsia="Bookman Old Style" w:hAnsi="Times New Roman" w:cs="Times New Roman"/>
          <w:b/>
          <w:sz w:val="24"/>
          <w:szCs w:val="24"/>
        </w:rPr>
      </w:pPr>
    </w:p>
    <w:p w:rsidR="00A26CD3" w:rsidRPr="005733B4" w:rsidRDefault="00A26CD3" w:rsidP="00A26CD3">
      <w:pP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CAPÍTULO I</w:t>
      </w:r>
    </w:p>
    <w:p w:rsidR="00A26CD3" w:rsidRPr="005733B4" w:rsidRDefault="00A26CD3" w:rsidP="00A26CD3">
      <w:pPr>
        <w:spacing w:after="0" w:line="240" w:lineRule="auto"/>
        <w:jc w:val="center"/>
        <w:rPr>
          <w:rFonts w:ascii="Times New Roman" w:eastAsia="Bookman Old Style" w:hAnsi="Times New Roman" w:cs="Times New Roman"/>
          <w:b/>
          <w:bCs/>
          <w:sz w:val="24"/>
          <w:szCs w:val="24"/>
        </w:rPr>
      </w:pPr>
      <w:r w:rsidRPr="005733B4">
        <w:rPr>
          <w:rFonts w:ascii="Times New Roman" w:eastAsia="Bookman Old Style" w:hAnsi="Times New Roman" w:cs="Times New Roman"/>
          <w:b/>
          <w:bCs/>
          <w:sz w:val="24"/>
          <w:szCs w:val="24"/>
        </w:rPr>
        <w:lastRenderedPageBreak/>
        <w:t>Principios rectores</w:t>
      </w:r>
    </w:p>
    <w:p w:rsidR="00A26CD3" w:rsidRPr="005733B4" w:rsidRDefault="00A26CD3" w:rsidP="00A26CD3">
      <w:pPr>
        <w:spacing w:after="0" w:line="240" w:lineRule="auto"/>
        <w:jc w:val="both"/>
        <w:rPr>
          <w:rFonts w:ascii="Times New Roman" w:eastAsia="Bookman Old Style" w:hAnsi="Times New Roman" w:cs="Times New Roman"/>
          <w:b/>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b/>
          <w:sz w:val="24"/>
          <w:szCs w:val="24"/>
        </w:rPr>
        <w:t>Artículo 1.</w:t>
      </w:r>
      <w:r w:rsidRPr="005733B4">
        <w:rPr>
          <w:rFonts w:ascii="Times New Roman" w:eastAsia="Bookman Old Style" w:hAnsi="Times New Roman" w:cs="Times New Roman"/>
          <w:sz w:val="24"/>
          <w:szCs w:val="24"/>
        </w:rPr>
        <w:t xml:space="preserve"> Los Entes Públicos, de acuerdo con su naturaleza y según corresponda, observarán durante el Ejercicio Fiscal 2026 las disposiciones contenidas en este ordenamiento, la Ley de Disciplina Financiera de las Entidades Federativas y los Municipios, la Ley General de Contabilidad Gubernamental, la Ley Federal de Presupuesto y Responsabilidad Hacendaria, la Ley de Coordinación Fiscal, el Código Financiero del Estado de México y Municipios, la Ley de Contratación Pública del Estado de México y Municipios, la Ley de Planeación del Estado de México y Municipios, así como las disposiciones normativas que en el marco de dichas leyes, se establezcan en otros ordenamientos, para efectos del ejercicio y control del gasto público estatal, así como en la evaluación en congruencia con los Criterios Generales de Política Económica emitidos por la Secretaría de Hacienda y Crédito Público correspondientes al Ejercicio Fiscal 2026.</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b/>
          <w:sz w:val="24"/>
          <w:szCs w:val="24"/>
        </w:rPr>
        <w:t>Artículo 2.</w:t>
      </w:r>
      <w:r w:rsidRPr="005733B4">
        <w:rPr>
          <w:rFonts w:ascii="Times New Roman" w:eastAsia="Bookman Old Style" w:hAnsi="Times New Roman" w:cs="Times New Roman"/>
          <w:sz w:val="24"/>
          <w:szCs w:val="24"/>
        </w:rPr>
        <w:t xml:space="preserve"> Toda disposición normativa </w:t>
      </w:r>
      <w:r w:rsidRPr="005733B4">
        <w:rPr>
          <w:rFonts w:ascii="Times New Roman" w:eastAsia="Bookman Old Style" w:hAnsi="Times New Roman" w:cs="Times New Roman"/>
          <w:color w:val="000000" w:themeColor="text1"/>
          <w:sz w:val="24"/>
          <w:szCs w:val="24"/>
        </w:rPr>
        <w:t xml:space="preserve">que implique la aprobación y ejecución de nuevas obligaciones financieras y requiera </w:t>
      </w:r>
      <w:r w:rsidRPr="005733B4">
        <w:rPr>
          <w:rFonts w:ascii="Times New Roman" w:eastAsia="Bookman Old Style" w:hAnsi="Times New Roman" w:cs="Times New Roman"/>
          <w:sz w:val="24"/>
          <w:szCs w:val="24"/>
        </w:rPr>
        <w:t>recursos adicionales a los asignados en el Presupuesto de Egresos del Gobierno del Estado de México, para el Ejercicio Fiscal 2026, deberá realizarse bajo el principio de balance presupuestario sostenible. Su aplicación se sujetará a la capacidad financiera del Estado y a la disponibilidad de recursos con la que se cuente conforme a lo establecido en la Ley de Ingresos del Estado de México para el Ejercicio Fiscal 2026, a las determinaciones de la Legislatura del Estado en el ámbito de su competencia y, en su caso, a la recaudación efectivamente generada en el Ejercicio Fiscal correspondiente, conforme a lo dispuesto en los artículos 8 y 16 de la Ley de Disciplina Financiera de las Entidades Federativas y los Municipios, así como en el artículo 288 del Código Financiero del Estado de México y Municipios, además de los objetivos, estrategias y líneas de acción contenidos en el Plan de Desarrollo del Estado de México vigente.</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b/>
          <w:sz w:val="24"/>
          <w:szCs w:val="24"/>
        </w:rPr>
        <w:t>Artículo 3</w:t>
      </w:r>
      <w:r w:rsidRPr="005733B4">
        <w:rPr>
          <w:rFonts w:ascii="Times New Roman" w:eastAsia="Bookman Old Style" w:hAnsi="Times New Roman" w:cs="Times New Roman"/>
          <w:sz w:val="24"/>
          <w:szCs w:val="24"/>
        </w:rPr>
        <w:t>. El ejercicio del gasto público estatal se regirá por el principio de anualidad, por tanto, lo autorizado en el presente Decreto tendrá vigencia únicamente durante el Ejercicio Fiscal 2026. Asimismo, deberá observar los criterios de objetividad, equidad, austeridad, transparencia, máxima publicidad, selectividad, eficiencia, eficacia, legalidad y honradez, así como a los principios rectores del servicio público establecidos en la Ley de Responsabilidades Administrativas del Estado de México y Municipios y en la Ley del Sistema Anticorrupción del Estado de México y Municipios.</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Los Entes Públicos deberán sujetarse a las políticas y disposiciones rectoras en materia de control presupuestario que determine la Secretaría de Finanzas, de conformidad con las atribuciones que le confieren los artículos 28 y 29 fracción XXIV de la Ley Orgánica de la Administración Pública del Estado de México, con el fin de generar un Balance Presupuestario Sostenible.</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b/>
          <w:sz w:val="24"/>
          <w:szCs w:val="24"/>
        </w:rPr>
        <w:t>Artículo 4</w:t>
      </w:r>
      <w:r w:rsidRPr="005733B4">
        <w:rPr>
          <w:rFonts w:ascii="Times New Roman" w:eastAsia="Bookman Old Style" w:hAnsi="Times New Roman" w:cs="Times New Roman"/>
          <w:b/>
          <w:color w:val="000000"/>
          <w:sz w:val="24"/>
          <w:szCs w:val="24"/>
        </w:rPr>
        <w:t>.</w:t>
      </w:r>
      <w:r w:rsidRPr="005733B4">
        <w:rPr>
          <w:rFonts w:ascii="Times New Roman" w:eastAsia="Bookman Old Style" w:hAnsi="Times New Roman" w:cs="Times New Roman"/>
          <w:color w:val="000000"/>
          <w:sz w:val="24"/>
          <w:szCs w:val="24"/>
        </w:rPr>
        <w:t xml:space="preserve"> Corresponde al Poder Legislativo </w:t>
      </w:r>
      <w:r w:rsidRPr="005733B4">
        <w:rPr>
          <w:rFonts w:ascii="Times New Roman" w:eastAsia="Bookman Old Style" w:hAnsi="Times New Roman" w:cs="Times New Roman"/>
          <w:sz w:val="24"/>
          <w:szCs w:val="24"/>
        </w:rPr>
        <w:t xml:space="preserve">a través de sus órganos competentes, y al Poder Ejecutivo por conducto de la Secretarías de Finanzas y de la Contraloría, en el ámbito de sus respectivas competencias, cumplir y hacer cumplir el presente Decreto, observando los principios de racionalidad, austeridad y disciplina presupuestaria, así como las normas y procedimientos administrativos que aseguren la transparencia y control del gasto público estatal. </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La interpretación del presente Presupuesto de Egresos del Gobierno del Estado de México, para efectos administrativos y únicamente respecto de la competencia del Poder Ejecutivo Estatal, corresponde a las Secretarías de Finanzas y de la Contraloría, en el ámbito de sus respectivas atribuciones, conforme a la normativa aplicable.</w:t>
      </w:r>
    </w:p>
    <w:p w:rsidR="00A26CD3" w:rsidRPr="005733B4" w:rsidRDefault="00A26CD3" w:rsidP="00A26CD3">
      <w:pPr>
        <w:pBdr>
          <w:top w:val="nil"/>
          <w:left w:val="nil"/>
          <w:bottom w:val="nil"/>
          <w:right w:val="nil"/>
          <w:between w:val="nil"/>
        </w:pBdr>
        <w:spacing w:after="0" w:line="240" w:lineRule="auto"/>
        <w:rPr>
          <w:rFonts w:ascii="Times New Roman" w:eastAsia="Bookman Old Style" w:hAnsi="Times New Roman" w:cs="Times New Roman"/>
          <w:b/>
          <w:sz w:val="24"/>
          <w:szCs w:val="24"/>
        </w:rPr>
      </w:pPr>
    </w:p>
    <w:p w:rsidR="00A26CD3" w:rsidRPr="005733B4" w:rsidRDefault="00A26CD3" w:rsidP="00A26CD3">
      <w:pPr>
        <w:pBdr>
          <w:top w:val="nil"/>
          <w:left w:val="nil"/>
          <w:bottom w:val="nil"/>
          <w:right w:val="nil"/>
          <w:between w:val="nil"/>
        </w:pBd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b/>
          <w:sz w:val="24"/>
          <w:szCs w:val="24"/>
        </w:rPr>
        <w:lastRenderedPageBreak/>
        <w:t xml:space="preserve">Artículo 5. </w:t>
      </w:r>
      <w:r w:rsidRPr="005733B4">
        <w:rPr>
          <w:rFonts w:ascii="Times New Roman" w:eastAsia="Bookman Old Style" w:hAnsi="Times New Roman" w:cs="Times New Roman"/>
          <w:sz w:val="24"/>
          <w:szCs w:val="24"/>
        </w:rPr>
        <w:t>En cumplimiento al Plan de Desarrollo del Estado de México, el presente Decreto se encuentra alineado al cumplimiento con los Objetivos de Desarrollo Sostenible (ODS), mediante los programas y proyectos presupuestarios enfocándose hacia la reducción de la pobreza, la sostenibilidad ambiental, la igualdad de género y la mejora del bienestar social, salud y educación, en beneficio de la población mexiquense, entre otros, los cuales pueden ser visualizados en el “</w:t>
      </w:r>
      <w:r w:rsidRPr="005733B4">
        <w:rPr>
          <w:rFonts w:ascii="Times New Roman" w:eastAsia="Bookman Old Style" w:hAnsi="Times New Roman" w:cs="Times New Roman"/>
          <w:b/>
          <w:bCs/>
          <w:sz w:val="24"/>
          <w:szCs w:val="24"/>
        </w:rPr>
        <w:t xml:space="preserve">Anexo I Alineación de los programas presupuestarios a los Objetivos del Desarrollo Sostenible” </w:t>
      </w:r>
      <w:r w:rsidRPr="005733B4">
        <w:rPr>
          <w:rFonts w:ascii="Times New Roman" w:eastAsia="Bookman Old Style" w:hAnsi="Times New Roman" w:cs="Times New Roman"/>
          <w:sz w:val="24"/>
          <w:szCs w:val="24"/>
        </w:rPr>
        <w:t>del presente Decreto.</w:t>
      </w:r>
      <w:r w:rsidRPr="005733B4">
        <w:rPr>
          <w:rFonts w:ascii="Times New Roman" w:eastAsia="Bookman Old Style" w:hAnsi="Times New Roman" w:cs="Times New Roman"/>
          <w:b/>
          <w:sz w:val="24"/>
          <w:szCs w:val="24"/>
        </w:rPr>
        <w:t xml:space="preserve"> </w:t>
      </w:r>
    </w:p>
    <w:p w:rsidR="00A26CD3" w:rsidRPr="005733B4" w:rsidRDefault="00A26CD3" w:rsidP="00A26CD3">
      <w:pPr>
        <w:pBdr>
          <w:top w:val="nil"/>
          <w:left w:val="nil"/>
          <w:bottom w:val="nil"/>
          <w:right w:val="nil"/>
          <w:between w:val="nil"/>
        </w:pBd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 xml:space="preserve">CAPÍTULO II </w:t>
      </w:r>
    </w:p>
    <w:p w:rsidR="00A26CD3" w:rsidRPr="005733B4" w:rsidRDefault="00A26CD3" w:rsidP="00A26CD3">
      <w:pP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 xml:space="preserve">Definiciones y términos </w:t>
      </w:r>
    </w:p>
    <w:p w:rsidR="00A26CD3" w:rsidRPr="005733B4" w:rsidRDefault="00A26CD3" w:rsidP="00A26CD3">
      <w:pPr>
        <w:spacing w:after="0" w:line="240" w:lineRule="auto"/>
        <w:jc w:val="center"/>
        <w:rPr>
          <w:rFonts w:ascii="Times New Roman" w:eastAsia="Bookman Old Style" w:hAnsi="Times New Roman" w:cs="Times New Roman"/>
          <w:sz w:val="24"/>
          <w:szCs w:val="24"/>
        </w:rPr>
      </w:pPr>
    </w:p>
    <w:p w:rsidR="00A26CD3" w:rsidRPr="005733B4" w:rsidRDefault="00A26CD3" w:rsidP="00A26CD3">
      <w:pPr>
        <w:spacing w:after="0" w:line="240" w:lineRule="auto"/>
        <w:jc w:val="both"/>
        <w:rPr>
          <w:rFonts w:ascii="Times New Roman" w:eastAsia="Bookman Old Style" w:hAnsi="Times New Roman" w:cs="Times New Roman"/>
          <w:color w:val="000000"/>
          <w:sz w:val="24"/>
          <w:szCs w:val="24"/>
        </w:rPr>
      </w:pPr>
      <w:r w:rsidRPr="005733B4">
        <w:rPr>
          <w:rFonts w:ascii="Times New Roman" w:eastAsia="Bookman Old Style" w:hAnsi="Times New Roman" w:cs="Times New Roman"/>
          <w:b/>
          <w:sz w:val="24"/>
          <w:szCs w:val="24"/>
        </w:rPr>
        <w:t>Artículo 6</w:t>
      </w:r>
      <w:r w:rsidRPr="005733B4">
        <w:rPr>
          <w:rFonts w:ascii="Times New Roman" w:eastAsia="Bookman Old Style" w:hAnsi="Times New Roman" w:cs="Times New Roman"/>
          <w:b/>
          <w:color w:val="000000"/>
          <w:sz w:val="24"/>
          <w:szCs w:val="24"/>
        </w:rPr>
        <w:t xml:space="preserve">. </w:t>
      </w:r>
      <w:r w:rsidRPr="005733B4">
        <w:rPr>
          <w:rFonts w:ascii="Times New Roman" w:eastAsia="Bookman Old Style" w:hAnsi="Times New Roman" w:cs="Times New Roman"/>
          <w:color w:val="000000"/>
          <w:sz w:val="24"/>
          <w:szCs w:val="24"/>
        </w:rPr>
        <w:t xml:space="preserve">Para efectos del presente Decreto se entenderá por los conceptos y términos utilizados en su contenido, lo siguiente: </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4C0EF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Adecuaciones Presupuestarias: </w:t>
      </w:r>
      <w:r w:rsidR="00A26CD3" w:rsidRPr="005733B4">
        <w:rPr>
          <w:rFonts w:ascii="Times New Roman" w:eastAsia="Bookman Old Style" w:hAnsi="Times New Roman" w:cs="Times New Roman"/>
          <w:sz w:val="24"/>
          <w:szCs w:val="24"/>
          <w:lang w:val="es-ES_tradnl"/>
        </w:rPr>
        <w:t>Modificaciones de las estructuras funcional programática, administrativa y económica, a los calendarios, las ampliaciones y reducciones al Presupuesto de Egresos del Gobierno del Estado de México;</w:t>
      </w:r>
    </w:p>
    <w:p w:rsidR="00A26CD3" w:rsidRPr="005733B4" w:rsidRDefault="00A26CD3" w:rsidP="00B07288">
      <w:pPr>
        <w:pBdr>
          <w:top w:val="nil"/>
          <w:left w:val="nil"/>
          <w:bottom w:val="nil"/>
          <w:right w:val="nil"/>
          <w:between w:val="nil"/>
        </w:pBdr>
        <w:spacing w:after="0" w:line="240" w:lineRule="auto"/>
        <w:ind w:left="720" w:hanging="720"/>
        <w:contextualSpacing/>
        <w:jc w:val="both"/>
        <w:rPr>
          <w:rFonts w:ascii="Times New Roman" w:eastAsia="Bookman Old Style" w:hAnsi="Times New Roman" w:cs="Times New Roman"/>
          <w:sz w:val="24"/>
          <w:szCs w:val="24"/>
          <w:lang w:val="es-ES_tradnl"/>
        </w:rPr>
      </w:pPr>
    </w:p>
    <w:p w:rsidR="00A26CD3" w:rsidRPr="005733B4" w:rsidRDefault="004C0EF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ADEFAS:  </w:t>
      </w:r>
      <w:r w:rsidR="00A26CD3" w:rsidRPr="005733B4">
        <w:rPr>
          <w:rFonts w:ascii="Times New Roman" w:eastAsia="Bookman Old Style" w:hAnsi="Times New Roman" w:cs="Times New Roman"/>
          <w:bCs/>
          <w:sz w:val="24"/>
          <w:szCs w:val="24"/>
          <w:lang w:val="es-ES_tradnl"/>
        </w:rPr>
        <w:t>Adeudos del Ejercicio Fiscal Anterior, previstos para cubrir los compromisos pendientes de pagar, que hayan sido devengados y debidamente contabilizados al 31 de diciembre, derivados de la contratación de bienes y servicios e inversión pública, requeridos para el desempeño de las funciones de los Entes Públicos, para ser liquidados en el ejercicio inmediato posterior;</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kern w:val="2"/>
          <w:sz w:val="24"/>
          <w:szCs w:val="24"/>
        </w:rPr>
      </w:pPr>
    </w:p>
    <w:p w:rsidR="00A26CD3" w:rsidRPr="005733B4" w:rsidRDefault="004C0EF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Ahorro Presupuestario: </w:t>
      </w:r>
      <w:r w:rsidR="00A26CD3" w:rsidRPr="005733B4">
        <w:rPr>
          <w:rFonts w:ascii="Times New Roman" w:eastAsia="Bookman Old Style" w:hAnsi="Times New Roman" w:cs="Times New Roman"/>
          <w:bCs/>
          <w:sz w:val="24"/>
          <w:szCs w:val="24"/>
          <w:lang w:val="es-ES_tradnl"/>
        </w:rPr>
        <w:t>Remanentes de recursos generados durante la vigencia del presupuesto, una vez que se hayan cumplido los programas y las metas establecidas;</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Amortización de la Deuda y Disminución de Pasivos:</w:t>
      </w:r>
      <w:r w:rsidR="00A26CD3" w:rsidRPr="005733B4">
        <w:rPr>
          <w:rFonts w:ascii="Times New Roman" w:eastAsia="Bookman Old Style" w:hAnsi="Times New Roman" w:cs="Times New Roman"/>
          <w:sz w:val="24"/>
          <w:szCs w:val="24"/>
          <w:lang w:val="es-ES_tradnl"/>
        </w:rPr>
        <w:t xml:space="preserve"> Cancelación mediante pago o cualquier forma por la cual se extinga la obligación principal de los pasivos contraídos por el Gobierno del Estado de México;</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Asignaciones Presupuestales:</w:t>
      </w:r>
      <w:r w:rsidR="00A26CD3" w:rsidRPr="005733B4">
        <w:rPr>
          <w:rFonts w:ascii="Times New Roman" w:eastAsia="Bookman Old Style" w:hAnsi="Times New Roman" w:cs="Times New Roman"/>
          <w:sz w:val="24"/>
          <w:szCs w:val="24"/>
          <w:lang w:val="es-ES_tradnl"/>
        </w:rPr>
        <w:t xml:space="preserve"> Ministración de los recursos públicos aprobados por la Legislatura del Estado mediante el Presupuesto de Egresos del Gobierno del Estado de México para el Ejercicio Fiscal, que realiza el Ejecutivo Estatal a través de la Secretaría de Finanzas a los Ejecutores del Gasto;</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Asociación Público-Privada:</w:t>
      </w:r>
      <w:r w:rsidR="00A26CD3" w:rsidRPr="005733B4">
        <w:rPr>
          <w:rFonts w:ascii="Times New Roman" w:eastAsia="Bookman Old Style" w:hAnsi="Times New Roman" w:cs="Times New Roman"/>
          <w:sz w:val="24"/>
          <w:szCs w:val="24"/>
          <w:lang w:val="es-ES_tradnl"/>
        </w:rPr>
        <w:t xml:space="preserve"> A las previstas en la Ley de Asociaciones Público Privadas o en la Ley de Asociaciones Público Privadas del Estado de México y Municipios, incluyendo los proyectos de prestación de servicios o cualquier esquema similar de carácter local, independientemente de la denominación que se utilice;</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Balance Presupuestario:</w:t>
      </w:r>
      <w:r w:rsidR="00A26CD3" w:rsidRPr="005733B4">
        <w:rPr>
          <w:rFonts w:ascii="Times New Roman" w:eastAsia="Bookman Old Style" w:hAnsi="Times New Roman" w:cs="Times New Roman"/>
          <w:sz w:val="24"/>
          <w:szCs w:val="24"/>
          <w:lang w:val="es-ES_tradnl"/>
        </w:rPr>
        <w:t xml:space="preserve"> Diferencia entre los ingresos totales incluidos en la Ley de Ingresos del Estado de México para el Ejercicio Fiscal y los gastos totales considerados en el Presupuesto de Egresos, con excepción de la amortización de la deuda;</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Balance Presupuestario Sostenible:</w:t>
      </w:r>
      <w:r w:rsidR="00A26CD3" w:rsidRPr="005733B4">
        <w:rPr>
          <w:rFonts w:ascii="Times New Roman" w:eastAsia="Bookman Old Style" w:hAnsi="Times New Roman" w:cs="Times New Roman"/>
          <w:sz w:val="24"/>
          <w:szCs w:val="24"/>
          <w:lang w:val="es-ES_tradnl"/>
        </w:rPr>
        <w:t xml:space="preserve"> Balance presupuestario que, al cierre del Ejercicio Fiscal y </w:t>
      </w:r>
      <w:r w:rsidR="00A26CD3" w:rsidRPr="005733B4">
        <w:rPr>
          <w:rFonts w:ascii="Times New Roman" w:eastAsia="Bookman Old Style" w:hAnsi="Times New Roman" w:cs="Times New Roman"/>
          <w:bCs/>
          <w:sz w:val="24"/>
          <w:szCs w:val="24"/>
          <w:lang w:val="es-ES_tradnl"/>
        </w:rPr>
        <w:t>bajo</w:t>
      </w:r>
      <w:r w:rsidR="00A26CD3" w:rsidRPr="005733B4">
        <w:rPr>
          <w:rFonts w:ascii="Times New Roman" w:eastAsia="Bookman Old Style" w:hAnsi="Times New Roman" w:cs="Times New Roman"/>
          <w:sz w:val="24"/>
          <w:szCs w:val="24"/>
          <w:lang w:val="es-ES_tradnl"/>
        </w:rPr>
        <w:t xml:space="preserve"> el momento contable devengado, resulte mayor o igual a cero;</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Cs/>
          <w:sz w:val="24"/>
          <w:szCs w:val="24"/>
          <w:lang w:val="es-ES_tradnl"/>
        </w:rPr>
      </w:pPr>
      <w:r>
        <w:rPr>
          <w:rFonts w:ascii="Times New Roman" w:eastAsia="Bookman Old Style" w:hAnsi="Times New Roman" w:cs="Times New Roman"/>
          <w:b/>
          <w:bCs/>
          <w:sz w:val="24"/>
          <w:szCs w:val="24"/>
          <w:lang w:val="es-ES_tradnl"/>
        </w:rPr>
        <w:t xml:space="preserve"> </w:t>
      </w:r>
      <w:r w:rsidR="00A26CD3" w:rsidRPr="005733B4">
        <w:rPr>
          <w:rFonts w:ascii="Times New Roman" w:eastAsia="Bookman Old Style" w:hAnsi="Times New Roman" w:cs="Times New Roman"/>
          <w:b/>
          <w:bCs/>
          <w:sz w:val="24"/>
          <w:szCs w:val="24"/>
          <w:lang w:val="es-ES_tradnl"/>
        </w:rPr>
        <w:t xml:space="preserve">Calendario: </w:t>
      </w:r>
      <w:r w:rsidR="00A26CD3" w:rsidRPr="005733B4">
        <w:rPr>
          <w:rFonts w:ascii="Times New Roman" w:eastAsia="Bookman Old Style" w:hAnsi="Times New Roman" w:cs="Times New Roman"/>
          <w:bCs/>
          <w:sz w:val="24"/>
          <w:szCs w:val="24"/>
          <w:lang w:val="es-ES_tradnl"/>
        </w:rPr>
        <w:t xml:space="preserve">Calendario Programático-Presupuestario; </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Cs/>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Capítulo de Gasto: </w:t>
      </w:r>
      <w:r w:rsidR="00A26CD3" w:rsidRPr="005733B4">
        <w:rPr>
          <w:rFonts w:ascii="Times New Roman" w:eastAsia="Bookman Old Style" w:hAnsi="Times New Roman" w:cs="Times New Roman"/>
          <w:bCs/>
          <w:sz w:val="24"/>
          <w:szCs w:val="24"/>
          <w:lang w:val="es-ES_tradnl"/>
        </w:rPr>
        <w:t>Es el mayor nivel de agregación que identifica el conjunto homogéneo y ordenado de los bienes y servicios requeridos por los entes públicos, conforme a la Clasificación por Objeto del Gasto emitida por el Consejo Nacional de Armonización Contable;</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Clasificación Administrativa: </w:t>
      </w:r>
      <w:r w:rsidR="00A26CD3" w:rsidRPr="005733B4">
        <w:rPr>
          <w:rFonts w:ascii="Times New Roman" w:eastAsia="Bookman Old Style" w:hAnsi="Times New Roman" w:cs="Times New Roman"/>
          <w:sz w:val="24"/>
          <w:szCs w:val="24"/>
          <w:lang w:val="es-ES_tradnl"/>
        </w:rPr>
        <w:t>Identificación presupuestal asignada a las unidades administrativas responsables del ejercicio del gasto;</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Clasificación Funcional Programática: </w:t>
      </w:r>
      <w:r w:rsidR="00A26CD3" w:rsidRPr="005733B4">
        <w:rPr>
          <w:rFonts w:ascii="Times New Roman" w:eastAsia="Bookman Old Style" w:hAnsi="Times New Roman" w:cs="Times New Roman"/>
          <w:bCs/>
          <w:sz w:val="24"/>
          <w:szCs w:val="24"/>
          <w:lang w:val="es-ES_tradnl"/>
        </w:rPr>
        <w:t>Presentación del Presupuesto según la naturaleza de los servicios gubernamentales brindados a la población, que permite organizar, en forma representativa y homogénea, los recursos en los Programas presupuestarios;</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Cs/>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Clasificación Económica:</w:t>
      </w:r>
      <w:r w:rsidR="00A26CD3" w:rsidRPr="005733B4">
        <w:rPr>
          <w:rFonts w:ascii="Times New Roman" w:eastAsia="Bookman Old Style" w:hAnsi="Times New Roman" w:cs="Times New Roman"/>
          <w:sz w:val="24"/>
          <w:szCs w:val="24"/>
          <w:lang w:val="es-ES_tradnl"/>
        </w:rPr>
        <w:t xml:space="preserve"> </w:t>
      </w:r>
      <w:r w:rsidR="00A26CD3" w:rsidRPr="005733B4">
        <w:rPr>
          <w:rFonts w:ascii="Times New Roman" w:eastAsia="Bookman Old Style" w:hAnsi="Times New Roman" w:cs="Times New Roman"/>
          <w:bCs/>
          <w:sz w:val="24"/>
          <w:szCs w:val="24"/>
          <w:lang w:val="es-ES_tradnl"/>
        </w:rPr>
        <w:t>Estructura que presenta el presupuesto en función del objeto del gasto, mediante su agrupación en capítulos;</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Clasificación por Fuente de Financiamiento:</w:t>
      </w:r>
      <w:r w:rsidR="00A26CD3" w:rsidRPr="005733B4">
        <w:rPr>
          <w:rFonts w:ascii="Times New Roman" w:eastAsia="Bookman Old Style" w:hAnsi="Times New Roman" w:cs="Times New Roman"/>
          <w:sz w:val="24"/>
          <w:szCs w:val="24"/>
          <w:lang w:val="es-ES_tradnl"/>
        </w:rPr>
        <w:t xml:space="preserve"> Identificación de la fuente u origen del ingreso que financia el gasto y precisa la orientación específica de cada fuente a efecto de controlar su aplicación;</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Cs/>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Clave Presupuestaria: </w:t>
      </w:r>
      <w:r w:rsidR="00A26CD3" w:rsidRPr="005733B4">
        <w:rPr>
          <w:rFonts w:ascii="Times New Roman" w:eastAsia="Bookman Old Style" w:hAnsi="Times New Roman" w:cs="Times New Roman"/>
          <w:bCs/>
          <w:sz w:val="24"/>
          <w:szCs w:val="24"/>
          <w:lang w:val="es-ES_tradnl"/>
        </w:rPr>
        <w:t xml:space="preserve">Agrupación de los componentes de las clasificaciones administrativa, funcional, programática y económica; que identifica, ordena y consolida en un registro, la información de dichas clasificaciones, y vincula las asignaciones que se determinan durante la programación, integración y aprobación del Presupuesto de Egresos del Gobierno del Estado de México con las etapas de control y las de ejecución y seguimiento del ejercicio del gasto; </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Código: </w:t>
      </w:r>
      <w:r w:rsidR="00A26CD3" w:rsidRPr="005733B4">
        <w:rPr>
          <w:rFonts w:ascii="Times New Roman" w:eastAsia="Bookman Old Style" w:hAnsi="Times New Roman" w:cs="Times New Roman"/>
          <w:bCs/>
          <w:sz w:val="24"/>
          <w:szCs w:val="24"/>
          <w:lang w:val="es-ES_tradnl"/>
        </w:rPr>
        <w:t>Código Financiero del Estado de México y Municipios;</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984E1E"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Contraloría:</w:t>
      </w:r>
      <w:r w:rsidR="00A26CD3" w:rsidRPr="005733B4">
        <w:rPr>
          <w:rFonts w:ascii="Times New Roman" w:eastAsia="Bookman Old Style" w:hAnsi="Times New Roman" w:cs="Times New Roman"/>
          <w:sz w:val="24"/>
          <w:szCs w:val="24"/>
          <w:lang w:val="es-ES_tradnl"/>
        </w:rPr>
        <w:t xml:space="preserve"> Secretaría de la Contraloría;</w:t>
      </w:r>
    </w:p>
    <w:p w:rsidR="00A26CD3" w:rsidRPr="005733B4" w:rsidRDefault="00A26CD3" w:rsidP="00B07288">
      <w:pPr>
        <w:spacing w:after="0" w:line="240" w:lineRule="auto"/>
        <w:ind w:left="720" w:hanging="720"/>
        <w:contextualSpacing/>
        <w:rPr>
          <w:rFonts w:ascii="Times New Roman" w:eastAsia="Bookman Old Style" w:hAnsi="Times New Roman" w:cs="Times New Roman"/>
          <w:sz w:val="24"/>
          <w:szCs w:val="24"/>
          <w:lang w:val="es-ES_tradnl"/>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CONAC:</w:t>
      </w:r>
      <w:r w:rsidR="00A26CD3" w:rsidRPr="005733B4">
        <w:rPr>
          <w:rFonts w:ascii="Times New Roman" w:eastAsia="Bookman Old Style" w:hAnsi="Times New Roman" w:cs="Times New Roman"/>
          <w:sz w:val="24"/>
          <w:szCs w:val="24"/>
          <w:lang w:val="es-ES_tradnl"/>
        </w:rPr>
        <w:t xml:space="preserve"> Consejo Nacional de Armonización Contable;</w:t>
      </w:r>
    </w:p>
    <w:p w:rsidR="00A26CD3" w:rsidRPr="005733B4" w:rsidRDefault="00A26CD3" w:rsidP="00B07288">
      <w:pP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Cuenta Pública:</w:t>
      </w:r>
      <w:r w:rsidR="00A26CD3" w:rsidRPr="005733B4">
        <w:rPr>
          <w:rFonts w:ascii="Times New Roman" w:eastAsia="Bookman Old Style" w:hAnsi="Times New Roman" w:cs="Times New Roman"/>
          <w:sz w:val="24"/>
          <w:szCs w:val="24"/>
          <w:lang w:val="es-ES_tradnl"/>
        </w:rPr>
        <w:t xml:space="preserve"> Documento que se integra por la información económica, patrimonial, programática, cualitativa y cuantitativa que muestra los resultados de la ejecución de la Ley de Ingresos del Estado de México y el Presupuesto de Egresos del Gobierno del Estado de México de un Ejercicio Fiscal determinado, conforme a lo dispuesto por la Ley General de Contabilidad Gubernamental;</w:t>
      </w:r>
    </w:p>
    <w:p w:rsidR="00A26CD3" w:rsidRPr="005733B4" w:rsidRDefault="00A26CD3" w:rsidP="00B07288">
      <w:pP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Cs/>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Dependencias: </w:t>
      </w:r>
      <w:r w:rsidR="00A26CD3" w:rsidRPr="005733B4">
        <w:rPr>
          <w:rFonts w:ascii="Times New Roman" w:eastAsia="Bookman Old Style" w:hAnsi="Times New Roman" w:cs="Times New Roman"/>
          <w:bCs/>
          <w:sz w:val="24"/>
          <w:szCs w:val="24"/>
          <w:lang w:val="es-ES_tradnl"/>
        </w:rPr>
        <w:t>Instituciones públicas subordinadas en forma directa al Poder Ejecutivo Estatal, incluyendo a sus Unidades de Apoyo Administrativo y Órganos Administrativos Desconcentrados, en el ejercicio de sus atribuciones y para el despacho de los asuntos encomendados;</w:t>
      </w:r>
      <w:r w:rsidR="00A26CD3" w:rsidRPr="005733B4">
        <w:rPr>
          <w:rFonts w:ascii="Times New Roman" w:eastAsia="Bookman Old Style" w:hAnsi="Times New Roman" w:cs="Times New Roman"/>
          <w:b/>
          <w:sz w:val="24"/>
          <w:szCs w:val="24"/>
          <w:lang w:val="es-ES_tradnl"/>
        </w:rPr>
        <w:t xml:space="preserve"> </w:t>
      </w:r>
    </w:p>
    <w:p w:rsidR="00A26CD3" w:rsidRPr="005733B4" w:rsidRDefault="00A26CD3" w:rsidP="00B07288">
      <w:pP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Deuda Pública: </w:t>
      </w:r>
      <w:r w:rsidR="00A26CD3" w:rsidRPr="005733B4">
        <w:rPr>
          <w:rFonts w:ascii="Times New Roman" w:eastAsia="Bookman Old Style" w:hAnsi="Times New Roman" w:cs="Times New Roman"/>
          <w:sz w:val="24"/>
          <w:szCs w:val="24"/>
          <w:lang w:val="es-ES_tradnl"/>
        </w:rPr>
        <w:t>A cualquier financiamiento contratado por los Entes Públicos;</w:t>
      </w:r>
    </w:p>
    <w:p w:rsidR="00A26CD3" w:rsidRPr="005733B4" w:rsidRDefault="00A26CD3" w:rsidP="00B07288">
      <w:pPr>
        <w:spacing w:after="0" w:line="240" w:lineRule="auto"/>
        <w:ind w:left="720" w:hanging="720"/>
        <w:contextualSpacing/>
        <w:rPr>
          <w:rFonts w:ascii="Times New Roman" w:eastAsia="Bookman Old Style" w:hAnsi="Times New Roman" w:cs="Times New Roman"/>
          <w:sz w:val="24"/>
          <w:szCs w:val="24"/>
          <w:lang w:val="es-ES_tradnl"/>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bCs/>
          <w:sz w:val="24"/>
          <w:szCs w:val="24"/>
          <w:lang w:val="es-ES_tradnl"/>
        </w:rPr>
        <w:t xml:space="preserve"> </w:t>
      </w:r>
      <w:r w:rsidR="00A26CD3" w:rsidRPr="005733B4">
        <w:rPr>
          <w:rFonts w:ascii="Times New Roman" w:eastAsia="Bookman Old Style" w:hAnsi="Times New Roman" w:cs="Times New Roman"/>
          <w:b/>
          <w:bCs/>
          <w:sz w:val="24"/>
          <w:szCs w:val="24"/>
          <w:lang w:val="es-ES_tradnl"/>
        </w:rPr>
        <w:t>Disponibilidades presupuestarias:</w:t>
      </w:r>
      <w:r w:rsidR="00A26CD3" w:rsidRPr="005733B4">
        <w:rPr>
          <w:rFonts w:ascii="Times New Roman" w:eastAsia="Bookman Old Style" w:hAnsi="Times New Roman" w:cs="Times New Roman"/>
          <w:sz w:val="24"/>
          <w:szCs w:val="24"/>
          <w:lang w:val="es-ES_tradnl"/>
        </w:rPr>
        <w:t xml:space="preserve"> Recursos provenientes de los ingresos que durante los ejercicios fiscales anteriores no fueron pagados ni devengados para algún rubro del gasto presupuestado;</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Economías Presupuestarias: </w:t>
      </w:r>
      <w:r w:rsidR="00A26CD3" w:rsidRPr="005733B4">
        <w:rPr>
          <w:rFonts w:ascii="Times New Roman" w:eastAsia="Bookman Old Style" w:hAnsi="Times New Roman" w:cs="Times New Roman"/>
          <w:sz w:val="24"/>
          <w:szCs w:val="24"/>
          <w:lang w:val="es-ES_tradnl"/>
        </w:rPr>
        <w:t>Remanentes de recursos presupuestarios no devengados del presupuesto modificado dentro de un periodo determinado, los cuales comprenden para fines enunciativos, mas no limitativos, los derivados de la aplicación de las disposiciones en materia de racionalidad, austeridad y disciplina presupuestaria, entre otros;</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Ejecutores de Gasto:</w:t>
      </w:r>
      <w:r w:rsidR="00A26CD3" w:rsidRPr="005733B4">
        <w:rPr>
          <w:rFonts w:ascii="Times New Roman" w:eastAsia="Bookman Old Style" w:hAnsi="Times New Roman" w:cs="Times New Roman"/>
          <w:sz w:val="24"/>
          <w:szCs w:val="24"/>
          <w:lang w:val="es-ES_tradnl"/>
        </w:rPr>
        <w:t xml:space="preserve"> A los Poderes Legislativo y Judicial, los entes autónomos a los que se asignen recursos del Presupuesto de Egresos, así como las Dependencias y Entidades Públicas, que realizan las erogaciones con cargo a los recursos considerados en el presente Decreto;</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Ejercicio Fiscal: </w:t>
      </w:r>
      <w:r w:rsidR="00A26CD3" w:rsidRPr="005733B4">
        <w:rPr>
          <w:rFonts w:ascii="Times New Roman" w:eastAsia="Bookman Old Style" w:hAnsi="Times New Roman" w:cs="Times New Roman"/>
          <w:sz w:val="24"/>
          <w:szCs w:val="24"/>
          <w:lang w:val="es-ES_tradnl"/>
        </w:rPr>
        <w:t>Comprende el periodo de un año presupuestario y contable, equivalente a un año calendario, para el cual se presupuestan los ingresos y gastos, del 1 de enero al 31 de diciembre;</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Entes Públicos:</w:t>
      </w:r>
      <w:r w:rsidR="00A26CD3" w:rsidRPr="005733B4">
        <w:rPr>
          <w:rFonts w:ascii="Times New Roman" w:eastAsia="Bookman Old Style" w:hAnsi="Times New Roman" w:cs="Times New Roman"/>
          <w:sz w:val="24"/>
          <w:szCs w:val="24"/>
          <w:lang w:val="es-ES_tradnl"/>
        </w:rPr>
        <w:t xml:space="preserve"> Poderes Ejecutivo, Legislativo y Judicial, los Organismos Autónomos del Estado; los municipios; los Organismos Descentralizados, empresas de participación estatal mayoritaria y fideicomisos públicos estatales y municipales, así como cualquier otro ente sobre el que el Estado y los municipios tengan control sobre sus decisiones o acciones de forma conjunta o individual, según sea el caso;</w:t>
      </w:r>
    </w:p>
    <w:p w:rsidR="00A26CD3" w:rsidRPr="005733B4" w:rsidRDefault="00A26CD3" w:rsidP="00B07288">
      <w:pP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Entidades Públicas:</w:t>
      </w:r>
      <w:r w:rsidR="00A26CD3" w:rsidRPr="005733B4">
        <w:rPr>
          <w:rFonts w:ascii="Times New Roman" w:eastAsia="Bookman Old Style" w:hAnsi="Times New Roman" w:cs="Times New Roman"/>
          <w:sz w:val="24"/>
          <w:szCs w:val="24"/>
          <w:lang w:val="es-ES_tradnl"/>
        </w:rPr>
        <w:t xml:space="preserve"> Organismos Públicos Descentralizados, Empresas de Participación Estatal y Fideicomisos Públicos;</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bCs/>
          <w:sz w:val="24"/>
          <w:szCs w:val="24"/>
          <w:lang w:val="es-ES_tradnl"/>
        </w:rPr>
        <w:t xml:space="preserve"> </w:t>
      </w:r>
      <w:r w:rsidR="00A26CD3" w:rsidRPr="005733B4">
        <w:rPr>
          <w:rFonts w:ascii="Times New Roman" w:eastAsia="Bookman Old Style" w:hAnsi="Times New Roman" w:cs="Times New Roman"/>
          <w:b/>
          <w:bCs/>
          <w:sz w:val="24"/>
          <w:szCs w:val="24"/>
          <w:lang w:val="es-ES_tradnl"/>
        </w:rPr>
        <w:t>Estructura</w:t>
      </w:r>
      <w:r w:rsidR="00A26CD3" w:rsidRPr="005733B4">
        <w:rPr>
          <w:rFonts w:ascii="Times New Roman" w:eastAsia="Bookman Old Style" w:hAnsi="Times New Roman" w:cs="Times New Roman"/>
          <w:b/>
          <w:sz w:val="24"/>
          <w:szCs w:val="24"/>
          <w:lang w:val="es-ES_tradnl"/>
        </w:rPr>
        <w:t xml:space="preserve"> Programática: </w:t>
      </w:r>
      <w:r w:rsidR="00A26CD3" w:rsidRPr="005733B4">
        <w:rPr>
          <w:rFonts w:ascii="Times New Roman" w:eastAsia="Bookman Old Style" w:hAnsi="Times New Roman" w:cs="Times New Roman"/>
          <w:sz w:val="24"/>
          <w:szCs w:val="24"/>
          <w:lang w:val="es-ES_tradnl"/>
        </w:rPr>
        <w:t xml:space="preserve">Conjunto de categorías y elementos programáticos que sirven para dar orden y dirección al gasto público, para conocer el rendimiento esperado de la utilización de los fondos públicos y para vincular los propósitos de las políticas públicas derivadas del Plan de Desarrollo del Estado de México, así como de los Planes de Desarrollo de los municipios y de los diversos programas que se deriven de dichos instrumentos, con el objetivo de las Dependencias y Entidades Públicas;  </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shd w:val="clear" w:color="auto" w:fill="FFF2CC"/>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FEFOM:</w:t>
      </w:r>
      <w:r w:rsidR="00A26CD3" w:rsidRPr="005733B4">
        <w:rPr>
          <w:rFonts w:ascii="Times New Roman" w:eastAsia="Bookman Old Style" w:hAnsi="Times New Roman" w:cs="Times New Roman"/>
          <w:sz w:val="24"/>
          <w:szCs w:val="24"/>
          <w:lang w:val="es-ES_tradnl"/>
        </w:rPr>
        <w:t xml:space="preserve"> Fondo Estatal de Fortalecimiento Municipal; </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Gasto Corriente:</w:t>
      </w:r>
      <w:r w:rsidR="00A26CD3" w:rsidRPr="005733B4">
        <w:rPr>
          <w:rFonts w:ascii="Times New Roman" w:eastAsia="Bookman Old Style" w:hAnsi="Times New Roman" w:cs="Times New Roman"/>
          <w:sz w:val="24"/>
          <w:szCs w:val="24"/>
          <w:lang w:val="es-ES_tradnl"/>
        </w:rPr>
        <w:t xml:space="preserve"> Erogaciones realizadas por los Entes Públicos, que no tienen como contrapartida la creación de un activo, incluyendo el pago de servicios personales, materiales y suministros, servicios generales, así como a las transferencias, asignaciones, subsidios, donativos y apoyos;</w:t>
      </w:r>
    </w:p>
    <w:p w:rsidR="00A26CD3" w:rsidRPr="005733B4" w:rsidRDefault="00A26CD3" w:rsidP="00B07288">
      <w:pP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Gasto de Inversión:</w:t>
      </w:r>
      <w:r w:rsidR="00A26CD3" w:rsidRPr="005733B4">
        <w:rPr>
          <w:rFonts w:ascii="Times New Roman" w:eastAsia="Bookman Old Style" w:hAnsi="Times New Roman" w:cs="Times New Roman"/>
          <w:sz w:val="24"/>
          <w:szCs w:val="24"/>
          <w:lang w:val="es-ES_tradnl"/>
        </w:rPr>
        <w:t xml:space="preserve"> Erogaciones realizadas por los Entes Públicos, destinados al pago de obras públicas, adquisición de bienes muebles e inmuebles y ejecución de proyectos productivos de carácter social;</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Gasto Federalizado: </w:t>
      </w:r>
      <w:r w:rsidR="00A26CD3" w:rsidRPr="005733B4">
        <w:rPr>
          <w:rFonts w:ascii="Times New Roman" w:eastAsia="Bookman Old Style" w:hAnsi="Times New Roman" w:cs="Times New Roman"/>
          <w:sz w:val="24"/>
          <w:szCs w:val="24"/>
          <w:lang w:val="es-ES_tradnl"/>
        </w:rPr>
        <w:t>Transferencias de recursos públicos federales a las entidades federativas y municipios del país para que atiendan sus necesidades de gasto en materia de educación, salud, infraestructura e inversión social, seguridad pública, entre otros rubros;</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Gasto No Programable:</w:t>
      </w:r>
      <w:r w:rsidR="00A26CD3" w:rsidRPr="005733B4">
        <w:rPr>
          <w:rFonts w:ascii="Times New Roman" w:eastAsia="Bookman Old Style" w:hAnsi="Times New Roman" w:cs="Times New Roman"/>
          <w:sz w:val="24"/>
          <w:szCs w:val="24"/>
          <w:lang w:val="es-ES_tradnl"/>
        </w:rPr>
        <w:t xml:space="preserve"> Recursos que se destinan al cumplimiento de obligaciones legales o estipuladas en el Presupuesto de Egresos del Gobierno del Estado de </w:t>
      </w:r>
      <w:r w:rsidR="00A26CD3" w:rsidRPr="005733B4">
        <w:rPr>
          <w:rFonts w:ascii="Times New Roman" w:eastAsia="Bookman Old Style" w:hAnsi="Times New Roman" w:cs="Times New Roman"/>
          <w:sz w:val="24"/>
          <w:szCs w:val="24"/>
          <w:lang w:val="es-ES_tradnl"/>
        </w:rPr>
        <w:lastRenderedPageBreak/>
        <w:t>México y que por su naturaleza no se encuentran asociados a programas y proyectos presupuestarios para proveer bienes o servicios a la población;</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Gasto Programable:</w:t>
      </w:r>
      <w:r w:rsidR="00A26CD3" w:rsidRPr="005733B4">
        <w:rPr>
          <w:rFonts w:ascii="Times New Roman" w:eastAsia="Bookman Old Style" w:hAnsi="Times New Roman" w:cs="Times New Roman"/>
          <w:sz w:val="24"/>
          <w:szCs w:val="24"/>
          <w:lang w:val="es-ES_tradnl"/>
        </w:rPr>
        <w:t xml:space="preserve"> Recursos que se destinan al cumplimiento de los fines y funciones propias del Estado, que se encuentran directamente relacionadas con los programas y proyectos presupuestarios a cargo de los Ejecutores del Gasto previamente establecidos para alcanzar los objetivos y metas, los cuales tienen un efecto en la generación de valor público en beneficio de la sociedad;</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GEM:</w:t>
      </w:r>
      <w:r w:rsidR="00A26CD3" w:rsidRPr="005733B4">
        <w:rPr>
          <w:rFonts w:ascii="Times New Roman" w:eastAsia="Bookman Old Style" w:hAnsi="Times New Roman" w:cs="Times New Roman"/>
          <w:sz w:val="24"/>
          <w:szCs w:val="24"/>
          <w:lang w:val="es-ES_tradnl"/>
        </w:rPr>
        <w:t xml:space="preserve"> Gobierno del Estado de México;</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Indicador: </w:t>
      </w:r>
      <w:r w:rsidR="00A26CD3" w:rsidRPr="005733B4">
        <w:rPr>
          <w:rFonts w:ascii="Times New Roman" w:eastAsia="Bookman Old Style" w:hAnsi="Times New Roman" w:cs="Times New Roman"/>
          <w:bCs/>
          <w:sz w:val="24"/>
          <w:szCs w:val="24"/>
          <w:lang w:val="es-ES_tradnl"/>
        </w:rPr>
        <w:t>E</w:t>
      </w:r>
      <w:r w:rsidR="00A26CD3" w:rsidRPr="005733B4">
        <w:rPr>
          <w:rFonts w:ascii="Times New Roman" w:eastAsia="Bookman Old Style" w:hAnsi="Times New Roman" w:cs="Times New Roman"/>
          <w:sz w:val="24"/>
          <w:szCs w:val="24"/>
          <w:lang w:val="es-ES_tradnl"/>
        </w:rPr>
        <w:t>xpresión construida a partir de variables cuantitativas o cualitativas para medir el cumplimiento de las metas establecidas por los Entes Públicos de acuerdo a su naturaleza jurídica y según corresponda, a fin de dar seguimiento y evaluar los resultados promoviendo la transparencia y rendición de cuentas del gobierno;</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color w:val="000000"/>
          <w:sz w:val="24"/>
          <w:szCs w:val="24"/>
          <w:lang w:val="es-ES_tradnl"/>
        </w:rPr>
      </w:pPr>
      <w:r>
        <w:rPr>
          <w:rFonts w:ascii="Times New Roman" w:eastAsia="Bookman Old Style" w:hAnsi="Times New Roman" w:cs="Times New Roman"/>
          <w:b/>
          <w:color w:val="000000"/>
          <w:sz w:val="24"/>
          <w:szCs w:val="24"/>
          <w:lang w:val="es-ES_tradnl"/>
        </w:rPr>
        <w:t xml:space="preserve"> </w:t>
      </w:r>
      <w:r w:rsidR="00A26CD3" w:rsidRPr="005733B4">
        <w:rPr>
          <w:rFonts w:ascii="Times New Roman" w:eastAsia="Bookman Old Style" w:hAnsi="Times New Roman" w:cs="Times New Roman"/>
          <w:b/>
          <w:color w:val="000000"/>
          <w:sz w:val="24"/>
          <w:szCs w:val="24"/>
          <w:lang w:val="es-ES_tradnl"/>
        </w:rPr>
        <w:t xml:space="preserve">Ingresos de </w:t>
      </w:r>
      <w:r w:rsidR="00A26CD3" w:rsidRPr="005733B4">
        <w:rPr>
          <w:rFonts w:ascii="Times New Roman" w:eastAsia="Bookman Old Style" w:hAnsi="Times New Roman" w:cs="Times New Roman"/>
          <w:b/>
          <w:bCs/>
          <w:color w:val="000000"/>
          <w:sz w:val="24"/>
          <w:szCs w:val="24"/>
          <w:lang w:val="es-ES_tradnl"/>
        </w:rPr>
        <w:t>Libre</w:t>
      </w:r>
      <w:r w:rsidR="00A26CD3" w:rsidRPr="005733B4">
        <w:rPr>
          <w:rFonts w:ascii="Times New Roman" w:eastAsia="Bookman Old Style" w:hAnsi="Times New Roman" w:cs="Times New Roman"/>
          <w:b/>
          <w:color w:val="000000"/>
          <w:sz w:val="24"/>
          <w:szCs w:val="24"/>
          <w:lang w:val="es-ES_tradnl"/>
        </w:rPr>
        <w:t xml:space="preserve"> Disposición:</w:t>
      </w:r>
      <w:r w:rsidR="00A26CD3" w:rsidRPr="005733B4">
        <w:rPr>
          <w:rFonts w:ascii="Times New Roman" w:eastAsia="Bookman Old Style" w:hAnsi="Times New Roman" w:cs="Times New Roman"/>
          <w:color w:val="000000"/>
          <w:sz w:val="24"/>
          <w:szCs w:val="24"/>
          <w:lang w:val="es-ES_tradnl"/>
        </w:rPr>
        <w:t xml:space="preserve"> Recursos que el Gobierno del Estado dispone para poder atender sus necesidades de gasto con libre autonomía y sin un fin específico para su aplicación, entre los cuales se encuentran las participaciones federales, así como los recursos que, en su caso, reciba el Estado del Fondo de Estabilización de los Ingresos de las Entidades Federativas, en los términos del artículo 19 de la Ley Federal de Presupuesto y </w:t>
      </w:r>
      <w:r w:rsidR="00A26CD3" w:rsidRPr="005733B4">
        <w:rPr>
          <w:rFonts w:ascii="Times New Roman" w:eastAsia="Bookman Old Style" w:hAnsi="Times New Roman" w:cs="Times New Roman"/>
          <w:sz w:val="24"/>
          <w:szCs w:val="24"/>
          <w:lang w:val="es-ES_tradnl"/>
        </w:rPr>
        <w:t>Responsabilidad</w:t>
      </w:r>
      <w:r w:rsidR="00A26CD3" w:rsidRPr="005733B4">
        <w:rPr>
          <w:rFonts w:ascii="Times New Roman" w:eastAsia="Bookman Old Style" w:hAnsi="Times New Roman" w:cs="Times New Roman"/>
          <w:color w:val="000000"/>
          <w:sz w:val="24"/>
          <w:szCs w:val="24"/>
          <w:lang w:val="es-ES_tradnl"/>
        </w:rPr>
        <w:t xml:space="preserve"> Hacendaria, de acuerdo con el presente Decreto;</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color w:val="0070C0"/>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Ingresos </w:t>
      </w:r>
      <w:r w:rsidR="00A26CD3" w:rsidRPr="005733B4">
        <w:rPr>
          <w:rFonts w:ascii="Times New Roman" w:eastAsia="Bookman Old Style" w:hAnsi="Times New Roman" w:cs="Times New Roman"/>
          <w:b/>
          <w:bCs/>
          <w:sz w:val="24"/>
          <w:szCs w:val="24"/>
          <w:lang w:val="es-ES_tradnl"/>
        </w:rPr>
        <w:t>Excedentes</w:t>
      </w:r>
      <w:r w:rsidR="00A26CD3" w:rsidRPr="005733B4">
        <w:rPr>
          <w:rFonts w:ascii="Times New Roman" w:eastAsia="Bookman Old Style" w:hAnsi="Times New Roman" w:cs="Times New Roman"/>
          <w:b/>
          <w:sz w:val="24"/>
          <w:szCs w:val="24"/>
          <w:lang w:val="es-ES_tradnl"/>
        </w:rPr>
        <w:t>:</w:t>
      </w:r>
      <w:r w:rsidR="00A26CD3" w:rsidRPr="005733B4">
        <w:rPr>
          <w:rFonts w:ascii="Times New Roman" w:eastAsia="Bookman Old Style" w:hAnsi="Times New Roman" w:cs="Times New Roman"/>
          <w:sz w:val="24"/>
          <w:szCs w:val="24"/>
          <w:lang w:val="es-ES_tradnl"/>
        </w:rPr>
        <w:t xml:space="preserve"> Recursos de libre disposición que durante el Ejercicio Fiscal se obtienen en exceso, resultado de la diferencia entre los aprobados en la Ley de Ingresos del Estado de México para el Ejercicio Fiscal 2026 y los recaudados durante el Ejercicio Fiscal;</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bCs/>
          <w:sz w:val="24"/>
          <w:szCs w:val="24"/>
          <w:lang w:val="es-ES_tradnl"/>
        </w:rPr>
        <w:t xml:space="preserve"> </w:t>
      </w:r>
      <w:r w:rsidR="00A26CD3" w:rsidRPr="005733B4">
        <w:rPr>
          <w:rFonts w:ascii="Times New Roman" w:eastAsia="Bookman Old Style" w:hAnsi="Times New Roman" w:cs="Times New Roman"/>
          <w:b/>
          <w:bCs/>
          <w:sz w:val="24"/>
          <w:szCs w:val="24"/>
          <w:lang w:val="es-ES_tradnl"/>
        </w:rPr>
        <w:t>Legislatura</w:t>
      </w:r>
      <w:r w:rsidR="00A26CD3" w:rsidRPr="005733B4">
        <w:rPr>
          <w:rFonts w:ascii="Times New Roman" w:eastAsia="Bookman Old Style" w:hAnsi="Times New Roman" w:cs="Times New Roman"/>
          <w:sz w:val="24"/>
          <w:szCs w:val="24"/>
          <w:lang w:val="es-ES_tradnl"/>
        </w:rPr>
        <w:t>: Congreso del Estado Libre y Soberano de México;</w:t>
      </w:r>
    </w:p>
    <w:p w:rsidR="00A26CD3" w:rsidRPr="005733B4" w:rsidRDefault="00A26CD3" w:rsidP="00B07288">
      <w:pPr>
        <w:spacing w:after="0" w:line="240" w:lineRule="auto"/>
        <w:ind w:left="720" w:hanging="720"/>
        <w:contextualSpacing/>
        <w:rPr>
          <w:rFonts w:ascii="Times New Roman" w:eastAsia="Bookman Old Style" w:hAnsi="Times New Roman" w:cs="Times New Roman"/>
          <w:sz w:val="24"/>
          <w:szCs w:val="24"/>
          <w:lang w:val="es-ES_tradnl"/>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bCs/>
          <w:sz w:val="24"/>
          <w:szCs w:val="24"/>
          <w:lang w:val="es-ES_tradnl"/>
        </w:rPr>
        <w:t xml:space="preserve"> </w:t>
      </w:r>
      <w:r w:rsidR="00A26CD3" w:rsidRPr="005733B4">
        <w:rPr>
          <w:rFonts w:ascii="Times New Roman" w:eastAsia="Bookman Old Style" w:hAnsi="Times New Roman" w:cs="Times New Roman"/>
          <w:b/>
          <w:bCs/>
          <w:sz w:val="24"/>
          <w:szCs w:val="24"/>
          <w:lang w:val="es-ES_tradnl"/>
        </w:rPr>
        <w:t>Ley de Disciplina Financiera:</w:t>
      </w:r>
      <w:r w:rsidR="00A26CD3" w:rsidRPr="005733B4">
        <w:rPr>
          <w:rFonts w:ascii="Times New Roman" w:eastAsia="Bookman Old Style" w:hAnsi="Times New Roman" w:cs="Times New Roman"/>
          <w:sz w:val="24"/>
          <w:szCs w:val="24"/>
          <w:lang w:val="es-ES_tradnl"/>
        </w:rPr>
        <w:t xml:space="preserve"> Ley de Disciplina Financiera de las Entidades Federativas y los Municipios;</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bCs/>
          <w:sz w:val="24"/>
          <w:szCs w:val="24"/>
          <w:lang w:val="es-ES_tradnl"/>
        </w:rPr>
        <w:t xml:space="preserve"> </w:t>
      </w:r>
      <w:r w:rsidR="00A26CD3" w:rsidRPr="005733B4">
        <w:rPr>
          <w:rFonts w:ascii="Times New Roman" w:eastAsia="Bookman Old Style" w:hAnsi="Times New Roman" w:cs="Times New Roman"/>
          <w:b/>
          <w:bCs/>
          <w:sz w:val="24"/>
          <w:szCs w:val="24"/>
          <w:lang w:val="es-ES_tradnl"/>
        </w:rPr>
        <w:t>LGEPPEM</w:t>
      </w:r>
      <w:r w:rsidR="00A26CD3" w:rsidRPr="005733B4">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sz w:val="24"/>
          <w:szCs w:val="24"/>
          <w:lang w:val="es-ES_tradnl"/>
        </w:rPr>
        <w:t>Lineamientos Generales para la Evaluación de los Programas Presupuestarios del Gobierno del Estado de México;</w:t>
      </w:r>
    </w:p>
    <w:p w:rsidR="00A26CD3" w:rsidRPr="005733B4" w:rsidRDefault="00A26CD3" w:rsidP="00B07288">
      <w:pP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LIEM:</w:t>
      </w:r>
      <w:r w:rsidR="00A26CD3" w:rsidRPr="005733B4">
        <w:rPr>
          <w:rFonts w:ascii="Times New Roman" w:eastAsia="Bookman Old Style" w:hAnsi="Times New Roman" w:cs="Times New Roman"/>
          <w:sz w:val="24"/>
          <w:szCs w:val="24"/>
          <w:lang w:val="es-ES_tradnl"/>
        </w:rPr>
        <w:t xml:space="preserve"> Ley de Ingresos del Estado de México para el Ejercicio Fiscal 2026;</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Matriz de Indicadores para Resultados: </w:t>
      </w:r>
      <w:r w:rsidR="00A26CD3" w:rsidRPr="005733B4">
        <w:rPr>
          <w:rFonts w:ascii="Times New Roman" w:eastAsia="Bookman Old Style" w:hAnsi="Times New Roman" w:cs="Times New Roman"/>
          <w:sz w:val="24"/>
          <w:szCs w:val="24"/>
          <w:lang w:val="es-ES_tradnl"/>
        </w:rPr>
        <w:t>Instrumento de planeación estratégica del Presupuesto Basado en Resultados (</w:t>
      </w:r>
      <w:proofErr w:type="spellStart"/>
      <w:r w:rsidR="00A26CD3" w:rsidRPr="005733B4">
        <w:rPr>
          <w:rFonts w:ascii="Times New Roman" w:eastAsia="Bookman Old Style" w:hAnsi="Times New Roman" w:cs="Times New Roman"/>
          <w:sz w:val="24"/>
          <w:szCs w:val="24"/>
          <w:lang w:val="es-ES_tradnl"/>
        </w:rPr>
        <w:t>PbR</w:t>
      </w:r>
      <w:proofErr w:type="spellEnd"/>
      <w:r w:rsidR="00A26CD3" w:rsidRPr="005733B4">
        <w:rPr>
          <w:rFonts w:ascii="Times New Roman" w:eastAsia="Bookman Old Style" w:hAnsi="Times New Roman" w:cs="Times New Roman"/>
          <w:sz w:val="24"/>
          <w:szCs w:val="24"/>
          <w:lang w:val="es-ES_tradnl"/>
        </w:rPr>
        <w:t>), que permite mejorar la lógica interna y el diseño de los Programas presupuestarios. Identifica objetivos, relaciones causales, indicadores, medios de verificación y supuestos o riesgos que pueden influir en su éxito o fracaso. Permite focalizar esfuerzos hacia la consecución de objetivos y retroalimentar el proceso presupuestario:</w:t>
      </w:r>
    </w:p>
    <w:p w:rsidR="00A26CD3" w:rsidRPr="005733B4" w:rsidRDefault="00A26CD3" w:rsidP="00B07288">
      <w:pPr>
        <w:spacing w:after="0" w:line="240" w:lineRule="auto"/>
        <w:ind w:left="720" w:hanging="720"/>
        <w:contextualSpacing/>
        <w:rPr>
          <w:rFonts w:ascii="Times New Roman" w:eastAsia="Bookman Old Style" w:hAnsi="Times New Roman" w:cs="Times New Roman"/>
          <w:sz w:val="24"/>
          <w:szCs w:val="24"/>
          <w:lang w:val="es-ES_tradnl"/>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bCs/>
          <w:sz w:val="24"/>
          <w:szCs w:val="24"/>
          <w:lang w:val="es-ES_tradnl"/>
        </w:rPr>
        <w:t xml:space="preserve"> </w:t>
      </w:r>
      <w:r w:rsidR="00A26CD3" w:rsidRPr="005733B4">
        <w:rPr>
          <w:rFonts w:ascii="Times New Roman" w:eastAsia="Bookman Old Style" w:hAnsi="Times New Roman" w:cs="Times New Roman"/>
          <w:b/>
          <w:bCs/>
          <w:sz w:val="24"/>
          <w:szCs w:val="24"/>
          <w:lang w:val="es-ES_tradnl"/>
        </w:rPr>
        <w:t>ODS:</w:t>
      </w:r>
      <w:r w:rsidR="00A26CD3" w:rsidRPr="005733B4">
        <w:rPr>
          <w:rFonts w:ascii="Times New Roman" w:eastAsia="Bookman Old Style" w:hAnsi="Times New Roman" w:cs="Times New Roman"/>
          <w:sz w:val="24"/>
          <w:szCs w:val="24"/>
          <w:lang w:val="es-ES_tradnl"/>
        </w:rPr>
        <w:t xml:space="preserve"> Objetivos de Desarrollo Sostenible contemplados en la Agenda 2030;</w:t>
      </w:r>
    </w:p>
    <w:p w:rsidR="00A26CD3" w:rsidRPr="005733B4" w:rsidRDefault="00A26CD3" w:rsidP="00B07288">
      <w:pPr>
        <w:spacing w:after="0" w:line="240" w:lineRule="auto"/>
        <w:ind w:left="720" w:hanging="720"/>
        <w:contextualSpacing/>
        <w:rPr>
          <w:rFonts w:ascii="Times New Roman" w:eastAsia="Bookman Old Style" w:hAnsi="Times New Roman" w:cs="Times New Roman"/>
          <w:sz w:val="24"/>
          <w:szCs w:val="24"/>
          <w:lang w:val="es-ES_tradnl"/>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bCs/>
          <w:sz w:val="24"/>
          <w:szCs w:val="24"/>
          <w:lang w:val="es-ES_tradnl"/>
        </w:rPr>
        <w:t xml:space="preserve"> </w:t>
      </w:r>
      <w:r w:rsidR="00A26CD3" w:rsidRPr="005733B4">
        <w:rPr>
          <w:rFonts w:ascii="Times New Roman" w:eastAsia="Bookman Old Style" w:hAnsi="Times New Roman" w:cs="Times New Roman"/>
          <w:b/>
          <w:bCs/>
          <w:sz w:val="24"/>
          <w:szCs w:val="24"/>
          <w:lang w:val="es-ES_tradnl"/>
        </w:rPr>
        <w:t>Oficialía:</w:t>
      </w:r>
      <w:r w:rsidR="00A26CD3" w:rsidRPr="005733B4">
        <w:rPr>
          <w:rFonts w:ascii="Times New Roman" w:eastAsia="Bookman Old Style" w:hAnsi="Times New Roman" w:cs="Times New Roman"/>
          <w:sz w:val="24"/>
          <w:szCs w:val="24"/>
          <w:lang w:val="es-ES_tradnl"/>
        </w:rPr>
        <w:t xml:space="preserve"> Oficialía Mayor del Gobierno del Estado de México;</w:t>
      </w:r>
    </w:p>
    <w:p w:rsidR="00A26CD3" w:rsidRPr="005733B4" w:rsidRDefault="00A26CD3" w:rsidP="00B07288">
      <w:pPr>
        <w:spacing w:after="0" w:line="240" w:lineRule="auto"/>
        <w:ind w:left="720" w:hanging="720"/>
        <w:contextualSpacing/>
        <w:rPr>
          <w:rFonts w:ascii="Times New Roman" w:eastAsia="Bookman Old Style" w:hAnsi="Times New Roman" w:cs="Times New Roman"/>
          <w:sz w:val="24"/>
          <w:szCs w:val="24"/>
          <w:lang w:val="es-ES_tradnl"/>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lastRenderedPageBreak/>
        <w:t xml:space="preserve"> </w:t>
      </w:r>
      <w:r w:rsidR="00A26CD3" w:rsidRPr="005733B4">
        <w:rPr>
          <w:rFonts w:ascii="Times New Roman" w:eastAsia="Bookman Old Style" w:hAnsi="Times New Roman" w:cs="Times New Roman"/>
          <w:b/>
          <w:sz w:val="24"/>
          <w:szCs w:val="24"/>
          <w:lang w:val="es-ES_tradnl"/>
        </w:rPr>
        <w:t>Organismos Autónomos:</w:t>
      </w:r>
      <w:r w:rsidR="00A26CD3" w:rsidRPr="005733B4">
        <w:rPr>
          <w:rFonts w:ascii="Times New Roman" w:eastAsia="Bookman Old Style" w:hAnsi="Times New Roman" w:cs="Times New Roman"/>
          <w:sz w:val="24"/>
          <w:szCs w:val="24"/>
          <w:lang w:val="es-ES_tradnl"/>
        </w:rPr>
        <w:t xml:space="preserve"> Entidades que cuentan con personalidad jurídica y patrimonio propio, autonomía de gestión e independencia de los Poderes Legislativo, Ejecutivo y Judicial;</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OSFEM:</w:t>
      </w:r>
      <w:r w:rsidR="00A26CD3" w:rsidRPr="005733B4">
        <w:rPr>
          <w:rFonts w:ascii="Times New Roman" w:eastAsia="Bookman Old Style" w:hAnsi="Times New Roman" w:cs="Times New Roman"/>
          <w:sz w:val="24"/>
          <w:szCs w:val="24"/>
          <w:lang w:val="es-ES_tradnl"/>
        </w:rPr>
        <w:t xml:space="preserve"> Órgano Superior de Fiscalización del Estado de México;</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PAE: </w:t>
      </w:r>
      <w:r w:rsidR="00A26CD3" w:rsidRPr="005733B4">
        <w:rPr>
          <w:rFonts w:ascii="Times New Roman" w:eastAsia="Bookman Old Style" w:hAnsi="Times New Roman" w:cs="Times New Roman"/>
          <w:sz w:val="24"/>
          <w:szCs w:val="24"/>
          <w:lang w:val="es-ES_tradnl"/>
        </w:rPr>
        <w:t>Programa Anual de Evaluación;</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color w:val="000000"/>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proofErr w:type="spellStart"/>
      <w:r w:rsidR="00A26CD3" w:rsidRPr="005733B4">
        <w:rPr>
          <w:rFonts w:ascii="Times New Roman" w:eastAsia="Bookman Old Style" w:hAnsi="Times New Roman" w:cs="Times New Roman"/>
          <w:b/>
          <w:sz w:val="24"/>
          <w:szCs w:val="24"/>
          <w:lang w:val="es-ES_tradnl"/>
        </w:rPr>
        <w:t>PbR</w:t>
      </w:r>
      <w:proofErr w:type="spellEnd"/>
      <w:r w:rsidR="00A26CD3" w:rsidRPr="005733B4">
        <w:rPr>
          <w:rFonts w:ascii="Times New Roman" w:eastAsia="Bookman Old Style" w:hAnsi="Times New Roman" w:cs="Times New Roman"/>
          <w:b/>
          <w:color w:val="000000"/>
          <w:sz w:val="24"/>
          <w:szCs w:val="24"/>
          <w:lang w:val="es-ES_tradnl"/>
        </w:rPr>
        <w:t xml:space="preserve">: </w:t>
      </w:r>
      <w:r w:rsidR="00A26CD3" w:rsidRPr="005733B4">
        <w:rPr>
          <w:rFonts w:ascii="Times New Roman" w:eastAsia="Bookman Old Style" w:hAnsi="Times New Roman" w:cs="Times New Roman"/>
          <w:color w:val="000000"/>
          <w:sz w:val="24"/>
          <w:szCs w:val="24"/>
          <w:lang w:val="es-ES_tradnl"/>
        </w:rPr>
        <w:t>P</w:t>
      </w:r>
      <w:r w:rsidR="00A26CD3" w:rsidRPr="005733B4">
        <w:rPr>
          <w:rFonts w:ascii="Times New Roman" w:eastAsia="Bookman Old Style" w:hAnsi="Times New Roman" w:cs="Times New Roman"/>
          <w:sz w:val="24"/>
          <w:szCs w:val="24"/>
          <w:lang w:val="es-ES_tradnl"/>
        </w:rPr>
        <w:t>resupuesto</w:t>
      </w:r>
      <w:r w:rsidR="00A26CD3" w:rsidRPr="005733B4">
        <w:rPr>
          <w:rFonts w:ascii="Times New Roman" w:eastAsia="Bookman Old Style" w:hAnsi="Times New Roman" w:cs="Times New Roman"/>
          <w:color w:val="000000"/>
          <w:sz w:val="24"/>
          <w:szCs w:val="24"/>
          <w:lang w:val="es-ES_tradnl"/>
        </w:rPr>
        <w:t xml:space="preserve"> basado en Resultados, modelo que incorpora consideraciones sobre los resultados obtenidos y esperados de la aplicación de recursos públicos, con el fin de mejorar la calidad del gasto y fortalecer la rendición de cuentas</w:t>
      </w:r>
      <w:r w:rsidR="00A26CD3" w:rsidRPr="005733B4">
        <w:rPr>
          <w:rFonts w:ascii="Times New Roman" w:eastAsia="Bookman Old Style" w:hAnsi="Times New Roman" w:cs="Times New Roman"/>
          <w:sz w:val="24"/>
          <w:szCs w:val="24"/>
          <w:lang w:val="es-ES_tradnl"/>
        </w:rPr>
        <w:t>;</w:t>
      </w:r>
    </w:p>
    <w:p w:rsidR="00A26CD3" w:rsidRPr="005733B4" w:rsidRDefault="00A26CD3" w:rsidP="00B07288">
      <w:pP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PDEM: </w:t>
      </w:r>
      <w:r w:rsidR="00A26CD3" w:rsidRPr="005733B4">
        <w:rPr>
          <w:rFonts w:ascii="Times New Roman" w:eastAsia="Bookman Old Style" w:hAnsi="Times New Roman" w:cs="Times New Roman"/>
          <w:sz w:val="24"/>
          <w:szCs w:val="24"/>
          <w:lang w:val="es-ES_tradnl"/>
        </w:rPr>
        <w:t xml:space="preserve">Plan de Desarrollo del Estado de México vigente; </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Presupuesto de Egresos:</w:t>
      </w:r>
      <w:r w:rsidR="00A26CD3" w:rsidRPr="005733B4">
        <w:rPr>
          <w:rFonts w:ascii="Times New Roman" w:eastAsia="Bookman Old Style" w:hAnsi="Times New Roman" w:cs="Times New Roman"/>
          <w:sz w:val="24"/>
          <w:szCs w:val="24"/>
          <w:lang w:val="es-ES_tradnl"/>
        </w:rPr>
        <w:t xml:space="preserve"> Presupuesto de Egresos del Gobierno del Estado de México para el ejercicio fiscal 2026;</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Presupuesto Público con Perspectiva de Género: </w:t>
      </w:r>
      <w:r w:rsidR="00A26CD3" w:rsidRPr="005733B4">
        <w:rPr>
          <w:rFonts w:ascii="Times New Roman" w:eastAsia="Bookman Old Style" w:hAnsi="Times New Roman" w:cs="Times New Roman"/>
          <w:sz w:val="24"/>
          <w:szCs w:val="24"/>
          <w:lang w:val="es-ES_tradnl"/>
        </w:rPr>
        <w:t>Herramienta de política pública orientada a eliminar las desigualdades entre hombres y mujeres, a través de la asignación justa y equitativa de los recursos públicos en acciones, planes y programas públicos a nivel federal, estatal y municipal;</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Programa Presupuestario</w:t>
      </w:r>
      <w:r w:rsidR="00A26CD3" w:rsidRPr="005733B4">
        <w:rPr>
          <w:rFonts w:ascii="Times New Roman" w:eastAsia="Bookman Old Style" w:hAnsi="Times New Roman" w:cs="Times New Roman"/>
          <w:sz w:val="24"/>
          <w:szCs w:val="24"/>
          <w:lang w:val="es-ES_tradnl"/>
        </w:rPr>
        <w:t>: Conjunto de acciones dirigidas a resolver un problema vinculado a la población, operadas por los Entes Públicos. Se identifican mediante categorías programáticas que permiten organizar las asignaciones de forma representativa y homogénea;</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color w:val="000000"/>
          <w:sz w:val="24"/>
          <w:szCs w:val="24"/>
        </w:rPr>
      </w:pPr>
    </w:p>
    <w:p w:rsidR="00A26CD3" w:rsidRPr="00F94F0E"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Programa Prioritario: </w:t>
      </w:r>
      <w:r w:rsidR="00A26CD3" w:rsidRPr="005733B4">
        <w:rPr>
          <w:rFonts w:ascii="Times New Roman" w:eastAsia="Bookman Old Style" w:hAnsi="Times New Roman" w:cs="Times New Roman"/>
          <w:bCs/>
          <w:sz w:val="24"/>
          <w:szCs w:val="24"/>
          <w:lang w:val="es-ES_tradnl"/>
        </w:rPr>
        <w:t>C</w:t>
      </w:r>
      <w:r w:rsidR="00A26CD3" w:rsidRPr="005733B4">
        <w:rPr>
          <w:rFonts w:ascii="Times New Roman" w:eastAsia="Bookman Old Style" w:hAnsi="Times New Roman" w:cs="Times New Roman"/>
          <w:sz w:val="24"/>
          <w:szCs w:val="24"/>
          <w:lang w:val="es-ES_tradnl"/>
        </w:rPr>
        <w:t xml:space="preserve">onjunto de acciones estratégicas vinculadas preferentemente para atender las demarcaciones territoriales y localidades que presenten mayores niveles de rezago </w:t>
      </w:r>
      <w:r w:rsidR="00A26CD3" w:rsidRPr="00F94F0E">
        <w:rPr>
          <w:rFonts w:ascii="Times New Roman" w:eastAsia="Bookman Old Style" w:hAnsi="Times New Roman" w:cs="Times New Roman"/>
          <w:sz w:val="24"/>
          <w:szCs w:val="24"/>
          <w:lang w:val="es-ES_tradnl"/>
        </w:rPr>
        <w:t>social y pobreza extrema en la entidad para mejorar su condición de vida, movilidad social y promover el bienestar que permita disminuir las brechas de desigualdad social;</w:t>
      </w:r>
    </w:p>
    <w:p w:rsidR="00A26CD3" w:rsidRPr="00F94F0E"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Recurso Etiquetado:</w:t>
      </w:r>
      <w:r w:rsidR="00A26CD3" w:rsidRPr="005733B4">
        <w:rPr>
          <w:rFonts w:ascii="Times New Roman" w:eastAsia="Bookman Old Style" w:hAnsi="Times New Roman" w:cs="Times New Roman"/>
          <w:sz w:val="24"/>
          <w:szCs w:val="24"/>
          <w:lang w:val="es-ES_tradnl"/>
        </w:rPr>
        <w:t xml:space="preserve"> Recursos que provienen de Transferencias Federales Etiquetadas, en el caso de los municipios, adicionalmente se incluyen las erogaciones que estos realizan con recursos de la Entidad Federativa con un destino específico;</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Recurso No Etiquetado:</w:t>
      </w:r>
      <w:r w:rsidR="00A26CD3" w:rsidRPr="005733B4">
        <w:rPr>
          <w:rFonts w:ascii="Times New Roman" w:eastAsia="Bookman Old Style" w:hAnsi="Times New Roman" w:cs="Times New Roman"/>
          <w:sz w:val="24"/>
          <w:szCs w:val="24"/>
          <w:lang w:val="es-ES_tradnl"/>
        </w:rPr>
        <w:t xml:space="preserve"> Recursos que provienen de Ingresos de Libre Disposición y financiamientos; </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Secretaría:</w:t>
      </w:r>
      <w:r w:rsidR="00A26CD3" w:rsidRPr="005733B4">
        <w:rPr>
          <w:rFonts w:ascii="Times New Roman" w:eastAsia="Bookman Old Style" w:hAnsi="Times New Roman" w:cs="Times New Roman"/>
          <w:sz w:val="24"/>
          <w:szCs w:val="24"/>
          <w:lang w:val="es-ES_tradnl"/>
        </w:rPr>
        <w:t xml:space="preserve"> Secretaría de Finanzas del Gobierno del Estado de México; </w:t>
      </w:r>
    </w:p>
    <w:p w:rsidR="00A26CD3" w:rsidRPr="005733B4" w:rsidRDefault="00A26CD3" w:rsidP="00B07288">
      <w:pPr>
        <w:spacing w:after="0" w:line="240" w:lineRule="auto"/>
        <w:ind w:left="720" w:hanging="720"/>
        <w:jc w:val="both"/>
        <w:rPr>
          <w:rFonts w:ascii="Times New Roman" w:eastAsia="Bookman Old Style" w:hAnsi="Times New Roman" w:cs="Times New Roman"/>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b/>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 xml:space="preserve">Subsecretaría: </w:t>
      </w:r>
      <w:r w:rsidR="00A26CD3" w:rsidRPr="005733B4">
        <w:rPr>
          <w:rFonts w:ascii="Times New Roman" w:eastAsia="Bookman Old Style" w:hAnsi="Times New Roman" w:cs="Times New Roman"/>
          <w:bCs/>
          <w:sz w:val="24"/>
          <w:szCs w:val="24"/>
          <w:lang w:val="es-ES_tradnl"/>
        </w:rPr>
        <w:t>Subsecretaría de Planeación y Presupuesto;</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lang w:val="es-ES_tradnl"/>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color w:val="000000"/>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Transferencias</w:t>
      </w:r>
      <w:r w:rsidR="00A26CD3" w:rsidRPr="005733B4">
        <w:rPr>
          <w:rFonts w:ascii="Times New Roman" w:eastAsia="Bookman Old Style" w:hAnsi="Times New Roman" w:cs="Times New Roman"/>
          <w:b/>
          <w:color w:val="000000"/>
          <w:sz w:val="24"/>
          <w:szCs w:val="24"/>
          <w:lang w:val="es-ES_tradnl"/>
        </w:rPr>
        <w:t xml:space="preserve"> Federales Etiquetadas:</w:t>
      </w:r>
      <w:r w:rsidR="00A26CD3" w:rsidRPr="005733B4">
        <w:rPr>
          <w:rFonts w:ascii="Times New Roman" w:eastAsia="Bookman Old Style" w:hAnsi="Times New Roman" w:cs="Times New Roman"/>
          <w:color w:val="000000"/>
          <w:sz w:val="24"/>
          <w:szCs w:val="24"/>
          <w:lang w:val="es-ES_tradnl"/>
        </w:rPr>
        <w:t xml:space="preserve"> Recursos que reciben de la Federación, el Estado y los municipios, que están destinados a un fin específico, entre los cuales se encuentran las aportaciones federales a que se refiere el Capítulo V de la Ley de Coordinación Fiscal, la cuota social y la aportación solidaria federal previstas en el Título Tercero Bis de la Ley General de Salud, los subsidios, convenios de reasignación para el otorgamiento de recursos </w:t>
      </w:r>
      <w:r w:rsidR="00A26CD3" w:rsidRPr="005733B4">
        <w:rPr>
          <w:rFonts w:ascii="Times New Roman" w:eastAsia="Bookman Old Style" w:hAnsi="Times New Roman" w:cs="Times New Roman"/>
          <w:color w:val="000000"/>
          <w:sz w:val="24"/>
          <w:szCs w:val="24"/>
          <w:lang w:val="es-ES_tradnl"/>
        </w:rPr>
        <w:lastRenderedPageBreak/>
        <w:t>y demás recursos con destino específico que se otorguen en términos de la Ley Federal de Presupuesto y Responsabilidad Hacendaria y el Presupuesto de Egresos de la Federación;</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color w:val="000000"/>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color w:val="000000"/>
          <w:sz w:val="24"/>
          <w:szCs w:val="24"/>
          <w:lang w:val="es-ES_tradnl"/>
        </w:rPr>
      </w:pPr>
      <w:r>
        <w:rPr>
          <w:rFonts w:ascii="Times New Roman" w:eastAsia="Bookman Old Style" w:hAnsi="Times New Roman" w:cs="Times New Roman"/>
          <w:b/>
          <w:sz w:val="24"/>
          <w:szCs w:val="24"/>
          <w:lang w:val="es-ES_tradnl"/>
        </w:rPr>
        <w:t xml:space="preserve"> </w:t>
      </w:r>
      <w:r w:rsidR="00A26CD3" w:rsidRPr="005733B4">
        <w:rPr>
          <w:rFonts w:ascii="Times New Roman" w:eastAsia="Bookman Old Style" w:hAnsi="Times New Roman" w:cs="Times New Roman"/>
          <w:b/>
          <w:sz w:val="24"/>
          <w:szCs w:val="24"/>
          <w:lang w:val="es-ES_tradnl"/>
        </w:rPr>
        <w:t>Unidades administrativas:</w:t>
      </w:r>
      <w:r w:rsidR="00A26CD3" w:rsidRPr="005733B4">
        <w:rPr>
          <w:rFonts w:ascii="Times New Roman" w:eastAsiaTheme="minorEastAsia" w:hAnsi="Times New Roman" w:cs="Times New Roman"/>
          <w:sz w:val="24"/>
          <w:szCs w:val="24"/>
          <w:lang w:val="es-ES_tradnl"/>
        </w:rPr>
        <w:t xml:space="preserve"> </w:t>
      </w:r>
      <w:r w:rsidR="00A26CD3" w:rsidRPr="005733B4">
        <w:rPr>
          <w:rFonts w:ascii="Times New Roman" w:eastAsia="Bookman Old Style" w:hAnsi="Times New Roman" w:cs="Times New Roman"/>
          <w:color w:val="000000"/>
          <w:sz w:val="24"/>
          <w:szCs w:val="24"/>
          <w:lang w:val="es-ES_tradnl"/>
        </w:rPr>
        <w:t>Unidades funcionales que coadyuvan al cumplimiento de las atribuciones que tienen encomendadas los Entes Públicos a los que se encuentra adscrita, de acuerdo con su naturaleza jurídica, según corresponda, y con sujeción a la legislación aplicable;</w:t>
      </w:r>
    </w:p>
    <w:p w:rsidR="00A26CD3" w:rsidRPr="005733B4" w:rsidRDefault="00A26CD3" w:rsidP="00B07288">
      <w:pPr>
        <w:pBdr>
          <w:top w:val="nil"/>
          <w:left w:val="nil"/>
          <w:bottom w:val="nil"/>
          <w:right w:val="nil"/>
          <w:between w:val="nil"/>
        </w:pBdr>
        <w:spacing w:after="0" w:line="240" w:lineRule="auto"/>
        <w:ind w:left="720" w:hanging="720"/>
        <w:jc w:val="both"/>
        <w:rPr>
          <w:rFonts w:ascii="Times New Roman" w:eastAsia="Bookman Old Style" w:hAnsi="Times New Roman" w:cs="Times New Roman"/>
          <w:b/>
          <w:sz w:val="24"/>
          <w:szCs w:val="24"/>
        </w:rPr>
      </w:pPr>
    </w:p>
    <w:p w:rsidR="00A26CD3" w:rsidRPr="005733B4" w:rsidRDefault="00277257" w:rsidP="00F068E2">
      <w:pPr>
        <w:numPr>
          <w:ilvl w:val="0"/>
          <w:numId w:val="133"/>
        </w:numPr>
        <w:pBdr>
          <w:top w:val="nil"/>
          <w:left w:val="nil"/>
          <w:bottom w:val="nil"/>
          <w:right w:val="nil"/>
          <w:between w:val="nil"/>
        </w:pBdr>
        <w:spacing w:after="0" w:line="240" w:lineRule="auto"/>
        <w:ind w:hanging="720"/>
        <w:contextualSpacing/>
        <w:jc w:val="both"/>
        <w:rPr>
          <w:rFonts w:ascii="Times New Roman" w:eastAsia="Bookman Old Style" w:hAnsi="Times New Roman" w:cs="Times New Roman"/>
          <w:color w:val="000000"/>
          <w:sz w:val="24"/>
          <w:szCs w:val="24"/>
          <w:lang w:val="es-ES_tradnl"/>
        </w:rPr>
      </w:pPr>
      <w:r>
        <w:rPr>
          <w:rFonts w:ascii="Times New Roman" w:eastAsia="Bookman Old Style" w:hAnsi="Times New Roman" w:cs="Times New Roman"/>
          <w:b/>
          <w:color w:val="000000"/>
          <w:sz w:val="24"/>
          <w:szCs w:val="24"/>
          <w:lang w:val="es-ES_tradnl"/>
        </w:rPr>
        <w:t xml:space="preserve"> </w:t>
      </w:r>
      <w:r w:rsidR="00A26CD3" w:rsidRPr="005733B4">
        <w:rPr>
          <w:rFonts w:ascii="Times New Roman" w:eastAsia="Bookman Old Style" w:hAnsi="Times New Roman" w:cs="Times New Roman"/>
          <w:b/>
          <w:color w:val="000000"/>
          <w:sz w:val="24"/>
          <w:szCs w:val="24"/>
          <w:lang w:val="es-ES_tradnl"/>
        </w:rPr>
        <w:t>Unidades Ejecutoras</w:t>
      </w:r>
      <w:r w:rsidR="00A26CD3" w:rsidRPr="005733B4">
        <w:rPr>
          <w:rFonts w:ascii="Times New Roman" w:eastAsia="Bookman Old Style" w:hAnsi="Times New Roman" w:cs="Times New Roman"/>
          <w:color w:val="000000"/>
          <w:sz w:val="24"/>
          <w:szCs w:val="24"/>
          <w:lang w:val="es-ES_tradnl"/>
        </w:rPr>
        <w:t>: Unidades administrativas subordinadas a una Unidad Responsable, en la cual se desconcentra parte del ejercicio presupuestario, con el objeto de cumplir con eficiencia la misión encomendada.</w:t>
      </w:r>
    </w:p>
    <w:p w:rsidR="00A26CD3" w:rsidRPr="005733B4" w:rsidRDefault="00A26CD3" w:rsidP="00C15205">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p>
    <w:p w:rsidR="00A26CD3" w:rsidRPr="005733B4" w:rsidRDefault="00A26CD3" w:rsidP="00C15205">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TÍTULO SEGUNDO</w:t>
      </w:r>
    </w:p>
    <w:p w:rsidR="00A26CD3" w:rsidRPr="005733B4"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DE LA ASIGNACIÓN Y DISTRIBUCIÓN DEL PRESUPUESTO</w:t>
      </w:r>
    </w:p>
    <w:p w:rsidR="00A26CD3" w:rsidRPr="005733B4"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p>
    <w:p w:rsidR="00A26CD3" w:rsidRPr="005733B4"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CAPÍTULO I</w:t>
      </w:r>
    </w:p>
    <w:p w:rsidR="00A26CD3" w:rsidRPr="005733B4"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Distribución del gasto</w:t>
      </w:r>
    </w:p>
    <w:p w:rsidR="00A26CD3" w:rsidRPr="005733B4" w:rsidRDefault="00A26CD3" w:rsidP="00A26CD3">
      <w:pPr>
        <w:spacing w:after="0" w:line="240" w:lineRule="auto"/>
        <w:jc w:val="both"/>
        <w:rPr>
          <w:rFonts w:ascii="Times New Roman" w:eastAsia="Bookman Old Style" w:hAnsi="Times New Roman" w:cs="Times New Roman"/>
          <w:b/>
          <w:sz w:val="24"/>
          <w:szCs w:val="24"/>
        </w:rPr>
      </w:pPr>
    </w:p>
    <w:p w:rsidR="00A26CD3" w:rsidRPr="005733B4" w:rsidRDefault="00A26CD3" w:rsidP="00A26CD3">
      <w:pPr>
        <w:spacing w:after="0" w:line="240" w:lineRule="auto"/>
        <w:jc w:val="both"/>
        <w:rPr>
          <w:rFonts w:ascii="Times New Roman" w:eastAsia="Bookman Old Style" w:hAnsi="Times New Roman" w:cs="Times New Roman"/>
          <w:color w:val="000000" w:themeColor="text1"/>
          <w:sz w:val="24"/>
          <w:szCs w:val="24"/>
        </w:rPr>
      </w:pPr>
      <w:r w:rsidRPr="005733B4">
        <w:rPr>
          <w:rFonts w:ascii="Times New Roman" w:eastAsia="Bookman Old Style" w:hAnsi="Times New Roman" w:cs="Times New Roman"/>
          <w:b/>
          <w:sz w:val="24"/>
          <w:szCs w:val="24"/>
        </w:rPr>
        <w:t>Artículo 7.</w:t>
      </w:r>
      <w:r w:rsidRPr="005733B4">
        <w:rPr>
          <w:rFonts w:ascii="Times New Roman" w:eastAsia="Bookman Old Style" w:hAnsi="Times New Roman" w:cs="Times New Roman"/>
          <w:sz w:val="24"/>
          <w:szCs w:val="24"/>
        </w:rPr>
        <w:t xml:space="preserve"> El gasto total previsto en el Presupuesto de Egresos asciende a la cantidad de </w:t>
      </w:r>
      <w:r w:rsidRPr="005733B4">
        <w:rPr>
          <w:rFonts w:ascii="Times New Roman" w:eastAsia="Bookman Old Style" w:hAnsi="Times New Roman" w:cs="Times New Roman"/>
          <w:b/>
          <w:bCs/>
          <w:sz w:val="24"/>
          <w:szCs w:val="24"/>
        </w:rPr>
        <w:t xml:space="preserve">$410,341,615,262, </w:t>
      </w:r>
      <w:r w:rsidRPr="005733B4">
        <w:rPr>
          <w:rFonts w:ascii="Times New Roman" w:eastAsia="Bookman Old Style" w:hAnsi="Times New Roman" w:cs="Times New Roman"/>
          <w:sz w:val="24"/>
          <w:szCs w:val="24"/>
        </w:rPr>
        <w:t xml:space="preserve">monto que corresponde al total de los ingresos aprobados en la </w:t>
      </w:r>
      <w:r w:rsidRPr="005733B4">
        <w:rPr>
          <w:rFonts w:ascii="Times New Roman" w:eastAsia="Bookman Old Style" w:hAnsi="Times New Roman" w:cs="Times New Roman"/>
          <w:bCs/>
          <w:color w:val="000000"/>
          <w:sz w:val="24"/>
          <w:szCs w:val="24"/>
        </w:rPr>
        <w:t>LIEM</w:t>
      </w:r>
      <w:r w:rsidRPr="005733B4">
        <w:rPr>
          <w:rFonts w:ascii="Times New Roman" w:eastAsia="Bookman Old Style" w:hAnsi="Times New Roman" w:cs="Times New Roman"/>
          <w:sz w:val="24"/>
          <w:szCs w:val="24"/>
        </w:rPr>
        <w:t xml:space="preserve">, la cual prevé un Balance Presupuestario Sostenible, distribuido por fuente de financiamiento y en su clasificación por tipo de gasto, </w:t>
      </w:r>
      <w:r w:rsidRPr="005733B4">
        <w:rPr>
          <w:rFonts w:ascii="Times New Roman" w:eastAsia="Bookman Old Style" w:hAnsi="Times New Roman" w:cs="Times New Roman"/>
          <w:color w:val="000000" w:themeColor="text1"/>
          <w:sz w:val="24"/>
          <w:szCs w:val="24"/>
        </w:rPr>
        <w:t xml:space="preserve">conforme a las tablas que se incluyen en el presente artículo: </w:t>
      </w:r>
    </w:p>
    <w:p w:rsidR="00A26CD3" w:rsidRPr="005733B4" w:rsidRDefault="00A26CD3" w:rsidP="00A26CD3">
      <w:pPr>
        <w:spacing w:after="0" w:line="240" w:lineRule="auto"/>
        <w:jc w:val="both"/>
        <w:rPr>
          <w:rFonts w:ascii="Times New Roman" w:eastAsia="Bookman Old Style" w:hAnsi="Times New Roman" w:cs="Times New Roman"/>
          <w:color w:val="000000" w:themeColor="text1"/>
          <w:sz w:val="24"/>
          <w:szCs w:val="24"/>
        </w:rPr>
      </w:pPr>
    </w:p>
    <w:p w:rsidR="00A26CD3" w:rsidRPr="005733B4" w:rsidRDefault="00A26CD3" w:rsidP="00A26CD3">
      <w:pPr>
        <w:spacing w:after="0" w:line="240" w:lineRule="auto"/>
        <w:rPr>
          <w:rFonts w:ascii="Times New Roman" w:eastAsia="Calibri" w:hAnsi="Times New Roman" w:cs="Times New Roman"/>
          <w:bCs/>
          <w:kern w:val="2"/>
          <w:sz w:val="24"/>
          <w:szCs w:val="24"/>
        </w:rPr>
      </w:pPr>
      <w:r w:rsidRPr="005733B4">
        <w:rPr>
          <w:rFonts w:ascii="Times New Roman" w:eastAsia="Bookman Old Style" w:hAnsi="Times New Roman" w:cs="Times New Roman"/>
          <w:sz w:val="24"/>
          <w:szCs w:val="24"/>
        </w:rPr>
        <w:t xml:space="preserve">Tabla 1. Distribución por fuente de financiamiento </w:t>
      </w:r>
    </w:p>
    <w:tbl>
      <w:tblPr>
        <w:tblW w:w="7983" w:type="dxa"/>
        <w:tblInd w:w="562" w:type="dxa"/>
        <w:tblCellMar>
          <w:left w:w="70" w:type="dxa"/>
          <w:right w:w="70" w:type="dxa"/>
        </w:tblCellMar>
        <w:tblLook w:val="04A0" w:firstRow="1" w:lastRow="0" w:firstColumn="1" w:lastColumn="0" w:noHBand="0" w:noVBand="1"/>
      </w:tblPr>
      <w:tblGrid>
        <w:gridCol w:w="847"/>
        <w:gridCol w:w="5320"/>
        <w:gridCol w:w="1875"/>
      </w:tblGrid>
      <w:tr w:rsidR="00A26CD3" w:rsidRPr="005733B4" w:rsidTr="00A26CD3">
        <w:trPr>
          <w:trHeight w:val="225"/>
          <w:tblHeader/>
        </w:trPr>
        <w:tc>
          <w:tcPr>
            <w:tcW w:w="788"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No. Fuente</w:t>
            </w:r>
          </w:p>
        </w:tc>
        <w:tc>
          <w:tcPr>
            <w:tcW w:w="5320"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Categoría</w:t>
            </w:r>
          </w:p>
        </w:tc>
        <w:tc>
          <w:tcPr>
            <w:tcW w:w="1875"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xml:space="preserve">Monto </w:t>
            </w:r>
            <w:r w:rsidRPr="005733B4">
              <w:rPr>
                <w:rFonts w:ascii="Times New Roman" w:eastAsia="Calibri" w:hAnsi="Times New Roman" w:cs="Times New Roman"/>
                <w:bCs/>
                <w:kern w:val="2"/>
                <w:sz w:val="24"/>
                <w:szCs w:val="24"/>
              </w:rPr>
              <w:t>(pesos)</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No Etiquetado</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Calibri" w:hAnsi="Times New Roman" w:cs="Times New Roman"/>
                <w:b/>
                <w:bCs/>
                <w:color w:val="000000"/>
                <w:kern w:val="2"/>
                <w:sz w:val="24"/>
                <w:szCs w:val="24"/>
              </w:rPr>
              <w:t>293,807,301,400</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Recursos fiscales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101,222,121,849</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Financiamientos internos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0</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Financiamientos externos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0</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Ingresos propios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10,494,096,408</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15</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Recursos federales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180,942,975,033</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16</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Recursos estatales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1,148,108,110</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recursos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0</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Etiquetado</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Calibri" w:hAnsi="Times New Roman" w:cs="Times New Roman"/>
                <w:b/>
                <w:bCs/>
                <w:color w:val="000000"/>
                <w:kern w:val="2"/>
                <w:sz w:val="24"/>
                <w:szCs w:val="24"/>
              </w:rPr>
              <w:t>116,534,313,862</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25</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Recursos federales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116,534,313,862</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26</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Recursos estatales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0</w:t>
            </w:r>
          </w:p>
        </w:tc>
      </w:tr>
      <w:tr w:rsidR="00A26CD3" w:rsidRPr="005733B4" w:rsidTr="00A26CD3">
        <w:trPr>
          <w:trHeight w:val="225"/>
        </w:trPr>
        <w:tc>
          <w:tcPr>
            <w:tcW w:w="78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27</w:t>
            </w:r>
          </w:p>
        </w:tc>
        <w:tc>
          <w:tcPr>
            <w:tcW w:w="532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Recursos de Transferencias Federales Etiquetadas</w:t>
            </w:r>
          </w:p>
        </w:tc>
        <w:tc>
          <w:tcPr>
            <w:tcW w:w="187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0</w:t>
            </w:r>
          </w:p>
        </w:tc>
      </w:tr>
      <w:tr w:rsidR="00A26CD3" w:rsidRPr="005733B4" w:rsidTr="00A26CD3">
        <w:trPr>
          <w:trHeight w:val="225"/>
        </w:trPr>
        <w:tc>
          <w:tcPr>
            <w:tcW w:w="6108" w:type="dxa"/>
            <w:gridSpan w:val="2"/>
            <w:tcBorders>
              <w:top w:val="nil"/>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1875" w:type="dxa"/>
            <w:tcBorders>
              <w:top w:val="nil"/>
              <w:left w:val="nil"/>
              <w:bottom w:val="single" w:sz="4" w:space="0" w:color="000000"/>
              <w:right w:val="single" w:sz="4" w:space="0" w:color="000000"/>
            </w:tcBorders>
            <w:shd w:val="clear" w:color="C2C2C2" w:fill="C2C2C2"/>
            <w:noWrap/>
            <w:vAlign w:val="center"/>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410,341,615,262</w:t>
            </w:r>
          </w:p>
        </w:tc>
      </w:tr>
    </w:tbl>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De acuerdo con la clasificación por tipo de gasto, el Presupuesto de Egresos, se distribuye de la siguiente forma:</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 xml:space="preserve">Tabla 2. Clasificación por tipo de Gasto </w:t>
      </w:r>
    </w:p>
    <w:tbl>
      <w:tblPr>
        <w:tblW w:w="7601" w:type="dxa"/>
        <w:tblInd w:w="551" w:type="dxa"/>
        <w:tblCellMar>
          <w:left w:w="70" w:type="dxa"/>
          <w:right w:w="70" w:type="dxa"/>
        </w:tblCellMar>
        <w:tblLook w:val="04A0" w:firstRow="1" w:lastRow="0" w:firstColumn="1" w:lastColumn="0" w:noHBand="0" w:noVBand="1"/>
      </w:tblPr>
      <w:tblGrid>
        <w:gridCol w:w="687"/>
        <w:gridCol w:w="5000"/>
        <w:gridCol w:w="1985"/>
      </w:tblGrid>
      <w:tr w:rsidR="00A26CD3" w:rsidRPr="005733B4" w:rsidTr="00A26CD3">
        <w:trPr>
          <w:trHeight w:val="225"/>
        </w:trPr>
        <w:tc>
          <w:tcPr>
            <w:tcW w:w="616"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No.</w:t>
            </w:r>
          </w:p>
        </w:tc>
        <w:tc>
          <w:tcPr>
            <w:tcW w:w="5000"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Categorías</w:t>
            </w:r>
          </w:p>
        </w:tc>
        <w:tc>
          <w:tcPr>
            <w:tcW w:w="1985"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xml:space="preserve">Monto </w:t>
            </w:r>
            <w:r w:rsidRPr="005733B4">
              <w:rPr>
                <w:rFonts w:ascii="Times New Roman" w:eastAsia="Calibri" w:hAnsi="Times New Roman" w:cs="Times New Roman"/>
                <w:bCs/>
                <w:kern w:val="2"/>
                <w:sz w:val="24"/>
                <w:szCs w:val="24"/>
              </w:rPr>
              <w:t>(pesos)</w:t>
            </w:r>
          </w:p>
        </w:tc>
      </w:tr>
      <w:tr w:rsidR="00A26CD3" w:rsidRPr="005733B4" w:rsidTr="00A26CD3">
        <w:trPr>
          <w:trHeight w:val="225"/>
        </w:trPr>
        <w:tc>
          <w:tcPr>
            <w:tcW w:w="616"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w:t>
            </w:r>
          </w:p>
        </w:tc>
        <w:tc>
          <w:tcPr>
            <w:tcW w:w="500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Gasto Corriente</w:t>
            </w:r>
          </w:p>
        </w:tc>
        <w:tc>
          <w:tcPr>
            <w:tcW w:w="198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275,464,363,893</w:t>
            </w:r>
          </w:p>
        </w:tc>
      </w:tr>
      <w:tr w:rsidR="00A26CD3" w:rsidRPr="005733B4" w:rsidTr="00A26CD3">
        <w:trPr>
          <w:trHeight w:val="225"/>
        </w:trPr>
        <w:tc>
          <w:tcPr>
            <w:tcW w:w="616"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w:t>
            </w:r>
          </w:p>
        </w:tc>
        <w:tc>
          <w:tcPr>
            <w:tcW w:w="500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Gasto Capital</w:t>
            </w:r>
          </w:p>
        </w:tc>
        <w:tc>
          <w:tcPr>
            <w:tcW w:w="198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24,068,181,079</w:t>
            </w:r>
          </w:p>
        </w:tc>
      </w:tr>
      <w:tr w:rsidR="00A26CD3" w:rsidRPr="005733B4" w:rsidTr="00A26CD3">
        <w:trPr>
          <w:trHeight w:val="225"/>
        </w:trPr>
        <w:tc>
          <w:tcPr>
            <w:tcW w:w="616"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3</w:t>
            </w:r>
          </w:p>
        </w:tc>
        <w:tc>
          <w:tcPr>
            <w:tcW w:w="500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Amortización de la Deuda y Disminución de Pasivos</w:t>
            </w:r>
          </w:p>
        </w:tc>
        <w:tc>
          <w:tcPr>
            <w:tcW w:w="198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15,747,941,821</w:t>
            </w:r>
          </w:p>
        </w:tc>
      </w:tr>
      <w:tr w:rsidR="00A26CD3" w:rsidRPr="005733B4" w:rsidTr="00A26CD3">
        <w:trPr>
          <w:trHeight w:val="225"/>
        </w:trPr>
        <w:tc>
          <w:tcPr>
            <w:tcW w:w="616"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w:t>
            </w:r>
          </w:p>
        </w:tc>
        <w:tc>
          <w:tcPr>
            <w:tcW w:w="500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Pensiones y Jubilaciones</w:t>
            </w:r>
          </w:p>
        </w:tc>
        <w:tc>
          <w:tcPr>
            <w:tcW w:w="198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26,212,532,876</w:t>
            </w:r>
          </w:p>
        </w:tc>
      </w:tr>
      <w:tr w:rsidR="00A26CD3" w:rsidRPr="005733B4" w:rsidTr="00A26CD3">
        <w:trPr>
          <w:trHeight w:val="225"/>
        </w:trPr>
        <w:tc>
          <w:tcPr>
            <w:tcW w:w="616"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w:t>
            </w:r>
          </w:p>
        </w:tc>
        <w:tc>
          <w:tcPr>
            <w:tcW w:w="5000"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Participaciones</w:t>
            </w:r>
          </w:p>
        </w:tc>
        <w:tc>
          <w:tcPr>
            <w:tcW w:w="198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68,848,595,593</w:t>
            </w:r>
          </w:p>
        </w:tc>
      </w:tr>
      <w:tr w:rsidR="00A26CD3" w:rsidRPr="005733B4" w:rsidTr="00A26CD3">
        <w:trPr>
          <w:trHeight w:val="225"/>
        </w:trPr>
        <w:tc>
          <w:tcPr>
            <w:tcW w:w="616" w:type="dxa"/>
            <w:tcBorders>
              <w:top w:val="nil"/>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5000"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w:t>
            </w:r>
          </w:p>
        </w:tc>
        <w:tc>
          <w:tcPr>
            <w:tcW w:w="1985"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Calibri" w:hAnsi="Times New Roman" w:cs="Times New Roman"/>
                <w:b/>
                <w:bCs/>
                <w:color w:val="000000"/>
                <w:kern w:val="2"/>
                <w:sz w:val="24"/>
                <w:szCs w:val="24"/>
              </w:rPr>
              <w:t>410,341,615,262</w:t>
            </w:r>
          </w:p>
        </w:tc>
      </w:tr>
    </w:tbl>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b/>
          <w:sz w:val="24"/>
          <w:szCs w:val="24"/>
        </w:rPr>
        <w:t>Artículo 8.</w:t>
      </w:r>
      <w:r w:rsidRPr="005733B4">
        <w:rPr>
          <w:rFonts w:ascii="Times New Roman" w:eastAsia="Bookman Old Style" w:hAnsi="Times New Roman" w:cs="Times New Roman"/>
          <w:sz w:val="24"/>
          <w:szCs w:val="24"/>
        </w:rPr>
        <w:t xml:space="preserve"> El Presupuesto de Egresos está orientado a satisfacer las necesidades sociales de interés colectivo, en congruencia con los objetivos, estrategias y líneas de acción establecidas en el PDEM.</w:t>
      </w:r>
      <w:r w:rsidRPr="005733B4">
        <w:rPr>
          <w:rFonts w:ascii="Times New Roman" w:eastAsia="Bookman Old Style" w:hAnsi="Times New Roman" w:cs="Times New Roman"/>
          <w:color w:val="FF0000"/>
          <w:sz w:val="24"/>
          <w:szCs w:val="24"/>
        </w:rPr>
        <w:t xml:space="preserve"> </w:t>
      </w:r>
      <w:r w:rsidRPr="005733B4">
        <w:rPr>
          <w:rFonts w:ascii="Times New Roman" w:eastAsia="Bookman Old Style" w:hAnsi="Times New Roman" w:cs="Times New Roman"/>
          <w:sz w:val="24"/>
          <w:szCs w:val="24"/>
        </w:rPr>
        <w:t>La distribución del gasto se presenta conforme a dichos Ejes del Cambio y Ejes Transversales, de la siguiente manera:</w:t>
      </w:r>
    </w:p>
    <w:p w:rsidR="00A26CD3" w:rsidRPr="005733B4" w:rsidRDefault="00A26CD3" w:rsidP="00A26CD3">
      <w:pPr>
        <w:spacing w:after="0" w:line="240" w:lineRule="auto"/>
        <w:jc w:val="both"/>
        <w:rPr>
          <w:rFonts w:ascii="Times New Roman" w:eastAsia="Bookman Old Style" w:hAnsi="Times New Roman" w:cs="Times New Roman"/>
          <w:b/>
          <w:sz w:val="24"/>
          <w:szCs w:val="24"/>
        </w:rPr>
      </w:pPr>
    </w:p>
    <w:p w:rsidR="00A26CD3" w:rsidRPr="005733B4" w:rsidRDefault="00A26CD3" w:rsidP="00A26CD3">
      <w:pPr>
        <w:spacing w:after="0" w:line="240" w:lineRule="auto"/>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Tabla 3. Distribución por Ejes del Cambio y Ejes Transversales</w:t>
      </w:r>
    </w:p>
    <w:tbl>
      <w:tblPr>
        <w:tblW w:w="9351" w:type="dxa"/>
        <w:jc w:val="center"/>
        <w:tblCellMar>
          <w:left w:w="70" w:type="dxa"/>
          <w:right w:w="70" w:type="dxa"/>
        </w:tblCellMar>
        <w:tblLook w:val="04A0" w:firstRow="1" w:lastRow="0" w:firstColumn="1" w:lastColumn="0" w:noHBand="0" w:noVBand="1"/>
      </w:tblPr>
      <w:tblGrid>
        <w:gridCol w:w="808"/>
        <w:gridCol w:w="6559"/>
        <w:gridCol w:w="1984"/>
      </w:tblGrid>
      <w:tr w:rsidR="00A26CD3" w:rsidRPr="005733B4" w:rsidTr="00A26CD3">
        <w:trPr>
          <w:trHeight w:val="386"/>
          <w:jc w:val="center"/>
        </w:trPr>
        <w:tc>
          <w:tcPr>
            <w:tcW w:w="808"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Clave</w:t>
            </w:r>
          </w:p>
        </w:tc>
        <w:tc>
          <w:tcPr>
            <w:tcW w:w="6559"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Ejes del cambio y transversales</w:t>
            </w:r>
          </w:p>
        </w:tc>
        <w:tc>
          <w:tcPr>
            <w:tcW w:w="1984"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Monto (pesos)</w:t>
            </w:r>
          </w:p>
        </w:tc>
      </w:tr>
      <w:tr w:rsidR="00A26CD3" w:rsidRPr="005733B4" w:rsidTr="00A26CD3">
        <w:trPr>
          <w:trHeight w:val="386"/>
          <w:jc w:val="center"/>
        </w:trPr>
        <w:tc>
          <w:tcPr>
            <w:tcW w:w="7367" w:type="dxa"/>
            <w:gridSpan w:val="2"/>
            <w:tcBorders>
              <w:top w:val="single" w:sz="4" w:space="0" w:color="000000"/>
              <w:left w:val="single" w:sz="4" w:space="0" w:color="000000"/>
              <w:bottom w:val="single" w:sz="4" w:space="0" w:color="000000"/>
              <w:right w:val="single" w:sz="4" w:space="0" w:color="000000"/>
            </w:tcBorders>
            <w:shd w:val="clear" w:color="D9D9D9" w:fill="D9D9D9"/>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Ejes del cambio</w:t>
            </w:r>
          </w:p>
        </w:tc>
        <w:tc>
          <w:tcPr>
            <w:tcW w:w="1984" w:type="dxa"/>
            <w:tcBorders>
              <w:top w:val="nil"/>
              <w:left w:val="nil"/>
              <w:bottom w:val="single" w:sz="4" w:space="0" w:color="000000"/>
              <w:right w:val="single" w:sz="4" w:space="0" w:color="000000"/>
            </w:tcBorders>
            <w:shd w:val="clear" w:color="D9D9D9" w:fill="D9D9D9"/>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363,331,290,501</w:t>
            </w:r>
          </w:p>
        </w:tc>
      </w:tr>
      <w:tr w:rsidR="00A26CD3" w:rsidRPr="005733B4" w:rsidTr="00A26CD3">
        <w:trPr>
          <w:trHeight w:val="386"/>
          <w:jc w:val="center"/>
        </w:trPr>
        <w:tc>
          <w:tcPr>
            <w:tcW w:w="80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w:t>
            </w:r>
          </w:p>
        </w:tc>
        <w:tc>
          <w:tcPr>
            <w:tcW w:w="6559"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Eje 1. Cero corrupción y gobierno del pueblo y para el pueblo. "Estado de Derecho y austeridad".</w:t>
            </w:r>
          </w:p>
        </w:tc>
        <w:tc>
          <w:tcPr>
            <w:tcW w:w="198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kern w:val="2"/>
                <w:sz w:val="24"/>
                <w:szCs w:val="24"/>
              </w:rPr>
              <w:t>111,122,243,704</w:t>
            </w:r>
          </w:p>
        </w:tc>
      </w:tr>
      <w:tr w:rsidR="00A26CD3" w:rsidRPr="005733B4" w:rsidTr="00A26CD3">
        <w:trPr>
          <w:trHeight w:val="386"/>
          <w:jc w:val="center"/>
        </w:trPr>
        <w:tc>
          <w:tcPr>
            <w:tcW w:w="80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w:t>
            </w:r>
          </w:p>
        </w:tc>
        <w:tc>
          <w:tcPr>
            <w:tcW w:w="6559"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Eje 2. Bienestar ambiental y acceso universal al agua. "Preservación y promoción ecológica".</w:t>
            </w:r>
          </w:p>
        </w:tc>
        <w:tc>
          <w:tcPr>
            <w:tcW w:w="198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kern w:val="2"/>
                <w:sz w:val="24"/>
                <w:szCs w:val="24"/>
              </w:rPr>
              <w:t>7,647,695,478</w:t>
            </w:r>
          </w:p>
        </w:tc>
      </w:tr>
      <w:tr w:rsidR="00A26CD3" w:rsidRPr="005733B4" w:rsidTr="00A26CD3">
        <w:trPr>
          <w:trHeight w:val="386"/>
          <w:jc w:val="center"/>
        </w:trPr>
        <w:tc>
          <w:tcPr>
            <w:tcW w:w="80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3</w:t>
            </w:r>
          </w:p>
        </w:tc>
        <w:tc>
          <w:tcPr>
            <w:tcW w:w="6559"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Eje 3. Empleo digno y desarrollo económico. "Inclusión para el bienestar y la prosperidad".</w:t>
            </w:r>
          </w:p>
        </w:tc>
        <w:tc>
          <w:tcPr>
            <w:tcW w:w="198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kern w:val="2"/>
                <w:sz w:val="24"/>
                <w:szCs w:val="24"/>
              </w:rPr>
              <w:t>24,703,843,902</w:t>
            </w:r>
          </w:p>
        </w:tc>
      </w:tr>
      <w:tr w:rsidR="00A26CD3" w:rsidRPr="005733B4" w:rsidTr="00A26CD3">
        <w:trPr>
          <w:trHeight w:val="386"/>
          <w:jc w:val="center"/>
        </w:trPr>
        <w:tc>
          <w:tcPr>
            <w:tcW w:w="80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w:t>
            </w:r>
          </w:p>
        </w:tc>
        <w:tc>
          <w:tcPr>
            <w:tcW w:w="6559"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Eje 4. Bienestar Social. "Combate a la pobreza y atención a grupos en situación de vulnerabilidad".</w:t>
            </w:r>
          </w:p>
        </w:tc>
        <w:tc>
          <w:tcPr>
            <w:tcW w:w="198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kern w:val="2"/>
                <w:sz w:val="24"/>
                <w:szCs w:val="24"/>
              </w:rPr>
              <w:t>219,857,507,417</w:t>
            </w:r>
          </w:p>
        </w:tc>
      </w:tr>
      <w:tr w:rsidR="00A26CD3" w:rsidRPr="005733B4" w:rsidTr="00A26CD3">
        <w:trPr>
          <w:trHeight w:val="386"/>
          <w:jc w:val="center"/>
        </w:trPr>
        <w:tc>
          <w:tcPr>
            <w:tcW w:w="7367" w:type="dxa"/>
            <w:gridSpan w:val="2"/>
            <w:tcBorders>
              <w:top w:val="single" w:sz="4" w:space="0" w:color="000000"/>
              <w:left w:val="single" w:sz="4" w:space="0" w:color="000000"/>
              <w:bottom w:val="single" w:sz="4" w:space="0" w:color="000000"/>
              <w:right w:val="single" w:sz="4" w:space="0" w:color="000000"/>
            </w:tcBorders>
            <w:shd w:val="clear" w:color="D9D9D9" w:fill="D9D9D9"/>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Ejes transversales</w:t>
            </w:r>
          </w:p>
        </w:tc>
        <w:tc>
          <w:tcPr>
            <w:tcW w:w="1984" w:type="dxa"/>
            <w:tcBorders>
              <w:top w:val="nil"/>
              <w:left w:val="nil"/>
              <w:bottom w:val="single" w:sz="4" w:space="0" w:color="000000"/>
              <w:right w:val="single" w:sz="4" w:space="0" w:color="000000"/>
            </w:tcBorders>
            <w:shd w:val="clear" w:color="D9D9D9" w:fill="D9D9D9"/>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47,010,324,761</w:t>
            </w:r>
          </w:p>
        </w:tc>
      </w:tr>
      <w:tr w:rsidR="00A26CD3" w:rsidRPr="005733B4" w:rsidTr="00A26CD3">
        <w:trPr>
          <w:trHeight w:val="279"/>
          <w:jc w:val="center"/>
        </w:trPr>
        <w:tc>
          <w:tcPr>
            <w:tcW w:w="80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5</w:t>
            </w:r>
          </w:p>
        </w:tc>
        <w:tc>
          <w:tcPr>
            <w:tcW w:w="6559"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Eje Transversal 1. Igualdad de género.</w:t>
            </w:r>
          </w:p>
        </w:tc>
        <w:tc>
          <w:tcPr>
            <w:tcW w:w="198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kern w:val="2"/>
                <w:sz w:val="24"/>
                <w:szCs w:val="24"/>
              </w:rPr>
              <w:t>12,134,660,178</w:t>
            </w:r>
          </w:p>
        </w:tc>
      </w:tr>
      <w:tr w:rsidR="00A26CD3" w:rsidRPr="005733B4" w:rsidTr="00A26CD3">
        <w:trPr>
          <w:trHeight w:val="386"/>
          <w:jc w:val="center"/>
        </w:trPr>
        <w:tc>
          <w:tcPr>
            <w:tcW w:w="808" w:type="dxa"/>
            <w:tcBorders>
              <w:top w:val="nil"/>
              <w:left w:val="single" w:sz="4" w:space="0" w:color="000000"/>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6</w:t>
            </w:r>
          </w:p>
        </w:tc>
        <w:tc>
          <w:tcPr>
            <w:tcW w:w="6559"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Eje Transversal 2. Construcción de la paz y seguridad.</w:t>
            </w:r>
          </w:p>
        </w:tc>
        <w:tc>
          <w:tcPr>
            <w:tcW w:w="198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kern w:val="2"/>
                <w:sz w:val="24"/>
                <w:szCs w:val="24"/>
              </w:rPr>
              <w:t>34,875,664,583</w:t>
            </w:r>
          </w:p>
        </w:tc>
      </w:tr>
      <w:tr w:rsidR="00A26CD3" w:rsidRPr="005733B4" w:rsidTr="00A26CD3">
        <w:trPr>
          <w:trHeight w:val="386"/>
          <w:jc w:val="center"/>
        </w:trPr>
        <w:tc>
          <w:tcPr>
            <w:tcW w:w="7367" w:type="dxa"/>
            <w:gridSpan w:val="2"/>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1984"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410,341,615,262</w:t>
            </w:r>
          </w:p>
        </w:tc>
      </w:tr>
    </w:tbl>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8A1B6A" w:rsidRDefault="00A26CD3" w:rsidP="00A26CD3">
      <w:pPr>
        <w:spacing w:after="0" w:line="240" w:lineRule="auto"/>
        <w:jc w:val="both"/>
        <w:rPr>
          <w:rFonts w:ascii="Times New Roman" w:eastAsia="Bookman Old Style" w:hAnsi="Times New Roman" w:cs="Times New Roman"/>
          <w:bCs/>
          <w:sz w:val="24"/>
          <w:szCs w:val="24"/>
        </w:rPr>
      </w:pPr>
      <w:r w:rsidRPr="005733B4">
        <w:rPr>
          <w:rFonts w:ascii="Times New Roman" w:eastAsia="Bookman Old Style" w:hAnsi="Times New Roman" w:cs="Times New Roman"/>
          <w:bCs/>
          <w:sz w:val="24"/>
          <w:szCs w:val="24"/>
        </w:rPr>
        <w:t xml:space="preserve">En relación con el Eje Transversal 3. "Cumplimiento a los Objetivos de Desarrollo Sostenible", los proyectos </w:t>
      </w:r>
      <w:r w:rsidRPr="008A1B6A">
        <w:rPr>
          <w:rFonts w:ascii="Times New Roman" w:eastAsia="Bookman Old Style" w:hAnsi="Times New Roman" w:cs="Times New Roman"/>
          <w:bCs/>
          <w:sz w:val="24"/>
          <w:szCs w:val="24"/>
        </w:rPr>
        <w:t>asociados a dicho Eje, se encuentran debidamente incorporados y distribuidos en los distintos ejes que integran el PDEM, de conformidad con los objetivos, estrategias y líneas de acción que lo sustenta.</w:t>
      </w:r>
    </w:p>
    <w:p w:rsidR="00A26CD3" w:rsidRPr="008A1B6A" w:rsidRDefault="00A26CD3" w:rsidP="00A26CD3">
      <w:pPr>
        <w:spacing w:after="0" w:line="240" w:lineRule="auto"/>
        <w:jc w:val="both"/>
        <w:rPr>
          <w:rFonts w:ascii="Times New Roman" w:eastAsia="Bookman Old Style" w:hAnsi="Times New Roman" w:cs="Times New Roman"/>
          <w:bCs/>
          <w:sz w:val="24"/>
          <w:szCs w:val="24"/>
        </w:rPr>
      </w:pPr>
    </w:p>
    <w:p w:rsidR="00A26CD3" w:rsidRPr="005733B4" w:rsidRDefault="00A26CD3" w:rsidP="00A26CD3">
      <w:pPr>
        <w:spacing w:after="0" w:line="240" w:lineRule="auto"/>
        <w:jc w:val="both"/>
        <w:rPr>
          <w:rFonts w:ascii="Times New Roman" w:eastAsia="Bookman Old Style" w:hAnsi="Times New Roman" w:cs="Times New Roman"/>
          <w:bCs/>
          <w:sz w:val="24"/>
          <w:szCs w:val="24"/>
        </w:rPr>
      </w:pPr>
      <w:r w:rsidRPr="008A1B6A">
        <w:rPr>
          <w:rFonts w:ascii="Times New Roman" w:eastAsia="Bookman Old Style" w:hAnsi="Times New Roman" w:cs="Times New Roman"/>
          <w:bCs/>
          <w:sz w:val="24"/>
          <w:szCs w:val="24"/>
        </w:rPr>
        <w:t xml:space="preserve">Estos proyectos forman parte de los programas y acciones institucionales que se detallan en el </w:t>
      </w:r>
      <w:r w:rsidRPr="008A1B6A">
        <w:rPr>
          <w:rFonts w:ascii="Times New Roman" w:eastAsia="Bookman Old Style" w:hAnsi="Times New Roman" w:cs="Times New Roman"/>
          <w:b/>
          <w:sz w:val="24"/>
          <w:szCs w:val="24"/>
        </w:rPr>
        <w:t xml:space="preserve">“Anexo I Alineación de los programas presupuestarios a los Objetivos del Desarrollo Sostenible” </w:t>
      </w:r>
      <w:r w:rsidRPr="008A1B6A">
        <w:rPr>
          <w:rFonts w:ascii="Times New Roman" w:eastAsia="Bookman Old Style" w:hAnsi="Times New Roman" w:cs="Times New Roman"/>
          <w:bCs/>
          <w:sz w:val="24"/>
          <w:szCs w:val="24"/>
        </w:rPr>
        <w:t xml:space="preserve">del </w:t>
      </w:r>
      <w:r w:rsidRPr="005733B4">
        <w:rPr>
          <w:rFonts w:ascii="Times New Roman" w:eastAsia="Bookman Old Style" w:hAnsi="Times New Roman" w:cs="Times New Roman"/>
          <w:bCs/>
          <w:sz w:val="24"/>
          <w:szCs w:val="24"/>
        </w:rPr>
        <w:t>presente Decreto.</w:t>
      </w:r>
    </w:p>
    <w:p w:rsidR="00A26CD3" w:rsidRPr="005733B4" w:rsidRDefault="00A26CD3" w:rsidP="00A26CD3">
      <w:pPr>
        <w:spacing w:after="0" w:line="240" w:lineRule="auto"/>
        <w:jc w:val="both"/>
        <w:rPr>
          <w:rFonts w:ascii="Times New Roman" w:eastAsia="Bookman Old Style" w:hAnsi="Times New Roman" w:cs="Times New Roman"/>
          <w:b/>
          <w:sz w:val="24"/>
          <w:szCs w:val="24"/>
        </w:rPr>
      </w:pPr>
    </w:p>
    <w:p w:rsidR="00A26CD3" w:rsidRPr="005733B4" w:rsidRDefault="00A26CD3" w:rsidP="00A26CD3">
      <w:pPr>
        <w:spacing w:after="0" w:line="240" w:lineRule="auto"/>
        <w:jc w:val="both"/>
        <w:rPr>
          <w:rFonts w:ascii="Times New Roman" w:eastAsia="Bookman Old Style" w:hAnsi="Times New Roman" w:cs="Times New Roman"/>
          <w:color w:val="000000" w:themeColor="text1"/>
          <w:sz w:val="24"/>
          <w:szCs w:val="24"/>
        </w:rPr>
      </w:pPr>
      <w:r w:rsidRPr="005733B4">
        <w:rPr>
          <w:rFonts w:ascii="Times New Roman" w:eastAsia="Bookman Old Style" w:hAnsi="Times New Roman" w:cs="Times New Roman"/>
          <w:b/>
          <w:sz w:val="24"/>
          <w:szCs w:val="24"/>
        </w:rPr>
        <w:t>Artículo 9.</w:t>
      </w:r>
      <w:r w:rsidRPr="005733B4">
        <w:rPr>
          <w:rFonts w:ascii="Times New Roman" w:eastAsia="Bookman Old Style" w:hAnsi="Times New Roman" w:cs="Times New Roman"/>
          <w:sz w:val="24"/>
          <w:szCs w:val="24"/>
        </w:rPr>
        <w:t xml:space="preserve"> El Presupuesto de Egresos, se distribuye </w:t>
      </w:r>
      <w:r w:rsidRPr="005733B4">
        <w:rPr>
          <w:rFonts w:ascii="Times New Roman" w:eastAsia="Bookman Old Style" w:hAnsi="Times New Roman" w:cs="Times New Roman"/>
          <w:color w:val="000000" w:themeColor="text1"/>
          <w:sz w:val="24"/>
          <w:szCs w:val="24"/>
        </w:rPr>
        <w:t>de acuerdo con la estructura establecida por el CONAC. La información que se presenta en las tablas siguientes, refleja la integración por finalidad, función, subfunción y programa de la siguiente forma:</w:t>
      </w:r>
    </w:p>
    <w:p w:rsidR="00A26CD3" w:rsidRPr="005733B4" w:rsidRDefault="00A26CD3" w:rsidP="00A26CD3">
      <w:pPr>
        <w:spacing w:after="0" w:line="240" w:lineRule="auto"/>
        <w:jc w:val="center"/>
        <w:rPr>
          <w:rFonts w:ascii="Times New Roman" w:eastAsia="Bookman Old Style" w:hAnsi="Times New Roman" w:cs="Times New Roman"/>
          <w:sz w:val="24"/>
          <w:szCs w:val="24"/>
        </w:rPr>
      </w:pPr>
    </w:p>
    <w:p w:rsidR="00A26CD3" w:rsidRPr="005733B4" w:rsidRDefault="00A26CD3" w:rsidP="00A26CD3">
      <w:pPr>
        <w:spacing w:after="0" w:line="240" w:lineRule="auto"/>
        <w:rPr>
          <w:rFonts w:ascii="Times New Roman" w:eastAsia="Calibri" w:hAnsi="Times New Roman" w:cs="Times New Roman"/>
          <w:bCs/>
          <w:kern w:val="2"/>
          <w:sz w:val="24"/>
          <w:szCs w:val="24"/>
        </w:rPr>
      </w:pPr>
      <w:r w:rsidRPr="005733B4">
        <w:rPr>
          <w:rFonts w:ascii="Times New Roman" w:eastAsia="Calibri" w:hAnsi="Times New Roman" w:cs="Times New Roman"/>
          <w:bCs/>
          <w:kern w:val="2"/>
          <w:sz w:val="24"/>
          <w:szCs w:val="24"/>
        </w:rPr>
        <w:t xml:space="preserve">Tabla 4. Clasificación Funcional del Gasto por Finalidad, Función, Subfunción y Programa </w:t>
      </w:r>
    </w:p>
    <w:tbl>
      <w:tblPr>
        <w:tblW w:w="9489" w:type="dxa"/>
        <w:jc w:val="center"/>
        <w:tblCellMar>
          <w:left w:w="70" w:type="dxa"/>
          <w:right w:w="70" w:type="dxa"/>
        </w:tblCellMar>
        <w:tblLook w:val="04A0" w:firstRow="1" w:lastRow="0" w:firstColumn="1" w:lastColumn="0" w:noHBand="0" w:noVBand="1"/>
      </w:tblPr>
      <w:tblGrid>
        <w:gridCol w:w="390"/>
        <w:gridCol w:w="460"/>
        <w:gridCol w:w="421"/>
        <w:gridCol w:w="474"/>
        <w:gridCol w:w="6087"/>
        <w:gridCol w:w="1805"/>
      </w:tblGrid>
      <w:tr w:rsidR="00A26CD3" w:rsidRPr="005733B4" w:rsidTr="00A26CD3">
        <w:trPr>
          <w:trHeight w:val="312"/>
          <w:tblHeader/>
          <w:jc w:val="center"/>
        </w:trPr>
        <w:tc>
          <w:tcPr>
            <w:tcW w:w="9489" w:type="dxa"/>
            <w:gridSpan w:val="6"/>
            <w:tcBorders>
              <w:top w:val="single" w:sz="4" w:space="0" w:color="000000"/>
              <w:left w:val="single" w:sz="4" w:space="0" w:color="000000"/>
              <w:bottom w:val="single" w:sz="4" w:space="0" w:color="000000"/>
              <w:right w:val="single" w:sz="4" w:space="0" w:color="000000"/>
            </w:tcBorders>
            <w:shd w:val="clear" w:color="C2C2C2" w:fill="C2C2C2"/>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Clasificación Funcional</w:t>
            </w:r>
          </w:p>
        </w:tc>
      </w:tr>
      <w:tr w:rsidR="00A26CD3" w:rsidRPr="005733B4" w:rsidTr="00A26CD3">
        <w:trPr>
          <w:trHeight w:val="312"/>
          <w:tblHeader/>
          <w:jc w:val="center"/>
        </w:trPr>
        <w:tc>
          <w:tcPr>
            <w:tcW w:w="9489" w:type="dxa"/>
            <w:gridSpan w:val="6"/>
            <w:tcBorders>
              <w:top w:val="single" w:sz="4" w:space="0" w:color="000000"/>
              <w:left w:val="single" w:sz="4" w:space="0" w:color="000000"/>
              <w:bottom w:val="single" w:sz="4" w:space="0" w:color="000000"/>
              <w:right w:val="single" w:sz="4" w:space="0" w:color="000000"/>
            </w:tcBorders>
            <w:shd w:val="clear" w:color="C2C2C2" w:fill="C2C2C2"/>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(Finalidad, Función, Subfunción y Programa)</w:t>
            </w:r>
          </w:p>
        </w:tc>
      </w:tr>
      <w:tr w:rsidR="00A26CD3" w:rsidRPr="005733B4" w:rsidTr="00A26CD3">
        <w:trPr>
          <w:trHeight w:val="288"/>
          <w:tblHeader/>
          <w:jc w:val="center"/>
        </w:trPr>
        <w:tc>
          <w:tcPr>
            <w:tcW w:w="390" w:type="dxa"/>
            <w:tcBorders>
              <w:top w:val="nil"/>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F</w:t>
            </w:r>
          </w:p>
        </w:tc>
        <w:tc>
          <w:tcPr>
            <w:tcW w:w="408"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FN</w:t>
            </w:r>
          </w:p>
        </w:tc>
        <w:tc>
          <w:tcPr>
            <w:tcW w:w="390"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SF</w:t>
            </w:r>
          </w:p>
        </w:tc>
        <w:tc>
          <w:tcPr>
            <w:tcW w:w="409"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PG</w:t>
            </w:r>
          </w:p>
        </w:tc>
        <w:tc>
          <w:tcPr>
            <w:tcW w:w="6087"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Denominación</w:t>
            </w:r>
          </w:p>
        </w:tc>
        <w:tc>
          <w:tcPr>
            <w:tcW w:w="1805"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Monto (pesos)</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7294" w:type="dxa"/>
            <w:gridSpan w:val="4"/>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xml:space="preserve">Gobierno </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65,404,507,831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Legislación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1,838,874,630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Legislación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1,475,888,744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Legislativo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1,475,888,744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Fiscalización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362,985,886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Fiscalización superior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362,985,886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Justicia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18,860,082,927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Impartición de justicia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7,072,331,941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Administrar e impartir justicia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6,833,685,423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e impartición de justicia electoral local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238,646,518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Procuración de justicia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5,835,653,320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Procuración de justicia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5,318,344,016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Procuración de justicia con perspectiva de género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517,309,304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Ejecución Penal y Reinserción Social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5,489,870,438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Prevención y reinserción social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5,489,870,438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Derechos humanos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462,227,228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Derechos humanos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462,227,228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Coordinación de la política de gobierno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7,143,000,831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Gubernatura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1,770,938,935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Conducción de las políticas de gobierno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1,770,938,935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Política interior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661,562,290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Democracia y pluralidad política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661,562,290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Preservación y cuidado del patrimonio público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232,561,071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Conservación del patrimonio público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232,561,071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Función pública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1,715,901,711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Función pública y combate a la corrupción </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762,017,086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Sistema Anticorrupción del Estado de México y Municipios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953,884,625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Asuntos jurídicos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323,957,098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Asistencia jurídica al ejecutivo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323,957,098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Organización de procesos electorales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1,764,459,768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Electoral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1,764,459,768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Población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32,673,298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Población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32,673,298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Territorio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608,718,314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Política territorial moderna y sostenible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608,718,314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32,228,346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Coordinación metropolitana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32,228,346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Relaciones exteriores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30,572,301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Relaciones exteriores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30,572,301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Relaciones exteriores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30,572,301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05</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Asuntos financieros y hacendarios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15,667,387,980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Asuntos financieros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Asuntos hacendarios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15,667,387,980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municipal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242,514,054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Fortalecimiento de los ingresos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12,836,963,431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del programa de inversión pública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346,372,983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Financiamiento de la infraestructura para el desarrollo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4,154,060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Planeación y presupuesto basado en resultados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609,900,483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Consolidación de la administración pública de resultados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1,627,482,969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06</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Seguridad nacional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Defensa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Marina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Inteligencia para la preservación de la seguridad nacional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07</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Asuntos de orden público y de seguridad interior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16,868,777,864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Policía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15,371,818,046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Seguridad pública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15,371,818,046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civil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298,647,081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civil y gestión integral del riesgo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298,647,081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asuntos de orden público y seguridad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Sistema nacional de seguridad pública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1,198,312,737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Coordinación intergubernamental para la seguridad pública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1,198,312,737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08</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Otros servicios generales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4,995,811,298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Servicios registrales, administrativos y patrimoniales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3,111,025,162</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jurídica de las personas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89,730,310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Modernización del catastro mexiquense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39,171,785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jurídica y registro de los bienes inmuebles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2,982,123,067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Servicios estadísticos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70,518,891</w:t>
            </w:r>
          </w:p>
        </w:tc>
      </w:tr>
      <w:tr w:rsidR="00A26CD3" w:rsidRPr="005733B4" w:rsidTr="00A26CD3">
        <w:trPr>
          <w:trHeight w:val="256"/>
          <w:jc w:val="center"/>
        </w:trPr>
        <w:tc>
          <w:tcPr>
            <w:tcW w:w="39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del sistema estatal de información estadística y geográfica</w:t>
            </w:r>
          </w:p>
        </w:tc>
        <w:tc>
          <w:tcPr>
            <w:tcW w:w="180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70,518,891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Servicios de comunicación y medios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732,039,018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Comunicación pública y fortalecimiento informativo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732,039,018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Acceso a la información pública gubernamental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126,735,944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Transparencia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126,735,944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955,492,283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Gobierno Digital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829,151,959</w:t>
            </w:r>
          </w:p>
        </w:tc>
      </w:tr>
      <w:tr w:rsidR="00A26CD3" w:rsidRPr="005733B4" w:rsidTr="00A26CD3">
        <w:trPr>
          <w:trHeight w:val="576"/>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de bienes sujetos a procedimiento penal y a extinción de dominio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126,340,324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7294" w:type="dxa"/>
            <w:gridSpan w:val="4"/>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Desarrollo social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235,660,752,146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Protección ambiental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4,080,581,586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Ordenación de desechos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de agua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9,475,334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Regulación para el aprovechamiento sustentable del agua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9,475,334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Ordenación de aguas residuales, drenaje y alcantarillado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2,304,200,726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Manejo de aguas residuales, drenaje y alcantarillado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2,304,200,726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Reducción de la contaminación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1,248,333,033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integral del ambiente para el bienestar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1,248,333,033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de la diversidad biológica y del paisaje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518,572,493</w:t>
            </w:r>
          </w:p>
        </w:tc>
      </w:tr>
      <w:tr w:rsidR="00A26CD3" w:rsidRPr="005733B4" w:rsidTr="00A26CD3">
        <w:trPr>
          <w:trHeight w:val="576"/>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Manejo sustentable y conservación sostenible de los ecosistemas y la biodiversidad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518,572,493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de protección ambiental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Vivienda y servicios a la comunidad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5,972,592,428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Urbanización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799,965,248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Infraestructura de espacios públicos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799,965,248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comunitario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Abastecimiento de agua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2,847,816,176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Manejo eficiente y sustentable del agua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2,847,816,176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Alumbrado público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Vivienda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572,406,711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Vivienda para el bienestar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572,406,711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Servicios comunales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regional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1,752,404,293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Coordinación para el desarrollo regional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1,752,404,293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Salud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42,906,728,394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Prestación de servicios de salud a la comunidad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4,269,370,776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Prevención médica </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4,269,370,776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Prestación de servicios de salud a la persona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37,239,798,713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Atención médica </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30,531,860,046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Salud para la población infantil y adolescente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3,412,773,406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Servicios de salud para la mujer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2,579,912,896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Salud para el adulto y adulto mayor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715,252,365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Generación de recursos para la salud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Rectoría del sistema de salud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1,397,558,905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y gestión de las políticas para la salud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1,397,558,905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social en salud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Recreación, cultura y otras manifestaciones sociales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2,834,777,468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Deporte y recreación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362,671,486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Cultura física y deporte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362,671,486</w:t>
            </w:r>
          </w:p>
        </w:tc>
      </w:tr>
      <w:tr w:rsidR="00A26CD3" w:rsidRPr="005733B4" w:rsidTr="00A26CD3">
        <w:trPr>
          <w:trHeight w:val="186"/>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Cultura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2,071,730,537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Cultura y arte </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2,071,730,537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Radio, televisión y editoriales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363,382,801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Identidad mexiquense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363,382,801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Asuntos religiosos y otras manifestaciones sociales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36,992,644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Nuevas organizaciones de la sociedad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36,992,644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05</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Educación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134,061,295,468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básica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88,184,893,743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básica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88,184,893,743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media superior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12,789,096,969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media superior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12,789,096,969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superior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13,005,486,163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superior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13,005,486,163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Posgrado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55,415,391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Estudios de posgrado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55,415,391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para adultos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1,268,456,308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para adultos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1,268,456,308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servicios educativos y actividades inherentes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18,757,946,894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Gestión de las políticas educativas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7,692,984,892</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Modernización de la educación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8,484,876,707</w:t>
            </w:r>
          </w:p>
        </w:tc>
      </w:tr>
      <w:tr w:rsidR="00A26CD3" w:rsidRPr="005733B4" w:rsidTr="00A26CD3">
        <w:trPr>
          <w:trHeight w:val="212"/>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Alimentación y nutrición para la población infantil y adolescente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2,580,085,295</w:t>
            </w:r>
          </w:p>
        </w:tc>
      </w:tr>
      <w:tr w:rsidR="00A26CD3" w:rsidRPr="005733B4" w:rsidTr="00A26CD3">
        <w:trPr>
          <w:trHeight w:val="201"/>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06</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Protección social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45,804,776,802</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Enfermedad e incapacidad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5,818,889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Prestaciones obligatorias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5,818,889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Edad avanzada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27,344,046,034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Pensiones y seguro por fallecimiento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27,344,046,034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Familia e hijos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1,176,178,004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Prestaciones potestativas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1,176,178,004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Desempleo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Alimentación y nutrición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1,747,689,604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Alimentación y nutrición para el bienestar</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1,747,689,604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Apoyo social para la vivienda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Indígenas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143,151,475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Pueblos indígenas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143,151,475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grupos vulnerables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15,387,892,796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a la población infantil y adolescente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182,116,767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Atención a Personas con discapacidad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1,720,098,776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Apoyo integral a las personas adultas mayores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916,490,244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integral de la familia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855,670,224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Igualdad de trato y oportunidades para la mujer y el hombre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11,617,350,874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Oportunidades para los adolescentes y jóvenes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96,165,911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de seguridad social y asistencia social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07</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Otros asuntos sociales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asuntos sociales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7294" w:type="dxa"/>
            <w:gridSpan w:val="4"/>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Desarrollo económico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24,679,817,871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Asuntos económicos, comerciales y laborales en general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1,726,227,184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Asuntos económicos y comerciales en general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466,838,516</w:t>
            </w:r>
          </w:p>
        </w:tc>
      </w:tr>
      <w:tr w:rsidR="00A26CD3" w:rsidRPr="005733B4" w:rsidTr="00A26CD3">
        <w:trPr>
          <w:trHeight w:val="390"/>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Coordinación y gestión de las políticas para el desarrollo económico inclusivo y sostenible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466,838,516</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Asuntos laborales generales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1,259,388,668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Empleo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887,795,509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Administrativo y laboral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371,593,159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lastRenderedPageBreak/>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Agropecuaria, silvicultura, pesca y caza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4,011,680,674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Agropecuaria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1,756,958,994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agrícola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668,659,580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Fomento a personas productoras para el rescate del campo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428,176,565</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Fomento pecuario, avícola, apícola y acuícola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549,361,621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Sanidad, inocuidad y calidad agroalimentaria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110,761,228</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Silvicultura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706,028,253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forestal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706,028,253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Acuicultura, pesca y caza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Agroindustrial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Hidroagrícola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1,496,693,427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Infraestructura hidroagrícola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1,496,693,427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Apoyo financiero a la banca y seguro agropecuario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52,000,000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Seguros y garantías financieras agropecuarias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52,000,000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Combustibles y energía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13,269,463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Carbón y otros combustibles minerales sólidos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Petróleo y gas natural (hidrocarburos)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Combustibles nucleares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122"/>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combustibles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Electricidad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13,269,463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Eficiencia energética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13,269,463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Energía no eléctrica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Minería, manufacturas y construcción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w:t>
            </w:r>
          </w:p>
        </w:tc>
      </w:tr>
      <w:tr w:rsidR="00A26CD3" w:rsidRPr="005733B4" w:rsidTr="00A26CD3">
        <w:trPr>
          <w:trHeight w:val="236"/>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Extracción de recursos minerales excepto los combustibles minerales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Manufacturas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Construcción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05</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Transporte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17,841,282,049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Transporte por carretera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17,841,282,049</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Sistema Integral de Movilidad y Seguridad Vial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787,196,377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Sistema de Transporte Masivo y de Alta Capacidad</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8,246,205,951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Infraestructura vial libre de peaje, cuota y aeroportuaria </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8,807,879,721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Transporte por agua y puertos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Transporte por ferrocarril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Transporte aéreo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40"/>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6496" w:type="dxa"/>
            <w:gridSpan w:val="2"/>
            <w:tcBorders>
              <w:top w:val="single" w:sz="4" w:space="0" w:color="000000"/>
              <w:left w:val="nil"/>
              <w:bottom w:val="single" w:sz="4" w:space="0" w:color="000000"/>
              <w:right w:val="single" w:sz="4" w:space="0" w:color="000000"/>
            </w:tcBorders>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Transporte por oleoductos y gasoductos y otros sistemas de transporte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relacionados con transporte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06</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Comunicaciones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w:t>
            </w:r>
          </w:p>
        </w:tc>
      </w:tr>
      <w:tr w:rsidR="00A26CD3" w:rsidRPr="005733B4" w:rsidTr="00A26CD3">
        <w:trPr>
          <w:trHeight w:val="187"/>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Comunicaciones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07</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Turismo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244,745,537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Turismo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244,745,537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integral del turismo mexiquense</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244,745,537</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Hoteles y restaurantes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08</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Ciencia, tecnología e innovación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787,990,391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Investigación científica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584,668,670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Investigación científica </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584,668,670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tecnológico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90,402,230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tecnológico aplicado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90,402,230</w:t>
            </w:r>
          </w:p>
        </w:tc>
      </w:tr>
      <w:tr w:rsidR="00A26CD3" w:rsidRPr="005733B4" w:rsidTr="00A26CD3">
        <w:trPr>
          <w:trHeight w:val="152"/>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Servicios científicos y tecnológicos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Cambio tecnológico en el sector agropecuario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Innovación</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112,919,491</w:t>
            </w:r>
          </w:p>
        </w:tc>
      </w:tr>
      <w:tr w:rsidR="00A26CD3" w:rsidRPr="005733B4" w:rsidTr="00A26CD3">
        <w:trPr>
          <w:trHeight w:val="264"/>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Innovación científica y tecnológica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112,919,491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09</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Otras industrias y otros asuntos económicos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54,622,573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Comercio, distribución, almacenamiento y depósito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Otras industrias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Otros asuntos económicos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54,622,573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Promoción artesanal</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54,622,573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7294" w:type="dxa"/>
            <w:gridSpan w:val="4"/>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Otras no clasificadas en funciones anteriores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84,596,537,414</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01</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Transacciones de la deuda pública / costo financiero de la deuda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8,487,142,751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Deuda pública interna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8,487,142,751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Deuda pública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8,487,142,751</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Deuda pública externa</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612"/>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w:t>
            </w:r>
          </w:p>
        </w:tc>
        <w:tc>
          <w:tcPr>
            <w:tcW w:w="6886" w:type="dxa"/>
            <w:gridSpan w:val="3"/>
            <w:tcBorders>
              <w:top w:val="single" w:sz="4" w:space="0" w:color="000000"/>
              <w:left w:val="nil"/>
              <w:bottom w:val="single" w:sz="4" w:space="0" w:color="000000"/>
              <w:right w:val="single" w:sz="4" w:space="0" w:color="000000"/>
            </w:tcBorders>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Transferencias, participaciones y aportaciones entre diferentes niveles y órdenes de gobierno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68,848,595,593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Transferencias entre diferentes niveles y órdenes de gobierno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Participaciones entre diferentes niveles y órdenes de gobierno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42,835,352,123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Participaciones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42,835,352,123</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Aportaciones entre diferentes niveles y órdenes de gobierno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26,013,243,470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09"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Aportaciones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26,013,243,470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Saneamiento del sistema financiero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Saneamiento del sistema financiero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11"/>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Apoyos IPAB</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Banca de desarrollo</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326"/>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6496" w:type="dxa"/>
            <w:gridSpan w:val="2"/>
            <w:tcBorders>
              <w:top w:val="single" w:sz="4" w:space="0" w:color="000000"/>
              <w:left w:val="nil"/>
              <w:bottom w:val="single" w:sz="4" w:space="0" w:color="000000"/>
              <w:right w:val="single" w:sz="4" w:space="0" w:color="000000"/>
            </w:tcBorders>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Apoyos a los programas de reestructura en unidades de inversión (UDIS)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w:t>
            </w:r>
          </w:p>
        </w:tc>
        <w:tc>
          <w:tcPr>
            <w:tcW w:w="6886" w:type="dxa"/>
            <w:gridSpan w:val="3"/>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Adeudos de ejercicios fiscales anteriores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7,260,799,070</w:t>
            </w:r>
          </w:p>
        </w:tc>
      </w:tr>
      <w:tr w:rsidR="00A26CD3" w:rsidRPr="005733B4" w:rsidTr="00A26CD3">
        <w:trPr>
          <w:trHeight w:val="288"/>
          <w:jc w:val="center"/>
        </w:trPr>
        <w:tc>
          <w:tcPr>
            <w:tcW w:w="390"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496" w:type="dxa"/>
            <w:gridSpan w:val="2"/>
            <w:tcBorders>
              <w:top w:val="single" w:sz="4" w:space="0" w:color="000000"/>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Adeudos de ejercicios fiscales anteriores</w:t>
            </w:r>
          </w:p>
        </w:tc>
        <w:tc>
          <w:tcPr>
            <w:tcW w:w="1805"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7,260,799,070</w:t>
            </w:r>
          </w:p>
        </w:tc>
      </w:tr>
      <w:tr w:rsidR="00A26CD3" w:rsidRPr="005733B4" w:rsidTr="00A26CD3">
        <w:trPr>
          <w:trHeight w:val="253"/>
          <w:jc w:val="center"/>
        </w:trPr>
        <w:tc>
          <w:tcPr>
            <w:tcW w:w="390" w:type="dxa"/>
            <w:tcBorders>
              <w:top w:val="nil"/>
              <w:left w:val="single" w:sz="4" w:space="0" w:color="000000"/>
              <w:bottom w:val="nil"/>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08" w:type="dxa"/>
            <w:tcBorders>
              <w:top w:val="nil"/>
              <w:left w:val="nil"/>
              <w:bottom w:val="nil"/>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390" w:type="dxa"/>
            <w:tcBorders>
              <w:top w:val="nil"/>
              <w:left w:val="nil"/>
              <w:bottom w:val="nil"/>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09" w:type="dxa"/>
            <w:tcBorders>
              <w:top w:val="nil"/>
              <w:left w:val="nil"/>
              <w:bottom w:val="nil"/>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6087" w:type="dxa"/>
            <w:tcBorders>
              <w:top w:val="nil"/>
              <w:left w:val="nil"/>
              <w:bottom w:val="nil"/>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Previsiones para el pago de adeudos de ejercicios fiscales anteriores </w:t>
            </w:r>
          </w:p>
        </w:tc>
        <w:tc>
          <w:tcPr>
            <w:tcW w:w="1805" w:type="dxa"/>
            <w:tcBorders>
              <w:top w:val="nil"/>
              <w:left w:val="nil"/>
              <w:bottom w:val="nil"/>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7,260,799,070</w:t>
            </w:r>
          </w:p>
        </w:tc>
      </w:tr>
      <w:tr w:rsidR="00A26CD3" w:rsidRPr="005733B4" w:rsidTr="00A26CD3">
        <w:trPr>
          <w:trHeight w:val="312"/>
          <w:jc w:val="center"/>
        </w:trPr>
        <w:tc>
          <w:tcPr>
            <w:tcW w:w="7684" w:type="dxa"/>
            <w:gridSpan w:val="5"/>
            <w:tcBorders>
              <w:top w:val="single" w:sz="4" w:space="0" w:color="auto"/>
              <w:left w:val="single" w:sz="4" w:space="0" w:color="auto"/>
              <w:bottom w:val="single" w:sz="4" w:space="0" w:color="auto"/>
              <w:right w:val="single" w:sz="4" w:space="0" w:color="000000"/>
            </w:tcBorders>
            <w:shd w:val="clear" w:color="C2C2C2" w:fill="C2C2C2"/>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1805" w:type="dxa"/>
            <w:tcBorders>
              <w:top w:val="single" w:sz="4" w:space="0" w:color="auto"/>
              <w:left w:val="nil"/>
              <w:bottom w:val="single" w:sz="4" w:space="0" w:color="auto"/>
              <w:right w:val="single" w:sz="4" w:space="0" w:color="auto"/>
            </w:tcBorders>
            <w:shd w:val="clear" w:color="C2C2C2" w:fill="C2C2C2"/>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410,341,615,262</w:t>
            </w:r>
          </w:p>
        </w:tc>
      </w:tr>
    </w:tbl>
    <w:p w:rsidR="00A26CD3" w:rsidRPr="005733B4" w:rsidRDefault="00A26CD3" w:rsidP="00A26CD3">
      <w:pPr>
        <w:spacing w:after="0" w:line="240" w:lineRule="auto"/>
        <w:jc w:val="both"/>
        <w:rPr>
          <w:rFonts w:ascii="Times New Roman" w:eastAsia="Calibri" w:hAnsi="Times New Roman" w:cs="Times New Roman"/>
          <w:kern w:val="2"/>
          <w:sz w:val="24"/>
          <w:szCs w:val="24"/>
        </w:rPr>
      </w:pPr>
      <w:r w:rsidRPr="005733B4">
        <w:rPr>
          <w:rFonts w:ascii="Times New Roman" w:eastAsia="Calibri" w:hAnsi="Times New Roman" w:cs="Times New Roman"/>
          <w:kern w:val="2"/>
          <w:sz w:val="24"/>
          <w:szCs w:val="24"/>
        </w:rPr>
        <w:t xml:space="preserve">Tabla 5. Clasificación Funcional del gasto por Programa Presupuestario, por Gasto Programable y no Programable </w:t>
      </w:r>
    </w:p>
    <w:p w:rsidR="00A26CD3" w:rsidRPr="005733B4" w:rsidRDefault="00A26CD3" w:rsidP="00A26CD3">
      <w:pPr>
        <w:spacing w:after="0" w:line="240" w:lineRule="auto"/>
        <w:jc w:val="both"/>
        <w:rPr>
          <w:rFonts w:ascii="Times New Roman" w:eastAsia="Calibri" w:hAnsi="Times New Roman" w:cs="Times New Roman"/>
          <w:kern w:val="2"/>
          <w:sz w:val="24"/>
          <w:szCs w:val="24"/>
        </w:rPr>
      </w:pPr>
    </w:p>
    <w:tbl>
      <w:tblPr>
        <w:tblW w:w="9395" w:type="dxa"/>
        <w:tblCellMar>
          <w:left w:w="70" w:type="dxa"/>
          <w:right w:w="70" w:type="dxa"/>
        </w:tblCellMar>
        <w:tblLook w:val="04A0" w:firstRow="1" w:lastRow="0" w:firstColumn="1" w:lastColumn="0" w:noHBand="0" w:noVBand="1"/>
      </w:tblPr>
      <w:tblGrid>
        <w:gridCol w:w="380"/>
        <w:gridCol w:w="460"/>
        <w:gridCol w:w="421"/>
        <w:gridCol w:w="474"/>
        <w:gridCol w:w="5900"/>
        <w:gridCol w:w="1760"/>
      </w:tblGrid>
      <w:tr w:rsidR="00A26CD3" w:rsidRPr="005733B4" w:rsidTr="00692C86">
        <w:trPr>
          <w:trHeight w:val="223"/>
          <w:tblHeader/>
        </w:trPr>
        <w:tc>
          <w:tcPr>
            <w:tcW w:w="9395" w:type="dxa"/>
            <w:gridSpan w:val="6"/>
            <w:tcBorders>
              <w:top w:val="nil"/>
              <w:left w:val="single" w:sz="4" w:space="0" w:color="000000"/>
              <w:bottom w:val="single" w:sz="4" w:space="0" w:color="000000"/>
              <w:right w:val="single" w:sz="4" w:space="0" w:color="000000"/>
            </w:tcBorders>
            <w:shd w:val="clear" w:color="C2C2C2" w:fill="C2C2C2"/>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lastRenderedPageBreak/>
              <w:t>Clasificación Funcional</w:t>
            </w:r>
          </w:p>
        </w:tc>
      </w:tr>
      <w:tr w:rsidR="00A26CD3" w:rsidRPr="005733B4" w:rsidTr="00692C86">
        <w:trPr>
          <w:trHeight w:val="223"/>
          <w:tblHeader/>
        </w:trPr>
        <w:tc>
          <w:tcPr>
            <w:tcW w:w="9395" w:type="dxa"/>
            <w:gridSpan w:val="6"/>
            <w:tcBorders>
              <w:top w:val="single" w:sz="4" w:space="0" w:color="000000"/>
              <w:left w:val="single" w:sz="4" w:space="0" w:color="000000"/>
              <w:bottom w:val="single" w:sz="4" w:space="0" w:color="000000"/>
              <w:right w:val="single" w:sz="4" w:space="0" w:color="000000"/>
            </w:tcBorders>
            <w:shd w:val="clear" w:color="C2C2C2" w:fill="C2C2C2"/>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(Por Gasto Programable y No Programable)</w:t>
            </w:r>
          </w:p>
        </w:tc>
      </w:tr>
      <w:tr w:rsidR="00A26CD3" w:rsidRPr="005733B4" w:rsidTr="00692C86">
        <w:trPr>
          <w:trHeight w:val="223"/>
          <w:tblHeader/>
        </w:trPr>
        <w:tc>
          <w:tcPr>
            <w:tcW w:w="379" w:type="dxa"/>
            <w:tcBorders>
              <w:top w:val="nil"/>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F</w:t>
            </w:r>
          </w:p>
        </w:tc>
        <w:tc>
          <w:tcPr>
            <w:tcW w:w="460"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FN</w:t>
            </w:r>
          </w:p>
        </w:tc>
        <w:tc>
          <w:tcPr>
            <w:tcW w:w="421"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SF</w:t>
            </w:r>
          </w:p>
        </w:tc>
        <w:tc>
          <w:tcPr>
            <w:tcW w:w="474"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PG</w:t>
            </w:r>
          </w:p>
        </w:tc>
        <w:tc>
          <w:tcPr>
            <w:tcW w:w="5901"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both"/>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Denominación</w:t>
            </w:r>
          </w:p>
        </w:tc>
        <w:tc>
          <w:tcPr>
            <w:tcW w:w="1760"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Monto (pesos)</w:t>
            </w:r>
          </w:p>
        </w:tc>
      </w:tr>
      <w:tr w:rsidR="00A26CD3" w:rsidRPr="005733B4" w:rsidTr="00692C86">
        <w:trPr>
          <w:trHeight w:val="223"/>
        </w:trPr>
        <w:tc>
          <w:tcPr>
            <w:tcW w:w="7635" w:type="dxa"/>
            <w:gridSpan w:val="5"/>
            <w:tcBorders>
              <w:top w:val="single" w:sz="4" w:space="0" w:color="000000"/>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Gasto Programable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325,745,077,848</w:t>
            </w:r>
          </w:p>
        </w:tc>
      </w:tr>
      <w:tr w:rsidR="00A26CD3" w:rsidRPr="005733B4" w:rsidTr="00692C86">
        <w:trPr>
          <w:trHeight w:val="223"/>
        </w:trPr>
        <w:tc>
          <w:tcPr>
            <w:tcW w:w="7635" w:type="dxa"/>
            <w:gridSpan w:val="5"/>
            <w:tcBorders>
              <w:top w:val="single" w:sz="4" w:space="0" w:color="000000"/>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xml:space="preserve">01 Gobierno </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65,404,507,831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Legislativo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1,475,888,744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Fiscalización superior</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362,985,886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Administrar e impartir justicia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6,833,685,423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e impartición de justicia electoral local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238,646,518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Procuración de justicia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5,318,344,016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Procuración de justicia con perspectiva de género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517,309,304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Prevención y reinserción social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5,489,870,438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Derechos humanos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462,227,228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Conducción de las políticas de gobierno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1,770,938,935</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Democracia y pluralidad política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661,562,290</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Conservación del patrimonio público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232,561,071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Función pública y combate a la corrupción </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762,017,086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Sistema Anticorrupción del Estado de México y Municipios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953,884,625</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Asistencia jurídica al ejecutivo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323,957,098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Electoral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1,764,459,768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Población</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32,673,298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Política territorial moderna y sostenible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608,718,314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Coordinación metropolitana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32,228,346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Relaciones exteriores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30,572,301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municipal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242,514,054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Fortalecimiento de los ingresos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12,836,963,431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del programa de inversión pública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346,372,983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Financiamiento de la infraestructura para el desarrollo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4,154,060</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Planeación y presupuesto basado en resultados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609,900,483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Consolidación de la administración pública de resultados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1,627,482,969</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Seguridad pública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15,371,818,046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civil y gestión integral del riesgo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298,647,081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Coordinación intergubernamental para la seguridad pública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1,198,312,737</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jurídica de las personas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89,730,310</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Modernización del catastro mexiquense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39,171,785</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jurídica y registro de los bienes inmuebles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2,982,123,067</w:t>
            </w:r>
          </w:p>
        </w:tc>
      </w:tr>
      <w:tr w:rsidR="00A26CD3" w:rsidRPr="005733B4" w:rsidTr="00692C86">
        <w:trPr>
          <w:trHeight w:val="142"/>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del sistema estatal de información estadística y geográfica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70,518,891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Comunicación pública y fortalecimiento informativo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732,039,018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Transparencia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126,735,944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Gobierno Digital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829,151,959</w:t>
            </w:r>
          </w:p>
        </w:tc>
      </w:tr>
      <w:tr w:rsidR="00A26CD3" w:rsidRPr="005733B4" w:rsidTr="00692C86">
        <w:trPr>
          <w:trHeight w:val="447"/>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Administración de bienes sujetos a procedimiento penal y a extinción de dominio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126,340,324</w:t>
            </w:r>
          </w:p>
        </w:tc>
      </w:tr>
      <w:tr w:rsidR="00A26CD3" w:rsidRPr="005733B4" w:rsidTr="00692C86">
        <w:trPr>
          <w:trHeight w:val="223"/>
        </w:trPr>
        <w:tc>
          <w:tcPr>
            <w:tcW w:w="7635" w:type="dxa"/>
            <w:gridSpan w:val="5"/>
            <w:tcBorders>
              <w:top w:val="single" w:sz="4" w:space="0" w:color="000000"/>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02 Desarrollo social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235,660,752,146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Regulación para el aprovechamiento sustentable del agua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9,475,334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Manejo de aguas residuales, drenaje y alcantarillado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2,304,200,726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integral del ambiente para el bienestar</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1,248,333,033</w:t>
            </w:r>
          </w:p>
        </w:tc>
      </w:tr>
      <w:tr w:rsidR="00A26CD3" w:rsidRPr="005733B4" w:rsidTr="00692C86">
        <w:trPr>
          <w:trHeight w:val="447"/>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Manejo sustentable y conservación sostenible de los ecosistemas y la biodiversidad</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518,572,493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Infraestructura de espacios públicos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799,965,248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Manejo eficiente y sustentable del agua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2,847,816,176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Vivienda para el bienestar</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572,406,711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Coordinación para el desarrollo regional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1,752,404,293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Prevención médica </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4,269,370,776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Atención médica </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30,531,860,046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Salud para la población infantil y adolescente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3,412,773,406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Servicios de salud para la mujer</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2,579,912,896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Salud para el adulto y adulto mayor</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715,252,365</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y gestión de las políticas para la salud</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1,397,558,905</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Cultura física y deporte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362,671,486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Cultura y arte </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2,071,730,537</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Identidad mexiquense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363,382,801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Nuevas organizaciones de la sociedad</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36,992,644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básica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88,184,893,743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media superior</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12,789,096,969</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superior</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13,005,486,163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Estudios de posgrado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55,415,391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Educación para adultos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1,268,456,308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Gestión de las políticas educativas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7,692,984,892</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Modernización de la educación</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8,484,876,707</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Alimentación y nutrición para la población infantil y adolescente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2,580,085,295</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Prestaciones obligatorias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5,818,889</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Pensiones y seguro por fallecimiento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27,344,046,034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Prestaciones potestativas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1,176,178,004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Alimentación y nutrición para el bienestar</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1,747,689,604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Pueblos indígenas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143,151,475</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Protección a la población infantil y adolescente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182,116,767</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Atención a Personas con discapacidad</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1,720,098,776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Apoyo integral a las personas adultas mayores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916,490,244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integral de la familia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855,670,224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Igualdad de trato y oportunidades para la mujer y el hombre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11,617,350,874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Oportunidades para los adolescentes y jóvenes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96,165,911</w:t>
            </w:r>
          </w:p>
        </w:tc>
      </w:tr>
      <w:tr w:rsidR="00A26CD3" w:rsidRPr="005733B4" w:rsidTr="00692C86">
        <w:trPr>
          <w:trHeight w:val="223"/>
        </w:trPr>
        <w:tc>
          <w:tcPr>
            <w:tcW w:w="7635" w:type="dxa"/>
            <w:gridSpan w:val="5"/>
            <w:tcBorders>
              <w:top w:val="single" w:sz="4" w:space="0" w:color="000000"/>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03 Desarrollo económico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24,679,817,871</w:t>
            </w:r>
          </w:p>
        </w:tc>
      </w:tr>
      <w:tr w:rsidR="00A26CD3" w:rsidRPr="005733B4" w:rsidTr="00692C86">
        <w:trPr>
          <w:trHeight w:val="447"/>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Coordinación y gestión de las políticas para el desarrollo económico inclusivo y sostenible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466,838,516</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Empleo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887,795,509</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Administrativo y laboral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371,593,159</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agrícola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668,659,580</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Fomento a personas productoras para el rescate del campo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428,176,565</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Fomento pecuario, avícola, apícola y acuícola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549,361,621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Sanidad, inocuidad y calidad agroalimentaria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110,761,228</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forestal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706,028,253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Infraestructura hidroagrícola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1,496,693,427</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06</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Seguros y garantías financieras agropecuarias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52,000,000</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Eficiencia energética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13,269,463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Sistema Integral de Movilidad y Seguridad Vial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787,196,377</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Sistema de Transporte Masivo y de Alta Capacidad</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8,246,205,951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05</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Infraestructura vial libre de peaje, cuota y aeroportuaria </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8,807,879,721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07</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integral del turismo mexiquense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244,745,537</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Investigación científica </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584,668,670</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Desarrollo tecnológico aplicado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90,402,230</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Cambio tecnológico en el sector agropecuario</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08</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Innovación científica y tecnológica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112,919,491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09</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Promoción artesanal</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54,622,573</w:t>
            </w:r>
          </w:p>
        </w:tc>
      </w:tr>
      <w:tr w:rsidR="00A26CD3" w:rsidRPr="005733B4" w:rsidTr="00692C86">
        <w:trPr>
          <w:trHeight w:val="223"/>
        </w:trPr>
        <w:tc>
          <w:tcPr>
            <w:tcW w:w="7635" w:type="dxa"/>
            <w:gridSpan w:val="5"/>
            <w:tcBorders>
              <w:top w:val="single" w:sz="4" w:space="0" w:color="000000"/>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Gasto No Programable</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84,596,537,414</w:t>
            </w:r>
          </w:p>
        </w:tc>
      </w:tr>
      <w:tr w:rsidR="00A26CD3" w:rsidRPr="005733B4" w:rsidTr="00692C86">
        <w:trPr>
          <w:trHeight w:val="223"/>
        </w:trPr>
        <w:tc>
          <w:tcPr>
            <w:tcW w:w="7635" w:type="dxa"/>
            <w:gridSpan w:val="5"/>
            <w:tcBorders>
              <w:top w:val="single" w:sz="4" w:space="0" w:color="000000"/>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04 Otras no clasificadas en funciones anteriores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84,596,537,414</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Deuda pública</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8,487,142,751</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Participaciones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42,835,352,123</w:t>
            </w:r>
          </w:p>
        </w:tc>
      </w:tr>
      <w:tr w:rsidR="00A26CD3" w:rsidRPr="005733B4" w:rsidTr="00692C86">
        <w:trPr>
          <w:trHeight w:val="223"/>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02</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03</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Aportaciones</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26,013,243,470</w:t>
            </w:r>
          </w:p>
        </w:tc>
      </w:tr>
      <w:tr w:rsidR="00A26CD3" w:rsidRPr="005733B4" w:rsidTr="00692C86">
        <w:trPr>
          <w:trHeight w:val="169"/>
        </w:trPr>
        <w:tc>
          <w:tcPr>
            <w:tcW w:w="379" w:type="dxa"/>
            <w:tcBorders>
              <w:top w:val="nil"/>
              <w:left w:val="single" w:sz="4" w:space="0" w:color="000000"/>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04</w:t>
            </w:r>
          </w:p>
        </w:tc>
        <w:tc>
          <w:tcPr>
            <w:tcW w:w="42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474"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01</w:t>
            </w:r>
          </w:p>
        </w:tc>
        <w:tc>
          <w:tcPr>
            <w:tcW w:w="5901"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Previsiones para el pago de adeudos de ejercicios fiscales anteriores </w:t>
            </w:r>
          </w:p>
        </w:tc>
        <w:tc>
          <w:tcPr>
            <w:tcW w:w="1760" w:type="dxa"/>
            <w:tcBorders>
              <w:top w:val="nil"/>
              <w:left w:val="nil"/>
              <w:bottom w:val="single" w:sz="4" w:space="0" w:color="000000"/>
              <w:right w:val="single" w:sz="4" w:space="0" w:color="000000"/>
            </w:tcBorders>
            <w:noWrap/>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7,260,799,070</w:t>
            </w:r>
          </w:p>
        </w:tc>
      </w:tr>
      <w:tr w:rsidR="00A26CD3" w:rsidRPr="005733B4" w:rsidTr="00692C86">
        <w:trPr>
          <w:trHeight w:val="242"/>
        </w:trPr>
        <w:tc>
          <w:tcPr>
            <w:tcW w:w="7635" w:type="dxa"/>
            <w:gridSpan w:val="5"/>
            <w:tcBorders>
              <w:top w:val="single" w:sz="4" w:space="0" w:color="000000"/>
              <w:left w:val="single" w:sz="4" w:space="0" w:color="000000"/>
              <w:bottom w:val="single" w:sz="4" w:space="0" w:color="000000"/>
              <w:right w:val="single" w:sz="4" w:space="0" w:color="000000"/>
            </w:tcBorders>
            <w:shd w:val="clear" w:color="C2C2C2" w:fill="C2C2C2"/>
            <w:noWrap/>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1760" w:type="dxa"/>
            <w:tcBorders>
              <w:top w:val="nil"/>
              <w:left w:val="nil"/>
              <w:bottom w:val="single" w:sz="4" w:space="0" w:color="000000"/>
              <w:right w:val="single" w:sz="4" w:space="0" w:color="000000"/>
            </w:tcBorders>
            <w:shd w:val="clear" w:color="C2C2C2" w:fill="C2C2C2"/>
            <w:noWrap/>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410,341,615,262</w:t>
            </w:r>
          </w:p>
        </w:tc>
      </w:tr>
    </w:tbl>
    <w:p w:rsidR="00A26CD3" w:rsidRPr="005733B4" w:rsidRDefault="00A26CD3" w:rsidP="00A26CD3">
      <w:pPr>
        <w:spacing w:after="0" w:line="240" w:lineRule="auto"/>
        <w:jc w:val="both"/>
        <w:rPr>
          <w:rFonts w:ascii="Times New Roman" w:eastAsia="Calibri" w:hAnsi="Times New Roman" w:cs="Times New Roman"/>
          <w:kern w:val="2"/>
          <w:sz w:val="24"/>
          <w:szCs w:val="24"/>
        </w:rPr>
      </w:pPr>
    </w:p>
    <w:p w:rsidR="00A26CD3" w:rsidRPr="005733B4" w:rsidRDefault="00A26CD3" w:rsidP="00A26CD3">
      <w:pPr>
        <w:spacing w:after="0" w:line="240" w:lineRule="auto"/>
        <w:jc w:val="both"/>
        <w:rPr>
          <w:rFonts w:ascii="Times New Roman" w:eastAsia="Calibri" w:hAnsi="Times New Roman" w:cs="Times New Roman"/>
          <w:kern w:val="2"/>
          <w:sz w:val="24"/>
          <w:szCs w:val="24"/>
        </w:rPr>
      </w:pPr>
      <w:r w:rsidRPr="005733B4">
        <w:rPr>
          <w:rFonts w:ascii="Times New Roman" w:eastAsia="Calibri" w:hAnsi="Times New Roman" w:cs="Times New Roman"/>
          <w:kern w:val="2"/>
          <w:sz w:val="24"/>
          <w:szCs w:val="24"/>
        </w:rPr>
        <w:t>Tabla 6. Clasificación Programática del Gasto de acuerdo con las características generales emitidas por el CONAC</w:t>
      </w:r>
    </w:p>
    <w:tbl>
      <w:tblPr>
        <w:tblW w:w="9395" w:type="dxa"/>
        <w:tblCellMar>
          <w:left w:w="70" w:type="dxa"/>
          <w:right w:w="70" w:type="dxa"/>
        </w:tblCellMar>
        <w:tblLook w:val="04A0" w:firstRow="1" w:lastRow="0" w:firstColumn="1" w:lastColumn="0" w:noHBand="0" w:noVBand="1"/>
      </w:tblPr>
      <w:tblGrid>
        <w:gridCol w:w="6634"/>
        <w:gridCol w:w="874"/>
        <w:gridCol w:w="1887"/>
      </w:tblGrid>
      <w:tr w:rsidR="00A26CD3" w:rsidRPr="005733B4" w:rsidTr="0089203C">
        <w:trPr>
          <w:trHeight w:val="313"/>
          <w:tblHeader/>
        </w:trPr>
        <w:tc>
          <w:tcPr>
            <w:tcW w:w="9395" w:type="dxa"/>
            <w:gridSpan w:val="3"/>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Clasificación Programática CONAC</w:t>
            </w:r>
          </w:p>
        </w:tc>
      </w:tr>
      <w:tr w:rsidR="00A26CD3" w:rsidRPr="005733B4" w:rsidTr="0089203C">
        <w:trPr>
          <w:trHeight w:val="313"/>
          <w:tblHeader/>
        </w:trPr>
        <w:tc>
          <w:tcPr>
            <w:tcW w:w="6636" w:type="dxa"/>
            <w:tcBorders>
              <w:top w:val="nil"/>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Programa Presupuestario</w:t>
            </w:r>
          </w:p>
        </w:tc>
        <w:tc>
          <w:tcPr>
            <w:tcW w:w="872"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Código</w:t>
            </w:r>
          </w:p>
        </w:tc>
        <w:tc>
          <w:tcPr>
            <w:tcW w:w="1887"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Monto (pesos)</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Subsidios: Sector Social y Privado o Entidades Federativas y Municipios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119,971,043,028</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Subsidios sujetos a Reglas de Operación</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119,971,043,028</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Subsidios sujetos a Lineamientos de Operación</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U</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Bienes, Servicios e Infraestructura Pública</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137,455,833,011</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Provisión de Bienes Públicos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B</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Prestación de Servicios Públicos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E</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111,837,112,146</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Proyectos de inversión en Infraestructura y Obra Pública</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K</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25,618,720,865</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Desempeño de las Funciones de Gobierno</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24,685,030,192</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Funciones de las Fuerzas Armadas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Fomento, Promoción y Servicios para el Desarrollo Económico y Social</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F</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4,713,109,759</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Regulación y supervisión</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G</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175,929,281</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Atención a desastres por eventos naturales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N</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298,647,081</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Articulación, coordinación e instrumentación de políticas públicas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15,736,288,057</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Investigación y desarrollo</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Q</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687,504,359</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Servicios de protección y conservación ambiental</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V</w:t>
            </w:r>
          </w:p>
        </w:tc>
        <w:tc>
          <w:tcPr>
            <w:tcW w:w="1887"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3,073,551,655</w:t>
            </w:r>
          </w:p>
        </w:tc>
      </w:tr>
      <w:tr w:rsidR="00A26CD3" w:rsidRPr="005733B4" w:rsidTr="0089203C">
        <w:trPr>
          <w:trHeight w:val="289"/>
        </w:trPr>
        <w:tc>
          <w:tcPr>
            <w:tcW w:w="6636" w:type="dxa"/>
            <w:tcBorders>
              <w:top w:val="single" w:sz="4" w:space="0" w:color="000000"/>
            </w:tcBorders>
            <w:noWrap/>
            <w:vAlign w:val="bottom"/>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p>
        </w:tc>
        <w:tc>
          <w:tcPr>
            <w:tcW w:w="872" w:type="dxa"/>
            <w:tcBorders>
              <w:top w:val="single" w:sz="4" w:space="0" w:color="000000"/>
            </w:tcBorders>
            <w:noWrap/>
            <w:vAlign w:val="center"/>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p>
        </w:tc>
        <w:tc>
          <w:tcPr>
            <w:tcW w:w="1887" w:type="dxa"/>
            <w:tcBorders>
              <w:top w:val="single" w:sz="4" w:space="0" w:color="000000"/>
            </w:tcBorders>
            <w:noWrap/>
            <w:vAlign w:val="center"/>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p>
        </w:tc>
      </w:tr>
      <w:tr w:rsidR="00A26CD3" w:rsidRPr="005733B4" w:rsidTr="0089203C">
        <w:trPr>
          <w:trHeight w:val="289"/>
        </w:trPr>
        <w:tc>
          <w:tcPr>
            <w:tcW w:w="6636" w:type="dxa"/>
            <w:tcBorders>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Administrativos y de Apoyo a la Gestión Presupuestaria</w:t>
            </w:r>
          </w:p>
        </w:tc>
        <w:tc>
          <w:tcPr>
            <w:tcW w:w="872" w:type="dxa"/>
            <w:tcBorders>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w:t>
            </w:r>
          </w:p>
        </w:tc>
        <w:tc>
          <w:tcPr>
            <w:tcW w:w="1887" w:type="dxa"/>
            <w:tcBorders>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13,153,895,969</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Apoyo para el desarrollo de las funciones de gobierno</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M</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9,713,277,040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Apoyo al buen gobierno y mejoramiento de la gestión</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3,275,186,989</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Provisiones y reasignaciones presupuestarias específicas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R</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165,431,940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Operaciones ajenas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W</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Compromisos, Cumplimiento de Obligaciones y otras Aportaciones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115,075,813,062</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Participaciones a entidades federativas y municipios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42,835,833,866</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Costo financiero, deuda o apoyos a deudores y ahorradores de la banca</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D</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10,016,300,570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Adeudos de ejercicios fiscales anteriores (ADEFAS)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H</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7,260,799,070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Aportaciones Federales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I</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26,013,243,470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Pensiones y jubilaciones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J</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27,344,046,034</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Obligaciones de cumplimiento de resolución jurisdiccional</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L</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423,593,159</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Aportaciones a la seguridad social</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T</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1,181,996,893</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Aportaciones a fondos de estabilización</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Y</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89203C">
        <w:trPr>
          <w:trHeight w:val="289"/>
        </w:trPr>
        <w:tc>
          <w:tcPr>
            <w:tcW w:w="6636"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Aportaciones a fondos de inversión y reestructura de pensiones</w:t>
            </w:r>
          </w:p>
        </w:tc>
        <w:tc>
          <w:tcPr>
            <w:tcW w:w="872" w:type="dxa"/>
            <w:tcBorders>
              <w:top w:val="nil"/>
              <w:left w:val="nil"/>
              <w:bottom w:val="single" w:sz="4" w:space="0" w:color="000000"/>
              <w:right w:val="single" w:sz="4" w:space="0" w:color="000000"/>
            </w:tcBorders>
            <w:noWrap/>
            <w:vAlign w:val="center"/>
            <w:hideMark/>
          </w:tcPr>
          <w:p w:rsidR="00A26CD3" w:rsidRPr="005733B4"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Z</w:t>
            </w:r>
          </w:p>
        </w:tc>
        <w:tc>
          <w:tcPr>
            <w:tcW w:w="1887"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0</w:t>
            </w:r>
          </w:p>
        </w:tc>
      </w:tr>
      <w:tr w:rsidR="00A26CD3" w:rsidRPr="005733B4" w:rsidTr="0089203C">
        <w:trPr>
          <w:trHeight w:val="289"/>
        </w:trPr>
        <w:tc>
          <w:tcPr>
            <w:tcW w:w="7508" w:type="dxa"/>
            <w:gridSpan w:val="2"/>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1887"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410,341,615,262</w:t>
            </w:r>
          </w:p>
        </w:tc>
      </w:tr>
    </w:tbl>
    <w:p w:rsidR="00A26CD3" w:rsidRPr="005733B4" w:rsidRDefault="00A26CD3" w:rsidP="00A26CD3">
      <w:pPr>
        <w:spacing w:after="0" w:line="240" w:lineRule="auto"/>
        <w:jc w:val="both"/>
        <w:rPr>
          <w:rFonts w:ascii="Times New Roman" w:eastAsia="Bookman Old Style" w:hAnsi="Times New Roman" w:cs="Times New Roman"/>
          <w:b/>
          <w:sz w:val="24"/>
          <w:szCs w:val="24"/>
        </w:rPr>
      </w:pPr>
    </w:p>
    <w:p w:rsidR="00A26CD3" w:rsidRPr="005733B4" w:rsidRDefault="00A26CD3" w:rsidP="00A26CD3">
      <w:pPr>
        <w:spacing w:after="0" w:line="240" w:lineRule="auto"/>
        <w:jc w:val="both"/>
        <w:rPr>
          <w:rFonts w:ascii="Times New Roman" w:eastAsia="Bookman Old Style" w:hAnsi="Times New Roman" w:cs="Times New Roman"/>
          <w:b/>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b/>
          <w:sz w:val="24"/>
          <w:szCs w:val="24"/>
        </w:rPr>
        <w:t>Artículo 10.</w:t>
      </w:r>
      <w:r w:rsidRPr="005733B4">
        <w:rPr>
          <w:rFonts w:ascii="Times New Roman" w:eastAsia="Bookman Old Style" w:hAnsi="Times New Roman" w:cs="Times New Roman"/>
          <w:sz w:val="24"/>
          <w:szCs w:val="24"/>
        </w:rPr>
        <w:t xml:space="preserve"> El Presupuesto de Egresos consolidado, se distribuye por clasificación Administrativa conforme a la siguiente tabla:</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ind w:left="709"/>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Tabla 7. Clasificación administrativa</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tbl>
      <w:tblPr>
        <w:tblW w:w="8420" w:type="dxa"/>
        <w:jc w:val="center"/>
        <w:tblCellMar>
          <w:left w:w="70" w:type="dxa"/>
          <w:right w:w="70" w:type="dxa"/>
        </w:tblCellMar>
        <w:tblLook w:val="04A0" w:firstRow="1" w:lastRow="0" w:firstColumn="1" w:lastColumn="0" w:noHBand="0" w:noVBand="1"/>
      </w:tblPr>
      <w:tblGrid>
        <w:gridCol w:w="6150"/>
        <w:gridCol w:w="2270"/>
      </w:tblGrid>
      <w:tr w:rsidR="00A26CD3" w:rsidRPr="005733B4" w:rsidTr="00A26CD3">
        <w:trPr>
          <w:trHeight w:val="259"/>
          <w:jc w:val="center"/>
        </w:trPr>
        <w:tc>
          <w:tcPr>
            <w:tcW w:w="8420" w:type="dxa"/>
            <w:gridSpan w:val="2"/>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Clasificación Administrativa</w:t>
            </w:r>
          </w:p>
        </w:tc>
      </w:tr>
      <w:tr w:rsidR="00A26CD3" w:rsidRPr="005733B4" w:rsidTr="00A26CD3">
        <w:trPr>
          <w:trHeight w:val="259"/>
          <w:jc w:val="center"/>
        </w:trPr>
        <w:tc>
          <w:tcPr>
            <w:tcW w:w="6150" w:type="dxa"/>
            <w:tcBorders>
              <w:top w:val="nil"/>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Ente</w:t>
            </w:r>
          </w:p>
        </w:tc>
        <w:tc>
          <w:tcPr>
            <w:tcW w:w="2270"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xml:space="preserve">Monto </w:t>
            </w:r>
            <w:r w:rsidRPr="005733B4">
              <w:rPr>
                <w:rFonts w:ascii="Times New Roman" w:eastAsia="Bookman Old Style" w:hAnsi="Times New Roman" w:cs="Times New Roman"/>
                <w:sz w:val="24"/>
                <w:szCs w:val="24"/>
              </w:rPr>
              <w:t>(pesos)</w:t>
            </w:r>
          </w:p>
        </w:tc>
      </w:tr>
      <w:tr w:rsidR="00A26CD3" w:rsidRPr="005733B4" w:rsidTr="00A26CD3">
        <w:trPr>
          <w:trHeight w:val="259"/>
          <w:jc w:val="center"/>
        </w:trPr>
        <w:tc>
          <w:tcPr>
            <w:tcW w:w="615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Poder Ejecutivo</w:t>
            </w:r>
          </w:p>
        </w:tc>
        <w:tc>
          <w:tcPr>
            <w:tcW w:w="227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226,530,783,580</w:t>
            </w:r>
          </w:p>
        </w:tc>
      </w:tr>
      <w:tr w:rsidR="00A26CD3" w:rsidRPr="005733B4" w:rsidTr="00A26CD3">
        <w:trPr>
          <w:trHeight w:val="259"/>
          <w:jc w:val="center"/>
        </w:trPr>
        <w:tc>
          <w:tcPr>
            <w:tcW w:w="615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Poder Legislativo</w:t>
            </w:r>
          </w:p>
        </w:tc>
        <w:tc>
          <w:tcPr>
            <w:tcW w:w="227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2,346,597,978</w:t>
            </w:r>
          </w:p>
        </w:tc>
      </w:tr>
      <w:tr w:rsidR="00A26CD3" w:rsidRPr="005733B4" w:rsidTr="00A26CD3">
        <w:trPr>
          <w:trHeight w:val="259"/>
          <w:jc w:val="center"/>
        </w:trPr>
        <w:tc>
          <w:tcPr>
            <w:tcW w:w="615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Poder Judicial</w:t>
            </w:r>
          </w:p>
        </w:tc>
        <w:tc>
          <w:tcPr>
            <w:tcW w:w="227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6,331,216,477</w:t>
            </w:r>
          </w:p>
        </w:tc>
      </w:tr>
      <w:tr w:rsidR="00A26CD3" w:rsidRPr="005733B4" w:rsidTr="00A26CD3">
        <w:trPr>
          <w:trHeight w:val="259"/>
          <w:jc w:val="center"/>
        </w:trPr>
        <w:tc>
          <w:tcPr>
            <w:tcW w:w="615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Órganos Autónomos</w:t>
            </w:r>
          </w:p>
        </w:tc>
        <w:tc>
          <w:tcPr>
            <w:tcW w:w="227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14,595,289,428</w:t>
            </w:r>
          </w:p>
        </w:tc>
      </w:tr>
      <w:tr w:rsidR="00A26CD3" w:rsidRPr="005733B4" w:rsidTr="00A26CD3">
        <w:trPr>
          <w:trHeight w:val="259"/>
          <w:jc w:val="center"/>
        </w:trPr>
        <w:tc>
          <w:tcPr>
            <w:tcW w:w="615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Otras Entidades Paraestatales y Organismos</w:t>
            </w:r>
          </w:p>
        </w:tc>
        <w:tc>
          <w:tcPr>
            <w:tcW w:w="227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Calibri" w:hAnsi="Times New Roman" w:cs="Times New Roman"/>
                <w:color w:val="000000"/>
                <w:kern w:val="2"/>
                <w:sz w:val="24"/>
                <w:szCs w:val="24"/>
              </w:rPr>
            </w:pPr>
            <w:r w:rsidRPr="005733B4">
              <w:rPr>
                <w:rFonts w:ascii="Times New Roman" w:eastAsia="Calibri" w:hAnsi="Times New Roman" w:cs="Times New Roman"/>
                <w:color w:val="000000"/>
                <w:kern w:val="2"/>
                <w:sz w:val="24"/>
                <w:szCs w:val="24"/>
              </w:rPr>
              <w:t>160,537,727,799</w:t>
            </w:r>
          </w:p>
        </w:tc>
      </w:tr>
      <w:tr w:rsidR="00A26CD3" w:rsidRPr="005733B4" w:rsidTr="00A26CD3">
        <w:trPr>
          <w:trHeight w:val="259"/>
          <w:jc w:val="center"/>
        </w:trPr>
        <w:tc>
          <w:tcPr>
            <w:tcW w:w="6150" w:type="dxa"/>
            <w:tcBorders>
              <w:top w:val="nil"/>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2270"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Calibri" w:hAnsi="Times New Roman" w:cs="Times New Roman"/>
                <w:b/>
                <w:bCs/>
                <w:color w:val="000000"/>
                <w:kern w:val="2"/>
                <w:sz w:val="24"/>
                <w:szCs w:val="24"/>
              </w:rPr>
              <w:t>410,341,615,262</w:t>
            </w:r>
          </w:p>
        </w:tc>
      </w:tr>
    </w:tbl>
    <w:p w:rsidR="00A26CD3" w:rsidRPr="005733B4" w:rsidRDefault="00A26CD3" w:rsidP="00A26CD3">
      <w:pPr>
        <w:spacing w:after="0" w:line="240" w:lineRule="auto"/>
        <w:jc w:val="both"/>
        <w:rPr>
          <w:rFonts w:ascii="Times New Roman" w:eastAsia="Bookman Old Style" w:hAnsi="Times New Roman" w:cs="Times New Roman"/>
          <w:b/>
          <w:sz w:val="24"/>
          <w:szCs w:val="24"/>
        </w:rPr>
      </w:pP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b/>
          <w:sz w:val="24"/>
          <w:szCs w:val="24"/>
        </w:rPr>
        <w:t>Artículo 11.</w:t>
      </w:r>
      <w:r w:rsidRPr="005733B4">
        <w:rPr>
          <w:rFonts w:ascii="Times New Roman" w:eastAsia="Bookman Old Style" w:hAnsi="Times New Roman" w:cs="Times New Roman"/>
          <w:sz w:val="24"/>
          <w:szCs w:val="24"/>
        </w:rPr>
        <w:t xml:space="preserve"> El Presupuesto de Egresos se distribuye también, conforme a los sectores previstos en el PDEM de la forma siguiente:</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p w:rsidR="00A26CD3" w:rsidRPr="005733B4" w:rsidRDefault="00A26CD3" w:rsidP="00A26CD3">
      <w:pPr>
        <w:spacing w:after="0" w:line="240" w:lineRule="auto"/>
        <w:ind w:left="567"/>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Tabla 8. Distribución por sector</w:t>
      </w:r>
    </w:p>
    <w:p w:rsidR="00A26CD3" w:rsidRPr="005733B4" w:rsidRDefault="00A26CD3" w:rsidP="00A26CD3">
      <w:pPr>
        <w:spacing w:after="0" w:line="240" w:lineRule="auto"/>
        <w:jc w:val="both"/>
        <w:rPr>
          <w:rFonts w:ascii="Times New Roman" w:eastAsia="Bookman Old Style" w:hAnsi="Times New Roman" w:cs="Times New Roman"/>
          <w:sz w:val="24"/>
          <w:szCs w:val="24"/>
        </w:rPr>
      </w:pPr>
    </w:p>
    <w:tbl>
      <w:tblPr>
        <w:tblW w:w="8640" w:type="dxa"/>
        <w:jc w:val="center"/>
        <w:tblCellMar>
          <w:left w:w="70" w:type="dxa"/>
          <w:right w:w="70" w:type="dxa"/>
        </w:tblCellMar>
        <w:tblLook w:val="04A0" w:firstRow="1" w:lastRow="0" w:firstColumn="1" w:lastColumn="0" w:noHBand="0" w:noVBand="1"/>
      </w:tblPr>
      <w:tblGrid>
        <w:gridCol w:w="6480"/>
        <w:gridCol w:w="2160"/>
      </w:tblGrid>
      <w:tr w:rsidR="00A26CD3" w:rsidRPr="005733B4" w:rsidTr="00A26CD3">
        <w:trPr>
          <w:trHeight w:val="288"/>
          <w:tblHeader/>
          <w:jc w:val="center"/>
        </w:trPr>
        <w:tc>
          <w:tcPr>
            <w:tcW w:w="6480"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Sector</w:t>
            </w:r>
          </w:p>
        </w:tc>
        <w:tc>
          <w:tcPr>
            <w:tcW w:w="2160"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Monto (pesos)</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shd w:val="clear" w:color="D9D9D9" w:fill="D9D9D9"/>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Gasto Programable</w:t>
            </w:r>
          </w:p>
        </w:tc>
        <w:tc>
          <w:tcPr>
            <w:tcW w:w="2160" w:type="dxa"/>
            <w:tcBorders>
              <w:top w:val="nil"/>
              <w:left w:val="nil"/>
              <w:bottom w:val="single" w:sz="4" w:space="0" w:color="000000"/>
              <w:right w:val="single" w:sz="4" w:space="0" w:color="000000"/>
            </w:tcBorders>
            <w:shd w:val="clear" w:color="D9D9D9" w:fill="D9D9D9"/>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325,745,077,848</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Sector Desarrollo Social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228,068,298,470</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lastRenderedPageBreak/>
              <w:t xml:space="preserve">        Social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20,044,678,346</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Educación</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133,761,522,323</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Cultura y Turismo</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2,579,721,925</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Salud y seguridad social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71,682,375,876</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Sector Desarrollo Económico</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24,639,265,658</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Económico</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979,554,850</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Agropecuario</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4,224,490,661</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Empleo</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1,127,198,593</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Movilidad</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18,308,021,554</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Sector Desarrollo Territorial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8,572,352,823</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Desarrollo urbano y regional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1,775,574,169</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Energía asequible no contaminante</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88,686,700</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Medio ambiente</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1,457,247,614</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Manejo y control de recursos hídricos</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5,250,844,340</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Sector Seguridad</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33,788,520,382</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Seguridad pública</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22,268,584,621</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Procuración e impartición de justicia</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10,197,666,824</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Protección de los derechos humanos</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1,322,268,937</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Sector Gobierno</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21,998,826,060</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Administración y finanzas públicas</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17,393,456,740</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Gobernabilidad</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1,403,768,145</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Sistema anticorrupción</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592,516,550</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Gobierno digital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605,978,339</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Órganos electorales</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2,003,106,286</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Poderes: Legislativo y Judicial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8,677,814,455</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Legislativo</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2,346,597,978</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Judicial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6,331,216,477</w:t>
            </w:r>
          </w:p>
        </w:tc>
      </w:tr>
      <w:tr w:rsidR="00A26CD3" w:rsidRPr="005733B4" w:rsidTr="00A26CD3">
        <w:trPr>
          <w:trHeight w:val="288"/>
          <w:tblHeader/>
          <w:jc w:val="center"/>
        </w:trPr>
        <w:tc>
          <w:tcPr>
            <w:tcW w:w="6480" w:type="dxa"/>
            <w:tcBorders>
              <w:top w:val="nil"/>
              <w:left w:val="single" w:sz="4" w:space="0" w:color="000000"/>
              <w:bottom w:val="single" w:sz="4" w:space="0" w:color="000000"/>
              <w:right w:val="single" w:sz="4" w:space="0" w:color="000000"/>
            </w:tcBorders>
            <w:shd w:val="clear" w:color="D9D9D9" w:fill="D9D9D9"/>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Gasto No Programable</w:t>
            </w:r>
          </w:p>
        </w:tc>
        <w:tc>
          <w:tcPr>
            <w:tcW w:w="2160" w:type="dxa"/>
            <w:tcBorders>
              <w:top w:val="nil"/>
              <w:left w:val="nil"/>
              <w:bottom w:val="single" w:sz="4" w:space="0" w:color="000000"/>
              <w:right w:val="single" w:sz="4" w:space="0" w:color="000000"/>
            </w:tcBorders>
            <w:shd w:val="clear" w:color="D9D9D9" w:fill="D9D9D9"/>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Calibri" w:hAnsi="Times New Roman" w:cs="Times New Roman"/>
                <w:b/>
                <w:bCs/>
                <w:color w:val="000000"/>
                <w:kern w:val="2"/>
                <w:sz w:val="24"/>
                <w:szCs w:val="24"/>
              </w:rPr>
              <w:t>84,596,537,414</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Sector Municipios</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68,848,595,593</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Participaciones municipales</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38,786,378,309</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Fondo de Aportaciones para la Infraestructura Social Municipal</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7,641,302,858</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Fondo de Aportaciones para el Fortalecimiento de los Municipios   </w:t>
            </w:r>
          </w:p>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y Demarcaciones Territoriales del D.F.</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18,371,940,612</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ISR Participable</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4,048,973,814</w:t>
            </w:r>
          </w:p>
        </w:tc>
      </w:tr>
      <w:tr w:rsidR="00A26CD3" w:rsidRPr="005733B4" w:rsidTr="00A26CD3">
        <w:trPr>
          <w:trHeight w:val="288"/>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Deuda Pública</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15,747,941,821</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Previsiones para el pago de ADEFAS</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7,260,799,070</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Amortizaciones de la Deuda Pública</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2,126,549,331</w:t>
            </w:r>
          </w:p>
        </w:tc>
      </w:tr>
      <w:tr w:rsidR="00A26CD3" w:rsidRPr="005733B4" w:rsidTr="00A26CD3">
        <w:trPr>
          <w:trHeight w:val="255"/>
          <w:jc w:val="center"/>
        </w:trPr>
        <w:tc>
          <w:tcPr>
            <w:tcW w:w="648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 xml:space="preserve">        Costo financiero de la deuda</w:t>
            </w:r>
          </w:p>
        </w:tc>
        <w:tc>
          <w:tcPr>
            <w:tcW w:w="2160"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Times New Roman" w:hAnsi="Times New Roman" w:cs="Times New Roman"/>
                <w:color w:val="000000"/>
                <w:sz w:val="24"/>
                <w:szCs w:val="24"/>
                <w:lang w:eastAsia="es-MX"/>
              </w:rPr>
              <w:t>6,360,593,420</w:t>
            </w:r>
          </w:p>
        </w:tc>
      </w:tr>
      <w:tr w:rsidR="00A26CD3" w:rsidRPr="005733B4" w:rsidTr="00A26CD3">
        <w:trPr>
          <w:trHeight w:val="259"/>
          <w:jc w:val="center"/>
        </w:trPr>
        <w:tc>
          <w:tcPr>
            <w:tcW w:w="6480" w:type="dxa"/>
            <w:tcBorders>
              <w:top w:val="nil"/>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2160"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Calibri" w:hAnsi="Times New Roman" w:cs="Times New Roman"/>
                <w:b/>
                <w:bCs/>
                <w:color w:val="000000"/>
                <w:kern w:val="2"/>
                <w:sz w:val="24"/>
                <w:szCs w:val="24"/>
              </w:rPr>
              <w:t>410,341,615,262</w:t>
            </w:r>
          </w:p>
        </w:tc>
      </w:tr>
    </w:tbl>
    <w:p w:rsidR="00A26CD3" w:rsidRPr="005733B4" w:rsidRDefault="00A26CD3" w:rsidP="00A26CD3">
      <w:pPr>
        <w:spacing w:after="0" w:line="240" w:lineRule="auto"/>
        <w:jc w:val="both"/>
        <w:rPr>
          <w:rFonts w:ascii="Times New Roman" w:eastAsia="Bookman Old Style" w:hAnsi="Times New Roman" w:cs="Times New Roman"/>
          <w:b/>
          <w:sz w:val="24"/>
          <w:szCs w:val="24"/>
        </w:rPr>
      </w:pPr>
    </w:p>
    <w:p w:rsidR="00A26CD3" w:rsidRPr="005733B4"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 xml:space="preserve">CAPÍTULO II </w:t>
      </w:r>
    </w:p>
    <w:p w:rsidR="00A26CD3" w:rsidRPr="005733B4"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r w:rsidRPr="005733B4">
        <w:rPr>
          <w:rFonts w:ascii="Times New Roman" w:eastAsia="Bookman Old Style" w:hAnsi="Times New Roman" w:cs="Times New Roman"/>
          <w:b/>
          <w:sz w:val="24"/>
          <w:szCs w:val="24"/>
        </w:rPr>
        <w:t>Asignación al Poder Ejecutivo</w:t>
      </w:r>
      <w:r w:rsidRPr="005733B4" w:rsidDel="008A2D15">
        <w:rPr>
          <w:rFonts w:ascii="Times New Roman" w:eastAsia="Bookman Old Style" w:hAnsi="Times New Roman" w:cs="Times New Roman"/>
          <w:b/>
          <w:sz w:val="24"/>
          <w:szCs w:val="24"/>
        </w:rPr>
        <w:t xml:space="preserve"> </w:t>
      </w:r>
    </w:p>
    <w:p w:rsidR="00A26CD3" w:rsidRPr="005733B4"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p>
    <w:p w:rsidR="00A26CD3" w:rsidRPr="005733B4" w:rsidRDefault="00A26CD3" w:rsidP="00A26CD3">
      <w:pPr>
        <w:spacing w:after="0" w:line="240" w:lineRule="auto"/>
        <w:jc w:val="both"/>
        <w:rPr>
          <w:rFonts w:ascii="Times New Roman" w:eastAsia="Calibri" w:hAnsi="Times New Roman" w:cs="Times New Roman"/>
          <w:sz w:val="24"/>
          <w:szCs w:val="24"/>
        </w:rPr>
      </w:pPr>
      <w:r w:rsidRPr="005733B4">
        <w:rPr>
          <w:rFonts w:ascii="Times New Roman" w:eastAsia="Calibri" w:hAnsi="Times New Roman" w:cs="Times New Roman"/>
          <w:b/>
          <w:bCs/>
          <w:sz w:val="24"/>
          <w:szCs w:val="24"/>
        </w:rPr>
        <w:lastRenderedPageBreak/>
        <w:t xml:space="preserve">Artículo 12. </w:t>
      </w:r>
      <w:r w:rsidRPr="005733B4">
        <w:rPr>
          <w:rFonts w:ascii="Times New Roman" w:eastAsia="Calibri" w:hAnsi="Times New Roman" w:cs="Times New Roman"/>
          <w:sz w:val="24"/>
          <w:szCs w:val="24"/>
        </w:rPr>
        <w:t xml:space="preserve">Las erogaciones previstas para el Poder Ejecutivo, por concepto de Gasto Corriente y de Inversión de las Dependencias, ascienden a un monto total de </w:t>
      </w:r>
      <w:r w:rsidRPr="005733B4">
        <w:rPr>
          <w:rFonts w:ascii="Times New Roman" w:eastAsia="Calibri" w:hAnsi="Times New Roman" w:cs="Times New Roman"/>
          <w:b/>
          <w:bCs/>
          <w:sz w:val="24"/>
          <w:szCs w:val="24"/>
        </w:rPr>
        <w:t>$143,283,129,282</w:t>
      </w:r>
      <w:r w:rsidRPr="005733B4">
        <w:rPr>
          <w:rFonts w:ascii="Times New Roman" w:eastAsia="Calibri" w:hAnsi="Times New Roman" w:cs="Times New Roman"/>
          <w:bCs/>
          <w:sz w:val="24"/>
          <w:szCs w:val="24"/>
        </w:rPr>
        <w:t xml:space="preserve"> de conformidad con su Clasificación Administrativa</w:t>
      </w:r>
      <w:r w:rsidRPr="005733B4">
        <w:rPr>
          <w:rFonts w:ascii="Times New Roman" w:eastAsia="Calibri" w:hAnsi="Times New Roman" w:cs="Times New Roman"/>
          <w:b/>
          <w:bCs/>
          <w:sz w:val="24"/>
          <w:szCs w:val="24"/>
        </w:rPr>
        <w:t xml:space="preserve"> </w:t>
      </w:r>
      <w:r w:rsidRPr="005733B4">
        <w:rPr>
          <w:rFonts w:ascii="Times New Roman" w:eastAsia="Calibri" w:hAnsi="Times New Roman" w:cs="Times New Roman"/>
          <w:sz w:val="24"/>
          <w:szCs w:val="24"/>
        </w:rPr>
        <w:t>y se distribuye de la siguiente manera:</w:t>
      </w:r>
    </w:p>
    <w:p w:rsidR="00A26CD3" w:rsidRPr="005733B4" w:rsidRDefault="00A26CD3" w:rsidP="00A26CD3">
      <w:pPr>
        <w:spacing w:after="0" w:line="240" w:lineRule="auto"/>
        <w:jc w:val="both"/>
        <w:rPr>
          <w:rFonts w:ascii="Times New Roman" w:eastAsia="Calibri" w:hAnsi="Times New Roman" w:cs="Times New Roman"/>
          <w:sz w:val="24"/>
          <w:szCs w:val="24"/>
        </w:rPr>
      </w:pPr>
    </w:p>
    <w:p w:rsidR="00A26CD3" w:rsidRPr="005733B4" w:rsidRDefault="00A26CD3" w:rsidP="00A26CD3">
      <w:pPr>
        <w:spacing w:after="0" w:line="240" w:lineRule="auto"/>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 xml:space="preserve">Tabla 9. Distribución del presupuesto del Poder Ejecutivo por Unidad Responsable </w:t>
      </w:r>
    </w:p>
    <w:p w:rsidR="00A26CD3" w:rsidRPr="005733B4" w:rsidRDefault="00A26CD3" w:rsidP="00A26CD3">
      <w:pPr>
        <w:spacing w:after="0" w:line="240" w:lineRule="auto"/>
        <w:jc w:val="both"/>
        <w:rPr>
          <w:rFonts w:ascii="Times New Roman" w:eastAsia="Calibri" w:hAnsi="Times New Roman" w:cs="Times New Roman"/>
          <w:sz w:val="24"/>
          <w:szCs w:val="24"/>
        </w:rPr>
      </w:pPr>
    </w:p>
    <w:tbl>
      <w:tblPr>
        <w:tblW w:w="9426" w:type="dxa"/>
        <w:tblCellMar>
          <w:left w:w="70" w:type="dxa"/>
          <w:right w:w="70" w:type="dxa"/>
        </w:tblCellMar>
        <w:tblLook w:val="04A0" w:firstRow="1" w:lastRow="0" w:firstColumn="1" w:lastColumn="0" w:noHBand="0" w:noVBand="1"/>
      </w:tblPr>
      <w:tblGrid>
        <w:gridCol w:w="2100"/>
        <w:gridCol w:w="5625"/>
        <w:gridCol w:w="1760"/>
      </w:tblGrid>
      <w:tr w:rsidR="00A26CD3" w:rsidRPr="005733B4" w:rsidTr="00A26CD3">
        <w:trPr>
          <w:trHeight w:val="259"/>
          <w:tblHeader/>
        </w:trPr>
        <w:tc>
          <w:tcPr>
            <w:tcW w:w="2100"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Clave</w:t>
            </w:r>
          </w:p>
        </w:tc>
        <w:tc>
          <w:tcPr>
            <w:tcW w:w="5625"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Unidad Responsable</w:t>
            </w:r>
          </w:p>
        </w:tc>
        <w:tc>
          <w:tcPr>
            <w:tcW w:w="1701"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 xml:space="preserve">Monto </w:t>
            </w:r>
            <w:r w:rsidRPr="005733B4">
              <w:rPr>
                <w:rFonts w:ascii="Times New Roman" w:eastAsia="Bookman Old Style" w:hAnsi="Times New Roman" w:cs="Times New Roman"/>
                <w:sz w:val="24"/>
                <w:szCs w:val="24"/>
              </w:rPr>
              <w:t>(pesos)</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200000000000000</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Gubernatura</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60,136,871</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20500000000000L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General de Gobierno</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2,300,724,941</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20600000000000L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Seguridad</w:t>
            </w:r>
            <w:r w:rsidRPr="005733B4">
              <w:rPr>
                <w:rFonts w:ascii="Times New Roman" w:eastAsia="Calibri" w:hAnsi="Times New Roman" w:cs="Times New Roman"/>
                <w:color w:val="000000"/>
                <w:kern w:val="2"/>
                <w:sz w:val="24"/>
                <w:szCs w:val="24"/>
                <w:vertAlign w:val="superscript"/>
              </w:rPr>
              <w:t>1/ 2/3/</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21,222,295,227</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20700000000000L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Finanzas</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14,591,285,420</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20800000000000L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Salud</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789,392,513</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20900000000000L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del Trabajo</w:t>
            </w:r>
            <w:r w:rsidRPr="005733B4">
              <w:rPr>
                <w:rFonts w:ascii="Times New Roman" w:eastAsia="Calibri" w:hAnsi="Times New Roman" w:cs="Times New Roman"/>
                <w:color w:val="000000"/>
                <w:kern w:val="2"/>
                <w:sz w:val="24"/>
                <w:szCs w:val="24"/>
                <w:vertAlign w:val="superscript"/>
              </w:rPr>
              <w:t>4/</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480,083,669</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21500000000000L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Desarrollo Económico</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272,074,577</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21800000000000L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la Contraloría</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421,115,609</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22000000000000L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Movilidad</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3,291,716,791</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22500000000000L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del Campo</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3,418,957,761</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22600000000000L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Cultura y Turismo</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2,320,330,332</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22700000000000L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las Mujeres</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866,372,444</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22800000000000L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Educación, Ciencia, Tecnología e Innovación</w:t>
            </w:r>
            <w:r w:rsidRPr="005733B4">
              <w:rPr>
                <w:rFonts w:ascii="Times New Roman" w:eastAsia="Calibri" w:hAnsi="Times New Roman" w:cs="Times New Roman"/>
                <w:color w:val="000000"/>
                <w:kern w:val="2"/>
                <w:sz w:val="24"/>
                <w:szCs w:val="24"/>
                <w:vertAlign w:val="superscript"/>
              </w:rPr>
              <w:t>5/</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69,364,334,701</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22900000000000L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Bienestar</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15,114,189,504</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23000000000000L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 Desarrollo Urbano e Infraestructura</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1,521,152,213</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23100000000000L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del Medio Ambiente y Desarrollo Sostenible</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977,000,152</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23200000000000L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Secretaría del Agua</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2,210,338,472</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23300000000000L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Consejería Jurídica</w:t>
            </w:r>
            <w:r w:rsidRPr="005733B4">
              <w:rPr>
                <w:rFonts w:ascii="Times New Roman" w:eastAsia="Calibri" w:hAnsi="Times New Roman" w:cs="Times New Roman"/>
                <w:color w:val="000000"/>
                <w:kern w:val="2"/>
                <w:sz w:val="24"/>
                <w:szCs w:val="24"/>
                <w:vertAlign w:val="superscript"/>
              </w:rPr>
              <w:t xml:space="preserve"> 6/ 7/8/9/</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1,440,999,320</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23400000000000L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Oficialía Mayor</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1,659,817,864</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23500000000000L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Jefatura de Gabinete y proyectos especiales</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18,047,703</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23600000000000S</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Vocería de la Gubernatura</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42,244,640</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23700000000000L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Coordinación Técnica</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76,156,396</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23800001000000L</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Agencia Digital del Estado de México</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605,978,339</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404000000000000</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Junta Local de Conciliación y Arbitraje Valle de Toluca</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59,562,781</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405000000000000</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Tribunal Estatal de Conciliación y Arbitraje</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43,362,612</w:t>
            </w:r>
          </w:p>
        </w:tc>
      </w:tr>
      <w:tr w:rsidR="00A26CD3" w:rsidRPr="005733B4" w:rsidTr="00A26CD3">
        <w:trPr>
          <w:trHeight w:val="259"/>
        </w:trPr>
        <w:tc>
          <w:tcPr>
            <w:tcW w:w="2100" w:type="dxa"/>
            <w:tcBorders>
              <w:top w:val="nil"/>
              <w:left w:val="single" w:sz="4" w:space="0" w:color="000000"/>
              <w:bottom w:val="single" w:sz="4" w:space="0" w:color="000000"/>
              <w:right w:val="single" w:sz="4" w:space="0" w:color="000000"/>
            </w:tcBorders>
            <w:noWrap/>
            <w:vAlign w:val="bottom"/>
            <w:hideMark/>
          </w:tcPr>
          <w:p w:rsidR="00A26CD3" w:rsidRPr="005733B4" w:rsidRDefault="00A26CD3" w:rsidP="00A26CD3">
            <w:pPr>
              <w:spacing w:after="0" w:line="240" w:lineRule="auto"/>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407000000000000</w:t>
            </w:r>
          </w:p>
        </w:tc>
        <w:tc>
          <w:tcPr>
            <w:tcW w:w="5625"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Junta Local de Conciliación y Arbitraje del Valle Cuautitlán-Texcoco</w:t>
            </w:r>
          </w:p>
        </w:tc>
        <w:tc>
          <w:tcPr>
            <w:tcW w:w="1701" w:type="dxa"/>
            <w:tcBorders>
              <w:top w:val="nil"/>
              <w:left w:val="nil"/>
              <w:bottom w:val="single" w:sz="4" w:space="0" w:color="000000"/>
              <w:right w:val="single" w:sz="4" w:space="0" w:color="000000"/>
            </w:tcBorders>
            <w:noWrap/>
            <w:vAlign w:val="bottom"/>
            <w:hideMark/>
          </w:tcPr>
          <w:p w:rsidR="00A26CD3" w:rsidRPr="005733B4"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5733B4">
              <w:rPr>
                <w:rFonts w:ascii="Times New Roman" w:eastAsia="Calibri" w:hAnsi="Times New Roman" w:cs="Times New Roman"/>
                <w:color w:val="000000"/>
                <w:kern w:val="2"/>
                <w:sz w:val="24"/>
                <w:szCs w:val="24"/>
              </w:rPr>
              <w:t>115,458,430</w:t>
            </w:r>
          </w:p>
        </w:tc>
      </w:tr>
      <w:tr w:rsidR="00A26CD3" w:rsidRPr="005733B4" w:rsidTr="00A26CD3">
        <w:trPr>
          <w:trHeight w:val="259"/>
        </w:trPr>
        <w:tc>
          <w:tcPr>
            <w:tcW w:w="7725" w:type="dxa"/>
            <w:gridSpan w:val="2"/>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Total</w:t>
            </w:r>
          </w:p>
        </w:tc>
        <w:tc>
          <w:tcPr>
            <w:tcW w:w="1701" w:type="dxa"/>
            <w:tcBorders>
              <w:top w:val="nil"/>
              <w:left w:val="nil"/>
              <w:bottom w:val="single" w:sz="4" w:space="0" w:color="000000"/>
              <w:right w:val="single" w:sz="4" w:space="0" w:color="000000"/>
            </w:tcBorders>
            <w:shd w:val="clear" w:color="C2C2C2" w:fill="C2C2C2"/>
            <w:noWrap/>
            <w:vAlign w:val="center"/>
            <w:hideMark/>
          </w:tcPr>
          <w:p w:rsidR="00A26CD3" w:rsidRPr="005733B4"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5733B4">
              <w:rPr>
                <w:rFonts w:ascii="Times New Roman" w:eastAsia="Times New Roman" w:hAnsi="Times New Roman" w:cs="Times New Roman"/>
                <w:b/>
                <w:bCs/>
                <w:color w:val="000000"/>
                <w:sz w:val="24"/>
                <w:szCs w:val="24"/>
                <w:lang w:eastAsia="es-MX"/>
              </w:rPr>
              <w:t>143,283,129,282</w:t>
            </w:r>
          </w:p>
        </w:tc>
      </w:tr>
    </w:tbl>
    <w:tbl>
      <w:tblPr>
        <w:tblStyle w:val="Tablaconcuadrcula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A26CD3" w:rsidRPr="005733B4" w:rsidTr="00A26CD3">
        <w:tc>
          <w:tcPr>
            <w:tcW w:w="9821" w:type="dxa"/>
          </w:tcPr>
          <w:p w:rsidR="00A26CD3" w:rsidRPr="005733B4" w:rsidRDefault="00A26CD3" w:rsidP="00A26CD3">
            <w:pPr>
              <w:spacing w:line="240" w:lineRule="auto"/>
              <w:jc w:val="both"/>
              <w:rPr>
                <w:rFonts w:ascii="Times New Roman" w:eastAsia="Calibri" w:hAnsi="Times New Roman"/>
                <w:sz w:val="24"/>
                <w:szCs w:val="24"/>
              </w:rPr>
            </w:pPr>
          </w:p>
        </w:tc>
      </w:tr>
    </w:tbl>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 xml:space="preserve">1/ Incluye una previsión de $50,000,000 destinados a “Fortalecer el equipamiento en materia de seguridad pública municipal”. </w:t>
      </w:r>
    </w:p>
    <w:p w:rsidR="00A26CD3" w:rsidRPr="00A26CD3" w:rsidRDefault="00A26CD3" w:rsidP="00A26CD3">
      <w:pPr>
        <w:shd w:val="clear" w:color="auto" w:fill="FFFFFF"/>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2/ Considera $5,000,000 destinados al "Cuidado de niñas y niños que viven con sus madres en los Centros de Reinserción Social del Estado de México”, para otorgar apoyo que consistirá en canasta alimentaria y vestido a las niñas, niños y adolescentes en reclusión con sus madres; así como $400,000 para el acondicionamiento de espacios acordes a las necesidades de las mujeres embarazadas en cada uno de los Centros.</w:t>
      </w:r>
    </w:p>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 xml:space="preserve">3/ Incluye una previsión de $684,622,349 correspondientes al Fondo de Aportaciones para la Seguridad Pública de los Estados y del Distrito Federal (FASP); cuya distribución se realizará conforme al resultado de la aplicación de los criterios y ponderadores, que para los efectos emita la autoridad federal. </w:t>
      </w:r>
    </w:p>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4/</w:t>
      </w:r>
      <w:r w:rsidRPr="00A26CD3" w:rsidDel="001D0350">
        <w:rPr>
          <w:rFonts w:ascii="Times New Roman" w:eastAsia="Times New Roman" w:hAnsi="Times New Roman" w:cs="Times New Roman"/>
          <w:color w:val="000000"/>
          <w:sz w:val="12"/>
          <w:szCs w:val="12"/>
          <w:lang w:eastAsia="es-MX"/>
        </w:rPr>
        <w:t xml:space="preserve"> </w:t>
      </w:r>
      <w:r w:rsidRPr="00A26CD3">
        <w:rPr>
          <w:rFonts w:ascii="Times New Roman" w:eastAsia="Times New Roman" w:hAnsi="Times New Roman" w:cs="Times New Roman"/>
          <w:color w:val="000000"/>
          <w:sz w:val="12"/>
          <w:szCs w:val="12"/>
          <w:lang w:eastAsia="es-MX"/>
        </w:rPr>
        <w:t xml:space="preserve">Incluye $52,878,699 para proporcionar un apoyo económico a la población afectada que llega a perder su empleo formal y que son residentes en el Estado de México, bajo el esquema de un programa de auxilio al desempleo. </w:t>
      </w:r>
    </w:p>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5/ Considera una previsión de $20,000,000, para otorgar productos de gestión menstrual de las alumnas de escuelas públicas de educación básica y media superior.</w:t>
      </w:r>
    </w:p>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6/ Incluye una previsión de $110,000,000 destinados al Programa presupuestario “Procuración de Justicia con perspectiva de género”, que serán aplicados en los siguientes programas operativos: "Reparación a Víctimas u ofendidos del delito de feminicidio”, "Atención de niñas, niños y adolescentes en situación de orfandad por el delito de feminicidio y desaparición" y "Canasta alimentaria por el delito de feminicidio y desaparición". La Consejería Jurídica en coordinación con la Secretaría de las Mujeres serán las encargadas de implementar los mecanismos necesarios para la operación de estos recursos, dándolos a conocer a través del Periódico Oficial “Gaceta del Gobierno” a más tardar el último día hábil del mes de febrero de 2026.</w:t>
      </w:r>
    </w:p>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7/Incluye una previsión de $15,000,000 para dar continuidad al “Fondo estatal de desaparición”. La Consejería Jurídica en coordinación con la Secretaría de las Mujeres, serán las encargadas de implementar los mecanismos necesarios para la operación de estos recursos, dándolos a conocer a través del Periódico Oficial “Gaceta del Gobierno” a más tardar el último día hábil del mes de febrero de 2026.</w:t>
      </w:r>
    </w:p>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8/</w:t>
      </w:r>
      <w:r w:rsidRPr="00A26CD3" w:rsidDel="001D0350">
        <w:rPr>
          <w:rFonts w:ascii="Times New Roman" w:eastAsia="Times New Roman" w:hAnsi="Times New Roman" w:cs="Times New Roman"/>
          <w:color w:val="000000"/>
          <w:sz w:val="12"/>
          <w:szCs w:val="12"/>
          <w:lang w:eastAsia="es-MX"/>
        </w:rPr>
        <w:t xml:space="preserve"> </w:t>
      </w:r>
      <w:r w:rsidRPr="00A26CD3">
        <w:rPr>
          <w:rFonts w:ascii="Times New Roman" w:eastAsia="Times New Roman" w:hAnsi="Times New Roman" w:cs="Times New Roman"/>
          <w:color w:val="000000"/>
          <w:sz w:val="12"/>
          <w:szCs w:val="12"/>
          <w:lang w:eastAsia="es-MX"/>
        </w:rPr>
        <w:t>Incluyen $2,000,000 para proveer al Consejo Estatal Ciudadano; previsto en la Ley en Materia de Desaparición Forzada de Personas y Desaparición Cometida por Particulares para el Estado Libre y Soberano de México; recursos financieros, técnicos, de infraestructura y humanos necesarios para el desempeño de sus funciones.</w:t>
      </w:r>
    </w:p>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r w:rsidRPr="00A26CD3">
        <w:rPr>
          <w:rFonts w:ascii="Times New Roman" w:eastAsia="Times New Roman" w:hAnsi="Times New Roman" w:cs="Times New Roman"/>
          <w:color w:val="000000"/>
          <w:sz w:val="12"/>
          <w:szCs w:val="12"/>
          <w:lang w:eastAsia="es-MX"/>
        </w:rPr>
        <w:t>9/</w:t>
      </w:r>
      <w:r w:rsidRPr="00A26CD3" w:rsidDel="001D0350">
        <w:rPr>
          <w:rFonts w:ascii="Times New Roman" w:eastAsia="Times New Roman" w:hAnsi="Times New Roman" w:cs="Times New Roman"/>
          <w:color w:val="000000"/>
          <w:sz w:val="12"/>
          <w:szCs w:val="12"/>
          <w:lang w:eastAsia="es-MX"/>
        </w:rPr>
        <w:t xml:space="preserve"> </w:t>
      </w:r>
      <w:r w:rsidRPr="00A26CD3">
        <w:rPr>
          <w:rFonts w:ascii="Times New Roman" w:eastAsia="Times New Roman" w:hAnsi="Times New Roman" w:cs="Times New Roman"/>
          <w:color w:val="000000"/>
          <w:sz w:val="12"/>
          <w:szCs w:val="12"/>
          <w:lang w:eastAsia="es-MX"/>
        </w:rPr>
        <w:t>Incluye una previsión de $15,000,000 destinados al “Fondo de Reparación del Daño”, para lo cual, la Consejería Jurídica a través del Instituto de la Defensoría Pública del Estado de México, deberá establecer los mecanismos que normen su creación y operación conforme a la Ley en la materia.</w:t>
      </w:r>
    </w:p>
    <w:p w:rsidR="00A26CD3" w:rsidRPr="00A26CD3" w:rsidRDefault="00A26CD3" w:rsidP="00A26CD3">
      <w:pPr>
        <w:spacing w:after="0" w:line="240" w:lineRule="auto"/>
        <w:jc w:val="both"/>
        <w:rPr>
          <w:rFonts w:ascii="Times New Roman" w:eastAsia="Times New Roman" w:hAnsi="Times New Roman" w:cs="Times New Roman"/>
          <w:color w:val="000000"/>
          <w:sz w:val="12"/>
          <w:szCs w:val="12"/>
          <w:lang w:eastAsia="es-MX"/>
        </w:rPr>
      </w:pPr>
    </w:p>
    <w:p w:rsidR="00A26CD3" w:rsidRPr="005733B4" w:rsidRDefault="00A26CD3" w:rsidP="00A26CD3">
      <w:pPr>
        <w:spacing w:after="0" w:line="240" w:lineRule="auto"/>
        <w:jc w:val="both"/>
        <w:rPr>
          <w:rFonts w:ascii="Times New Roman" w:eastAsia="Calibri" w:hAnsi="Times New Roman" w:cs="Times New Roman"/>
          <w:sz w:val="24"/>
          <w:szCs w:val="24"/>
        </w:rPr>
      </w:pPr>
      <w:r w:rsidRPr="005733B4">
        <w:rPr>
          <w:rFonts w:ascii="Times New Roman" w:eastAsia="Calibri" w:hAnsi="Times New Roman" w:cs="Times New Roman"/>
          <w:b/>
          <w:bCs/>
          <w:sz w:val="24"/>
          <w:szCs w:val="24"/>
        </w:rPr>
        <w:lastRenderedPageBreak/>
        <w:t>Artículo 13.</w:t>
      </w:r>
      <w:r w:rsidRPr="005733B4">
        <w:rPr>
          <w:rFonts w:ascii="Times New Roman" w:eastAsia="Calibri" w:hAnsi="Times New Roman" w:cs="Times New Roman"/>
          <w:sz w:val="24"/>
          <w:szCs w:val="24"/>
        </w:rPr>
        <w:t xml:space="preserve"> Las erogaciones señaladas en el artículo anterior se distribuyen, conforme a la Clasificación Económica, de la siguiente manera:</w:t>
      </w:r>
    </w:p>
    <w:p w:rsidR="00A26CD3" w:rsidRPr="005733B4" w:rsidRDefault="00A26CD3" w:rsidP="00A26CD3">
      <w:pPr>
        <w:spacing w:after="0" w:line="240" w:lineRule="auto"/>
        <w:jc w:val="both"/>
        <w:rPr>
          <w:rFonts w:ascii="Times New Roman" w:eastAsia="Calibri" w:hAnsi="Times New Roman" w:cs="Times New Roman"/>
          <w:sz w:val="24"/>
          <w:szCs w:val="24"/>
        </w:rPr>
      </w:pPr>
    </w:p>
    <w:p w:rsidR="00A26CD3" w:rsidRPr="005733B4" w:rsidRDefault="00A26CD3" w:rsidP="00A26CD3">
      <w:pPr>
        <w:spacing w:after="0" w:line="240" w:lineRule="auto"/>
        <w:ind w:firstLine="709"/>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 xml:space="preserve">Tabla 10. Distribución del presupuesto del Poder Ejecutivo por capítulo de gasto </w:t>
      </w:r>
    </w:p>
    <w:p w:rsidR="00A26CD3" w:rsidRPr="005733B4" w:rsidRDefault="00A26CD3" w:rsidP="00A26CD3">
      <w:pPr>
        <w:spacing w:after="0" w:line="240" w:lineRule="auto"/>
        <w:jc w:val="both"/>
        <w:rPr>
          <w:rFonts w:ascii="Times New Roman" w:eastAsia="Bookman Old Style" w:hAnsi="Times New Roman" w:cs="Times New Roman"/>
          <w:b/>
          <w:sz w:val="24"/>
          <w:szCs w:val="24"/>
        </w:rPr>
      </w:pPr>
    </w:p>
    <w:tbl>
      <w:tblPr>
        <w:tblW w:w="8540" w:type="dxa"/>
        <w:jc w:val="center"/>
        <w:tblCellMar>
          <w:left w:w="70" w:type="dxa"/>
          <w:right w:w="70" w:type="dxa"/>
        </w:tblCellMar>
        <w:tblLook w:val="04A0" w:firstRow="1" w:lastRow="0" w:firstColumn="1" w:lastColumn="0" w:noHBand="0" w:noVBand="1"/>
      </w:tblPr>
      <w:tblGrid>
        <w:gridCol w:w="1020"/>
        <w:gridCol w:w="5200"/>
        <w:gridCol w:w="2320"/>
      </w:tblGrid>
      <w:tr w:rsidR="00A26CD3" w:rsidRPr="00A26CD3" w:rsidTr="00A26CD3">
        <w:trPr>
          <w:trHeight w:val="259"/>
          <w:jc w:val="center"/>
        </w:trPr>
        <w:tc>
          <w:tcPr>
            <w:tcW w:w="1020"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8"/>
                <w:szCs w:val="18"/>
                <w:lang w:eastAsia="es-MX"/>
              </w:rPr>
            </w:pPr>
            <w:r w:rsidRPr="00A26CD3">
              <w:rPr>
                <w:rFonts w:ascii="Times New Roman" w:eastAsia="Times New Roman" w:hAnsi="Times New Roman" w:cs="Times New Roman"/>
                <w:b/>
                <w:bCs/>
                <w:color w:val="000000"/>
                <w:sz w:val="18"/>
                <w:szCs w:val="18"/>
                <w:lang w:eastAsia="es-MX"/>
              </w:rPr>
              <w:t>Clave</w:t>
            </w:r>
          </w:p>
        </w:tc>
        <w:tc>
          <w:tcPr>
            <w:tcW w:w="5200"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8"/>
                <w:szCs w:val="18"/>
                <w:lang w:eastAsia="es-MX"/>
              </w:rPr>
            </w:pPr>
            <w:r w:rsidRPr="00A26CD3">
              <w:rPr>
                <w:rFonts w:ascii="Times New Roman" w:eastAsia="Times New Roman" w:hAnsi="Times New Roman" w:cs="Times New Roman"/>
                <w:b/>
                <w:bCs/>
                <w:color w:val="000000"/>
                <w:sz w:val="18"/>
                <w:szCs w:val="18"/>
                <w:lang w:eastAsia="es-MX"/>
              </w:rPr>
              <w:t>Capítulo de Gasto</w:t>
            </w:r>
          </w:p>
        </w:tc>
        <w:tc>
          <w:tcPr>
            <w:tcW w:w="2320"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8"/>
                <w:szCs w:val="18"/>
                <w:lang w:eastAsia="es-MX"/>
              </w:rPr>
            </w:pPr>
            <w:r w:rsidRPr="00A26CD3">
              <w:rPr>
                <w:rFonts w:ascii="Times New Roman" w:eastAsia="Times New Roman" w:hAnsi="Times New Roman" w:cs="Times New Roman"/>
                <w:b/>
                <w:bCs/>
                <w:color w:val="000000"/>
                <w:sz w:val="18"/>
                <w:szCs w:val="18"/>
                <w:lang w:eastAsia="es-MX"/>
              </w:rPr>
              <w:t xml:space="preserve">Monto </w:t>
            </w:r>
            <w:r w:rsidRPr="00A26CD3">
              <w:rPr>
                <w:rFonts w:ascii="Times New Roman" w:eastAsia="Bookman Old Style" w:hAnsi="Times New Roman" w:cs="Times New Roman"/>
                <w:sz w:val="18"/>
                <w:szCs w:val="18"/>
              </w:rPr>
              <w:t>(pesos)</w:t>
            </w: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1000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Servicios personales</w:t>
            </w:r>
          </w:p>
        </w:tc>
        <w:tc>
          <w:tcPr>
            <w:tcW w:w="2320" w:type="dxa"/>
            <w:tcBorders>
              <w:top w:val="nil"/>
              <w:left w:val="nil"/>
              <w:bottom w:val="single" w:sz="4" w:space="0" w:color="000000"/>
              <w:right w:val="single" w:sz="4" w:space="0" w:color="000000"/>
            </w:tcBorders>
            <w:noWrap/>
            <w:vAlign w:val="bottom"/>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r w:rsidRPr="00A26CD3">
              <w:rPr>
                <w:rFonts w:ascii="Times New Roman" w:eastAsia="Calibri" w:hAnsi="Times New Roman" w:cs="Times New Roman"/>
                <w:color w:val="000000"/>
                <w:kern w:val="2"/>
                <w:sz w:val="18"/>
                <w:szCs w:val="18"/>
              </w:rPr>
              <w:t>85,807,940,984</w:t>
            </w: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2000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Materiales y suministros</w:t>
            </w:r>
          </w:p>
        </w:tc>
        <w:tc>
          <w:tcPr>
            <w:tcW w:w="2320" w:type="dxa"/>
            <w:tcBorders>
              <w:top w:val="nil"/>
              <w:left w:val="nil"/>
              <w:bottom w:val="single" w:sz="4" w:space="0" w:color="000000"/>
              <w:right w:val="single" w:sz="4" w:space="0" w:color="000000"/>
            </w:tcBorders>
            <w:noWrap/>
            <w:vAlign w:val="bottom"/>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r w:rsidRPr="00A26CD3">
              <w:rPr>
                <w:rFonts w:ascii="Times New Roman" w:eastAsia="Calibri" w:hAnsi="Times New Roman" w:cs="Times New Roman"/>
                <w:color w:val="000000"/>
                <w:kern w:val="2"/>
                <w:sz w:val="18"/>
                <w:szCs w:val="18"/>
              </w:rPr>
              <w:t>3,239,872,446</w:t>
            </w: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3000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Servicios generales</w:t>
            </w:r>
          </w:p>
        </w:tc>
        <w:tc>
          <w:tcPr>
            <w:tcW w:w="2320" w:type="dxa"/>
            <w:tcBorders>
              <w:top w:val="nil"/>
              <w:left w:val="nil"/>
              <w:bottom w:val="single" w:sz="4" w:space="0" w:color="000000"/>
              <w:right w:val="single" w:sz="4" w:space="0" w:color="000000"/>
            </w:tcBorders>
            <w:noWrap/>
            <w:vAlign w:val="bottom"/>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r w:rsidRPr="00A26CD3">
              <w:rPr>
                <w:rFonts w:ascii="Times New Roman" w:eastAsia="Calibri" w:hAnsi="Times New Roman" w:cs="Times New Roman"/>
                <w:color w:val="000000"/>
                <w:kern w:val="2"/>
                <w:sz w:val="18"/>
                <w:szCs w:val="18"/>
              </w:rPr>
              <w:t>15,584,536,156</w:t>
            </w: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4000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Transferencias, asignaciones, subsidios y otras ayudas</w:t>
            </w:r>
          </w:p>
        </w:tc>
        <w:tc>
          <w:tcPr>
            <w:tcW w:w="2320" w:type="dxa"/>
            <w:tcBorders>
              <w:top w:val="nil"/>
              <w:left w:val="nil"/>
              <w:bottom w:val="single" w:sz="4" w:space="0" w:color="000000"/>
              <w:right w:val="single" w:sz="4" w:space="0" w:color="000000"/>
            </w:tcBorders>
            <w:noWrap/>
            <w:vAlign w:val="bottom"/>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r w:rsidRPr="00A26CD3">
              <w:rPr>
                <w:rFonts w:ascii="Times New Roman" w:eastAsia="Calibri" w:hAnsi="Times New Roman" w:cs="Times New Roman"/>
                <w:color w:val="000000"/>
                <w:kern w:val="2"/>
                <w:sz w:val="18"/>
                <w:szCs w:val="18"/>
              </w:rPr>
              <w:t>29,119,250,410</w:t>
            </w: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5000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Bienes muebles, inmuebles e intangibles</w:t>
            </w:r>
          </w:p>
        </w:tc>
        <w:tc>
          <w:tcPr>
            <w:tcW w:w="2320" w:type="dxa"/>
            <w:tcBorders>
              <w:top w:val="nil"/>
              <w:left w:val="nil"/>
              <w:bottom w:val="single" w:sz="4" w:space="0" w:color="000000"/>
              <w:right w:val="single" w:sz="4" w:space="0" w:color="000000"/>
            </w:tcBorders>
            <w:noWrap/>
            <w:vAlign w:val="bottom"/>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r w:rsidRPr="00A26CD3">
              <w:rPr>
                <w:rFonts w:ascii="Times New Roman" w:eastAsia="Calibri" w:hAnsi="Times New Roman" w:cs="Times New Roman"/>
                <w:color w:val="000000"/>
                <w:kern w:val="2"/>
                <w:sz w:val="18"/>
                <w:szCs w:val="18"/>
              </w:rPr>
              <w:t>476,459,765</w:t>
            </w: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6000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Inversión pública</w:t>
            </w:r>
          </w:p>
        </w:tc>
        <w:tc>
          <w:tcPr>
            <w:tcW w:w="2320" w:type="dxa"/>
            <w:tcBorders>
              <w:top w:val="nil"/>
              <w:left w:val="nil"/>
              <w:bottom w:val="single" w:sz="4" w:space="0" w:color="000000"/>
              <w:right w:val="single" w:sz="4" w:space="0" w:color="000000"/>
            </w:tcBorders>
            <w:noWrap/>
            <w:vAlign w:val="bottom"/>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r w:rsidRPr="00A26CD3">
              <w:rPr>
                <w:rFonts w:ascii="Times New Roman" w:eastAsia="Calibri" w:hAnsi="Times New Roman" w:cs="Times New Roman"/>
                <w:color w:val="000000"/>
                <w:kern w:val="2"/>
                <w:sz w:val="18"/>
                <w:szCs w:val="18"/>
              </w:rPr>
              <w:t>7,476,307,240</w:t>
            </w: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7000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Inversiones financieras y otras provisiones</w:t>
            </w:r>
          </w:p>
        </w:tc>
        <w:tc>
          <w:tcPr>
            <w:tcW w:w="2320" w:type="dxa"/>
            <w:tcBorders>
              <w:top w:val="nil"/>
              <w:left w:val="nil"/>
              <w:bottom w:val="single" w:sz="4" w:space="0" w:color="000000"/>
              <w:right w:val="single" w:sz="4" w:space="0" w:color="000000"/>
            </w:tcBorders>
            <w:noWrap/>
            <w:vAlign w:val="bottom"/>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r w:rsidRPr="00A26CD3">
              <w:rPr>
                <w:rFonts w:ascii="Times New Roman" w:eastAsia="Calibri" w:hAnsi="Times New Roman" w:cs="Times New Roman"/>
                <w:color w:val="000000"/>
                <w:kern w:val="2"/>
                <w:sz w:val="18"/>
                <w:szCs w:val="18"/>
              </w:rPr>
              <w:t>1,578,762,281</w:t>
            </w: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8000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 xml:space="preserve">Participaciones y aportaciones </w:t>
            </w:r>
          </w:p>
        </w:tc>
        <w:tc>
          <w:tcPr>
            <w:tcW w:w="2320" w:type="dxa"/>
            <w:tcBorders>
              <w:top w:val="nil"/>
              <w:left w:val="nil"/>
              <w:bottom w:val="single" w:sz="4" w:space="0" w:color="000000"/>
              <w:right w:val="single" w:sz="4" w:space="0" w:color="000000"/>
            </w:tcBorders>
            <w:noWrap/>
            <w:vAlign w:val="bottom"/>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p>
        </w:tc>
      </w:tr>
      <w:tr w:rsidR="00A26CD3" w:rsidRPr="00A26CD3" w:rsidTr="00A26CD3">
        <w:trPr>
          <w:trHeight w:val="259"/>
          <w:jc w:val="center"/>
        </w:trPr>
        <w:tc>
          <w:tcPr>
            <w:tcW w:w="1020"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9000</w:t>
            </w:r>
          </w:p>
        </w:tc>
        <w:tc>
          <w:tcPr>
            <w:tcW w:w="520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lang w:eastAsia="es-MX"/>
              </w:rPr>
            </w:pPr>
            <w:r w:rsidRPr="00A26CD3">
              <w:rPr>
                <w:rFonts w:ascii="Times New Roman" w:eastAsia="Times New Roman" w:hAnsi="Times New Roman" w:cs="Times New Roman"/>
                <w:color w:val="000000"/>
                <w:sz w:val="18"/>
                <w:szCs w:val="18"/>
                <w:lang w:eastAsia="es-MX"/>
              </w:rPr>
              <w:t>Deuda pública</w:t>
            </w:r>
          </w:p>
        </w:tc>
        <w:tc>
          <w:tcPr>
            <w:tcW w:w="2320" w:type="dxa"/>
            <w:tcBorders>
              <w:top w:val="nil"/>
              <w:left w:val="nil"/>
              <w:bottom w:val="single" w:sz="4" w:space="0" w:color="000000"/>
              <w:right w:val="single" w:sz="4" w:space="0" w:color="000000"/>
            </w:tcBorders>
            <w:noWrap/>
            <w:vAlign w:val="bottom"/>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lang w:eastAsia="es-MX"/>
              </w:rPr>
            </w:pPr>
          </w:p>
        </w:tc>
      </w:tr>
      <w:tr w:rsidR="00A26CD3" w:rsidRPr="00A26CD3" w:rsidTr="00A26CD3">
        <w:trPr>
          <w:trHeight w:val="259"/>
          <w:jc w:val="center"/>
        </w:trPr>
        <w:tc>
          <w:tcPr>
            <w:tcW w:w="6220" w:type="dxa"/>
            <w:gridSpan w:val="2"/>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rPr>
                <w:rFonts w:ascii="Times New Roman" w:eastAsia="Times New Roman" w:hAnsi="Times New Roman" w:cs="Times New Roman"/>
                <w:b/>
                <w:bCs/>
                <w:color w:val="000000"/>
                <w:sz w:val="18"/>
                <w:szCs w:val="18"/>
                <w:lang w:eastAsia="es-MX"/>
              </w:rPr>
            </w:pPr>
            <w:r w:rsidRPr="00A26CD3">
              <w:rPr>
                <w:rFonts w:ascii="Times New Roman" w:eastAsia="Times New Roman" w:hAnsi="Times New Roman" w:cs="Times New Roman"/>
                <w:b/>
                <w:bCs/>
                <w:color w:val="000000"/>
                <w:sz w:val="18"/>
                <w:szCs w:val="18"/>
                <w:lang w:eastAsia="es-MX"/>
              </w:rPr>
              <w:t>Total</w:t>
            </w:r>
          </w:p>
        </w:tc>
        <w:tc>
          <w:tcPr>
            <w:tcW w:w="2320" w:type="dxa"/>
            <w:tcBorders>
              <w:top w:val="nil"/>
              <w:left w:val="nil"/>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jc w:val="right"/>
              <w:rPr>
                <w:rFonts w:ascii="Times New Roman" w:eastAsia="Times New Roman" w:hAnsi="Times New Roman" w:cs="Times New Roman"/>
                <w:b/>
                <w:bCs/>
                <w:color w:val="000000"/>
                <w:sz w:val="18"/>
                <w:szCs w:val="18"/>
                <w:lang w:eastAsia="es-MX"/>
              </w:rPr>
            </w:pPr>
            <w:r w:rsidRPr="00A26CD3">
              <w:rPr>
                <w:rFonts w:ascii="Times New Roman" w:eastAsia="Times New Roman" w:hAnsi="Times New Roman" w:cs="Times New Roman"/>
                <w:b/>
                <w:bCs/>
                <w:color w:val="000000"/>
                <w:sz w:val="18"/>
                <w:szCs w:val="18"/>
                <w:lang w:eastAsia="es-MX"/>
              </w:rPr>
              <w:t>143,283,129,282</w:t>
            </w:r>
          </w:p>
        </w:tc>
      </w:tr>
    </w:tbl>
    <w:p w:rsidR="00A26CD3" w:rsidRPr="005733B4" w:rsidRDefault="00A26CD3" w:rsidP="00A26CD3">
      <w:pPr>
        <w:spacing w:after="0" w:line="240" w:lineRule="auto"/>
        <w:jc w:val="center"/>
        <w:rPr>
          <w:rFonts w:ascii="Times New Roman" w:eastAsia="Calibri" w:hAnsi="Times New Roman" w:cs="Times New Roman"/>
          <w:b/>
          <w:bCs/>
          <w:sz w:val="24"/>
          <w:szCs w:val="24"/>
        </w:rPr>
      </w:pPr>
    </w:p>
    <w:p w:rsidR="00A26CD3" w:rsidRPr="005733B4" w:rsidRDefault="00A26CD3" w:rsidP="00A26CD3">
      <w:pPr>
        <w:spacing w:after="0" w:line="240" w:lineRule="auto"/>
        <w:jc w:val="center"/>
        <w:rPr>
          <w:rFonts w:ascii="Times New Roman" w:eastAsia="Bookman Old Style" w:hAnsi="Times New Roman" w:cs="Times New Roman"/>
          <w:b/>
          <w:bCs/>
          <w:sz w:val="24"/>
          <w:szCs w:val="24"/>
        </w:rPr>
      </w:pPr>
      <w:r w:rsidRPr="005733B4">
        <w:rPr>
          <w:rFonts w:ascii="Times New Roman" w:eastAsia="Bookman Old Style" w:hAnsi="Times New Roman" w:cs="Times New Roman"/>
          <w:b/>
          <w:bCs/>
          <w:sz w:val="24"/>
          <w:szCs w:val="24"/>
        </w:rPr>
        <w:t xml:space="preserve">CAPÍTULO III </w:t>
      </w:r>
    </w:p>
    <w:p w:rsidR="00A26CD3" w:rsidRPr="005733B4" w:rsidRDefault="00A26CD3" w:rsidP="00A26CD3">
      <w:pPr>
        <w:spacing w:after="0" w:line="240" w:lineRule="auto"/>
        <w:jc w:val="center"/>
        <w:rPr>
          <w:rFonts w:ascii="Times New Roman" w:eastAsia="Calibri" w:hAnsi="Times New Roman" w:cs="Times New Roman"/>
          <w:b/>
          <w:sz w:val="24"/>
          <w:szCs w:val="24"/>
        </w:rPr>
      </w:pPr>
      <w:r w:rsidRPr="005733B4">
        <w:rPr>
          <w:rFonts w:ascii="Times New Roman" w:eastAsia="Calibri" w:hAnsi="Times New Roman" w:cs="Times New Roman"/>
          <w:b/>
          <w:sz w:val="24"/>
          <w:szCs w:val="24"/>
        </w:rPr>
        <w:t>Asignación a las Entidades Públicas del Poder Ejecutivo</w:t>
      </w:r>
    </w:p>
    <w:p w:rsidR="00A26CD3" w:rsidRPr="005733B4" w:rsidRDefault="00A26CD3" w:rsidP="00A26CD3">
      <w:pPr>
        <w:spacing w:after="0" w:line="240" w:lineRule="auto"/>
        <w:jc w:val="both"/>
        <w:rPr>
          <w:rFonts w:ascii="Times New Roman" w:eastAsia="Calibri" w:hAnsi="Times New Roman" w:cs="Times New Roman"/>
          <w:b/>
          <w:bCs/>
          <w:sz w:val="24"/>
          <w:szCs w:val="24"/>
        </w:rPr>
      </w:pPr>
    </w:p>
    <w:p w:rsidR="00A26CD3" w:rsidRPr="005733B4" w:rsidRDefault="00A26CD3" w:rsidP="00A26CD3">
      <w:pPr>
        <w:spacing w:after="0" w:line="240" w:lineRule="auto"/>
        <w:jc w:val="both"/>
        <w:rPr>
          <w:rFonts w:ascii="Times New Roman" w:eastAsia="Calibri" w:hAnsi="Times New Roman" w:cs="Times New Roman"/>
          <w:sz w:val="24"/>
          <w:szCs w:val="24"/>
        </w:rPr>
      </w:pPr>
      <w:r w:rsidRPr="005733B4">
        <w:rPr>
          <w:rFonts w:ascii="Times New Roman" w:eastAsia="Calibri" w:hAnsi="Times New Roman" w:cs="Times New Roman"/>
          <w:b/>
          <w:bCs/>
          <w:sz w:val="24"/>
          <w:szCs w:val="24"/>
        </w:rPr>
        <w:t>Artículo 14.</w:t>
      </w:r>
      <w:r w:rsidRPr="005733B4">
        <w:rPr>
          <w:rFonts w:ascii="Times New Roman" w:eastAsia="Calibri" w:hAnsi="Times New Roman" w:cs="Times New Roman"/>
          <w:sz w:val="24"/>
          <w:szCs w:val="24"/>
        </w:rPr>
        <w:t xml:space="preserve"> Las asignaciones presupuestales de las Entidades Públicas del Poder Ejecutivo, que utilizan Recursos Etiquetados y No Etiquetados para la operación de sus Programas, ascienden a la cantidad de </w:t>
      </w:r>
      <w:r w:rsidRPr="005733B4">
        <w:rPr>
          <w:rFonts w:ascii="Times New Roman" w:eastAsia="Calibri" w:hAnsi="Times New Roman" w:cs="Times New Roman"/>
          <w:b/>
          <w:bCs/>
          <w:sz w:val="24"/>
          <w:szCs w:val="24"/>
        </w:rPr>
        <w:t xml:space="preserve">$160,537,727,799 </w:t>
      </w:r>
      <w:r w:rsidRPr="005733B4">
        <w:rPr>
          <w:rFonts w:ascii="Times New Roman" w:eastAsia="Calibri" w:hAnsi="Times New Roman" w:cs="Times New Roman"/>
          <w:sz w:val="24"/>
          <w:szCs w:val="24"/>
        </w:rPr>
        <w:t xml:space="preserve">y se distribuye conforme a la Clasificación Administrativa establecida en la tabla siguiente manera: </w:t>
      </w:r>
    </w:p>
    <w:p w:rsidR="00A26CD3" w:rsidRPr="005733B4" w:rsidRDefault="00A26CD3" w:rsidP="00A26CD3">
      <w:pPr>
        <w:spacing w:after="0" w:line="240" w:lineRule="auto"/>
        <w:jc w:val="both"/>
        <w:rPr>
          <w:rFonts w:ascii="Times New Roman" w:eastAsia="Bookman Old Style" w:hAnsi="Times New Roman" w:cs="Times New Roman"/>
          <w:sz w:val="24"/>
          <w:szCs w:val="24"/>
        </w:rPr>
      </w:pPr>
      <w:r w:rsidRPr="005733B4">
        <w:rPr>
          <w:rFonts w:ascii="Times New Roman" w:eastAsia="Bookman Old Style" w:hAnsi="Times New Roman" w:cs="Times New Roman"/>
          <w:sz w:val="24"/>
          <w:szCs w:val="24"/>
        </w:rPr>
        <w:t xml:space="preserve">Tabla 11. Distribución del presupuesto por clasificación administrativa de las Entidades Públicas del Poder Ejecutivo </w:t>
      </w:r>
    </w:p>
    <w:p w:rsidR="00A26CD3" w:rsidRPr="005733B4" w:rsidRDefault="00A26CD3" w:rsidP="00A26CD3">
      <w:pPr>
        <w:spacing w:after="0" w:line="240" w:lineRule="auto"/>
        <w:jc w:val="both"/>
        <w:rPr>
          <w:rFonts w:ascii="Times New Roman" w:eastAsia="Times New Roman" w:hAnsi="Times New Roman" w:cs="Times New Roman"/>
          <w:color w:val="000000"/>
          <w:sz w:val="24"/>
          <w:szCs w:val="24"/>
          <w:lang w:eastAsia="es-MX"/>
        </w:rPr>
      </w:pPr>
    </w:p>
    <w:tbl>
      <w:tblPr>
        <w:tblW w:w="9851" w:type="dxa"/>
        <w:tblCellMar>
          <w:left w:w="70" w:type="dxa"/>
          <w:right w:w="70" w:type="dxa"/>
        </w:tblCellMar>
        <w:tblLook w:val="04A0" w:firstRow="1" w:lastRow="0" w:firstColumn="1" w:lastColumn="0" w:noHBand="0" w:noVBand="1"/>
      </w:tblPr>
      <w:tblGrid>
        <w:gridCol w:w="2031"/>
        <w:gridCol w:w="3142"/>
        <w:gridCol w:w="1560"/>
        <w:gridCol w:w="1701"/>
        <w:gridCol w:w="1417"/>
      </w:tblGrid>
      <w:tr w:rsidR="00A26CD3" w:rsidRPr="00A26CD3" w:rsidTr="00A26CD3">
        <w:trPr>
          <w:trHeight w:val="290"/>
          <w:tblHeader/>
        </w:trPr>
        <w:tc>
          <w:tcPr>
            <w:tcW w:w="2031"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Clave</w:t>
            </w:r>
          </w:p>
        </w:tc>
        <w:tc>
          <w:tcPr>
            <w:tcW w:w="3142" w:type="dxa"/>
            <w:tcBorders>
              <w:top w:val="single" w:sz="4" w:space="0" w:color="000000"/>
              <w:left w:val="nil"/>
              <w:bottom w:val="single" w:sz="4" w:space="0" w:color="000000"/>
              <w:right w:val="single" w:sz="4" w:space="0" w:color="000000"/>
            </w:tcBorders>
            <w:shd w:val="clear" w:color="C2C2C2" w:fill="C2C2C2"/>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Organismo Descentralizado</w:t>
            </w:r>
          </w:p>
        </w:tc>
        <w:tc>
          <w:tcPr>
            <w:tcW w:w="1560" w:type="dxa"/>
            <w:tcBorders>
              <w:top w:val="single" w:sz="4" w:space="0" w:color="000000"/>
              <w:left w:val="nil"/>
              <w:bottom w:val="single" w:sz="4" w:space="0" w:color="000000"/>
              <w:right w:val="single" w:sz="4" w:space="0" w:color="000000"/>
            </w:tcBorders>
            <w:shd w:val="clear" w:color="C2C2C2" w:fill="C2C2C2"/>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Total (pesos)</w:t>
            </w:r>
          </w:p>
        </w:tc>
        <w:tc>
          <w:tcPr>
            <w:tcW w:w="1701" w:type="dxa"/>
            <w:tcBorders>
              <w:top w:val="single" w:sz="4" w:space="0" w:color="000000"/>
              <w:left w:val="nil"/>
              <w:bottom w:val="single" w:sz="4" w:space="0" w:color="000000"/>
              <w:right w:val="single" w:sz="4" w:space="0" w:color="000000"/>
            </w:tcBorders>
            <w:shd w:val="clear" w:color="C2C2C2" w:fill="C2C2C2"/>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Recursos No Etiquetados (pesos)</w:t>
            </w:r>
          </w:p>
        </w:tc>
        <w:tc>
          <w:tcPr>
            <w:tcW w:w="1417" w:type="dxa"/>
            <w:tcBorders>
              <w:top w:val="single" w:sz="4" w:space="0" w:color="000000"/>
              <w:left w:val="nil"/>
              <w:bottom w:val="single" w:sz="4" w:space="0" w:color="000000"/>
              <w:right w:val="single" w:sz="4" w:space="0" w:color="000000"/>
            </w:tcBorders>
            <w:shd w:val="clear" w:color="C2C2C2" w:fill="C2C2C2"/>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Recursos Etiquetados (pesos)</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200C01000000000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Sistema para el Desarrollo Integral de la Familia del Estado de México</w:t>
            </w:r>
            <w:r w:rsidRPr="00A26CD3">
              <w:rPr>
                <w:rFonts w:ascii="Times New Roman" w:eastAsia="Times New Roman" w:hAnsi="Times New Roman" w:cs="Times New Roman"/>
                <w:color w:val="000000"/>
                <w:sz w:val="17"/>
                <w:szCs w:val="17"/>
                <w:vertAlign w:val="superscript"/>
                <w:lang w:eastAsia="es-MX"/>
              </w:rPr>
              <w:t xml:space="preserve"> 1/</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4,092,044,134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2,006,672,863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2,085,371,271</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205C02000000000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Mexiquense de la Pirotecnia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28,556,360</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28,556,360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205C03000000000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Sistema Mexiquense de Medios Públicos</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289,414,153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289,414,153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206C01000000000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Mexiquense de Seguridad</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389,456,337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389,456,337</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206C02000000000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Centro de Control de Confianza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274,271,866</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274,271,866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206C03000000000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Unidad de Asuntos Internos</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77,977,636</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77,977,636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207C01000000000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Información e Investigación Geográfica, Estadística y Catastral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138,965,354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138,965,354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207C02000000000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Comité de Planeación para el Desarrollo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56,002,869</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56,002,869</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207C03000000000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Hacendario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62,671,644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62,671,644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207C08000000000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Políticas Públicas del Estado de México y sus Municipios</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35,498,982</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35,498,982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536"/>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207E01000000000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Fideicomiso Público irrevocable de Administración, Financiamiento, Inversión y Pago para la Construcción de Centros Preventivos y de Readaptación Social en el Estado de México Denominado "Fideicomiso C3"</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149,854,078</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149,854,078</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208C01000000000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Salud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20,976,735,248</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8,057,180,033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12,919,555,215</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lastRenderedPageBreak/>
              <w:t>208C02000000000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Comisión de Conciliación y Arbitraje Médico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39,190,731</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39,190,731</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208C03000000000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Materno Infantil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1,551,756,392</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1,551,756,392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208C04000000000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Hospital Regional de Alta Especialidad Zumpango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1,421,547,532</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1,421,547,532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208C05000000000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Banco de Tejidos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26,950,629</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26,950,629</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208C08000000000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Mexiquense para la Discapacidad</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13,724,624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13,724,624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209C01000000000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Capacitación y Adiestramiento para el Trabajo Industrial</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547,432,061</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261,724,943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285,707,118</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209C02000000000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Centro de Conciliación Laboral</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99,682,863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99,682,863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215C01000000000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Fomento Minero y Estudios Geológicos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12,555,365</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12,555,365</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215C02000000000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Mexiquense del Emprendedor</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168,843,416</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168,843,416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215E01000000000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Fideicomiso para el Desarrollo de Parques y Zonas Industriales en 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61,486,044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61,486,044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220C01000000000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Junta de Caminos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6,544,857,414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6,175,811,014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369,046,400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220C02000000000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Sistema de Autopistas, Aeropuertos, Servicios Conexos y Auxiliares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182,710,955</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182,710,955</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220C03000000000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Sistema de Transporte Masivo y Teleférico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8,243,648,513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8,243,648,513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225C01000000000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Investigación y Capacitación Agropecuaria, Acuícola y Forestal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93,013,653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93,013,653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225C02000000000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Protectora de Bosques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712,519,247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699,031,144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13,488,103</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226C01000000000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Investigación y Fomento de las Artesanías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56,720,107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56,720,107</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Servicios Educativos Integrados al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46,447,364,150</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2,134,993,716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44,312,370,434</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Ecatepec</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305,705,714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193,847,118</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111,858,596</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Tecnológica de Nezahualcóyotl</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268,456,754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176,359,044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92,097,710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228C04000000000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Colegio de Estudios Científicos y Tecnológicos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1,464,152,009</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822,714,336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641,437,673</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228C05000000000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Tecnológica "Fidel Velázquez"</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264,246,492</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175,240,656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89,005,836</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228C06000000000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Tecnológica de Tecámac</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220,705,753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132,806,312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87,899,441</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228C07000000000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Colegio de Bachilleres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1,157,650,700</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668,198,250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489,452,450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228C08000000000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Coacalco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168,042,435</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105,491,350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62,551,085</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228C09000000000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Tecnológica del Sur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85,317,104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59,516,813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25,800,291</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228C10000000000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Cuautitlán Izcalli</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184,056,855</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123,318,913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60,737,942</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del Oriente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119,616,664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76,965,599</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42,651,065</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Huixquilucan</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92,759,471</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60,173,580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32,585,891</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Jilotepec</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75,893,193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46,917,660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28,975,533</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228C14000000000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Tianguistenco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90,622,882</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56,027,788</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34,595,094</w:t>
            </w:r>
          </w:p>
        </w:tc>
      </w:tr>
      <w:tr w:rsidR="00A26CD3" w:rsidRPr="00A26CD3" w:rsidTr="00A26CD3">
        <w:trPr>
          <w:trHeight w:val="61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228C15000000000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Mexiquense de la Infraestructura Física Educativa</w:t>
            </w:r>
          </w:p>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2,659,262,055</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196,429,321</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2,462,832,734</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228C16000000000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Chalco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81,301,209</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47,725,632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33,575,577</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228C17000000000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Jocotitlán</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125,969,445</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79,100,834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46,868,611</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lastRenderedPageBreak/>
              <w:t>228C18000000000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Colegio de Educación Profesional Técnica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1,714,880,146</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525,054,632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1,189,825,514</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228C19000000000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Valle de Bravo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92,314,517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57,933,098</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34,381,419</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228C20000000000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Ixtapaluca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92,055,062</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56,787,762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35,267,300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Villa Guerrero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87,952,971</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54,799,662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33,153,309</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San Felipe del Progreso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78,239,063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49,483,186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28,755,877</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Chimalhuacán</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135,825,896</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85,916,054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49,909,842</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228C24000000000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Estatal del Valle de Ecatepec</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169,779,514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111,683,137</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58,096,377</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228C25000000000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Tecnológica del Valle de Toluca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176,847,383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113,293,712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63,553,671</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228C26000000000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Intercultural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146,699,278</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87,510,501</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59,188,777</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228C27000000000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del Valle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148,030,689</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100,436,789</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47,593,900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228C28000000000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del Valle de Toluca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111,151,313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81,210,717</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29,940,596</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228C29000000000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 Tecámac</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61,995,484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44,764,075</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17,231,409</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228C30000000000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Mexiquense del Bicentenario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531,895,328</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407,965,743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123,929,585</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Estatal del Valle de Toluca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93,229,884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61,823,441</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31,406,443</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 Texcoco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50,741,626</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39,367,380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11,374,246</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Digital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159,397,140</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159,397,140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228C34000000000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Centro Regional de Formación Docente e Investigación Educativa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32,902,158</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32,902,158</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228C35000000000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 Cuautitlán Izcalli</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30,936,509</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20,317,162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10,619,347</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228C36000000000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Tecnológica de Zinacantepec</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23,575,569</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15,137,313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8,438,256</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228C37000000000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Tecnológico de Estudios Superiores de Chicoloapan</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26,619,964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16,357,201</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10,262,763</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228C38000000000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 Atlautla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29,834,857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22,328,291</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7,506,566</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228C39000000000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Formación Continua, Profesionalización e Investigación del Magisterio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11,484,333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11,484,333</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228C40000000000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 Otzolotepec</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33,744,047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27,605,120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6,138,927</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228C41000000000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 Chimalhuacán</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26,662,803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19,816,072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6,846,731</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228C42000000000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Universidad Politécnica de Atlacomulco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34,726,833</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25,770,204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8,956,629</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228C43000000000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Consejo Mexiquense de Ciencia y Tecnología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200,944,217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200,944,217</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228C44000000000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del Deporte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202,671,486</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202,671,486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229C01000000000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Consejo Estatal para el Desarrollo Integral de los Pueblos Indígenas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146,034,892</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146,034,892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229C02000000000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Mexiquense de la Juventud</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80,552,050</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80,552,050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229C03000000000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Junta de Asistencia Privada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45,087,881</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45,087,881</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229C04000000000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Consejo de Investigación y Evaluación de la Política Social</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27,915,557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27,915,557</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230C01000000000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 xml:space="preserve">Instituto Mexiquense de la Vivienda Social </w:t>
            </w:r>
            <w:r w:rsidRPr="00A26CD3">
              <w:rPr>
                <w:rFonts w:ascii="Times New Roman" w:eastAsia="Times New Roman" w:hAnsi="Times New Roman" w:cs="Times New Roman"/>
                <w:color w:val="000000"/>
                <w:sz w:val="17"/>
                <w:szCs w:val="17"/>
                <w:vertAlign w:val="superscript"/>
                <w:lang w:eastAsia="es-MX"/>
              </w:rPr>
              <w:t>2/</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583,942,209</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583,942,209</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231C01000000000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Comisión Estatal de Parques Naturales y de la Fauna</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421,011,244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421,011,244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231C02000000000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Procuraduría de Protección al Ambiente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59,236,218</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59,236,218</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231C04000000000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Estatal de Energía y Cambio Climático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88,686,700</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88,686,700</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lastRenderedPageBreak/>
              <w:t>232C01000000000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Comisión del Agua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3,031,030,534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2,715,126,818</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315,903,716</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232C02000000000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Comisión Técnica del Agua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9,475,334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9,475,334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232D01000000000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val="pt-PT" w:eastAsia="es-MX"/>
              </w:rPr>
            </w:pPr>
            <w:r w:rsidRPr="00A26CD3">
              <w:rPr>
                <w:rFonts w:ascii="Times New Roman" w:eastAsia="Times New Roman" w:hAnsi="Times New Roman" w:cs="Times New Roman"/>
                <w:color w:val="000000"/>
                <w:sz w:val="17"/>
                <w:szCs w:val="17"/>
                <w:lang w:val="pt-PT" w:eastAsia="es-MX"/>
              </w:rPr>
              <w:t>Reciclagua Ambiental, S.A. de C.V.</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254,421,956</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254,421,956</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233C01000000000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la Función Registral del Estado de México</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4,183,314,914</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4,183,314,914</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234C01000000000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Instituto de Seguridad Social del Estado de México y Municipios</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46,863,078,207</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38,262,840,202</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8,600,238,005</w:t>
            </w:r>
          </w:p>
        </w:tc>
      </w:tr>
      <w:tr w:rsidR="00A26CD3" w:rsidRPr="00A26CD3" w:rsidTr="00A26CD3">
        <w:trPr>
          <w:trHeight w:val="290"/>
        </w:trPr>
        <w:tc>
          <w:tcPr>
            <w:tcW w:w="2031" w:type="dxa"/>
            <w:tcBorders>
              <w:top w:val="nil"/>
              <w:left w:val="single" w:sz="4" w:space="0" w:color="000000"/>
              <w:bottom w:val="single" w:sz="4" w:space="0" w:color="000000"/>
              <w:right w:val="single" w:sz="4" w:space="0" w:color="000000"/>
            </w:tcBorders>
            <w:noWrap/>
            <w:vAlign w:val="center"/>
            <w:hideMark/>
          </w:tcPr>
          <w:p w:rsidR="00A26CD3" w:rsidRPr="00A26CD3" w:rsidRDefault="00A26CD3" w:rsidP="00A26CD3">
            <w:pPr>
              <w:spacing w:after="0" w:line="240" w:lineRule="auto"/>
              <w:jc w:val="center"/>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411000000000000</w:t>
            </w:r>
          </w:p>
        </w:tc>
        <w:tc>
          <w:tcPr>
            <w:tcW w:w="3142" w:type="dxa"/>
            <w:tcBorders>
              <w:top w:val="nil"/>
              <w:left w:val="nil"/>
              <w:bottom w:val="single" w:sz="4" w:space="0" w:color="000000"/>
              <w:right w:val="single" w:sz="4" w:space="0" w:color="000000"/>
            </w:tcBorders>
            <w:vAlign w:val="center"/>
            <w:hideMark/>
          </w:tcPr>
          <w:p w:rsidR="00A26CD3" w:rsidRPr="00A26CD3" w:rsidRDefault="00A26CD3" w:rsidP="00A26CD3">
            <w:pPr>
              <w:spacing w:after="0" w:line="240" w:lineRule="auto"/>
              <w:jc w:val="both"/>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Secretaría Ejecutiva del Sistema Estatal Anticorrupción</w:t>
            </w:r>
          </w:p>
        </w:tc>
        <w:tc>
          <w:tcPr>
            <w:tcW w:w="1560"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79,590,941</w:t>
            </w:r>
          </w:p>
        </w:tc>
        <w:tc>
          <w:tcPr>
            <w:tcW w:w="1701"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79,590,941</w:t>
            </w:r>
          </w:p>
        </w:tc>
        <w:tc>
          <w:tcPr>
            <w:tcW w:w="1417" w:type="dxa"/>
            <w:tcBorders>
              <w:top w:val="nil"/>
              <w:left w:val="nil"/>
              <w:bottom w:val="single" w:sz="4" w:space="0" w:color="000000"/>
              <w:right w:val="single" w:sz="4" w:space="0" w:color="000000"/>
            </w:tcBorders>
            <w:noWrap/>
            <w:vAlign w:val="center"/>
            <w:hideMark/>
          </w:tcPr>
          <w:p w:rsidR="00A26CD3" w:rsidRPr="00A26CD3" w:rsidRDefault="00A26CD3" w:rsidP="00A26CD3">
            <w:pPr>
              <w:spacing w:after="0" w:line="240" w:lineRule="auto"/>
              <w:jc w:val="right"/>
              <w:rPr>
                <w:rFonts w:ascii="Times New Roman" w:eastAsia="Times New Roman" w:hAnsi="Times New Roman" w:cs="Times New Roman"/>
                <w:color w:val="000000"/>
                <w:sz w:val="17"/>
                <w:szCs w:val="17"/>
                <w:lang w:eastAsia="es-MX"/>
              </w:rPr>
            </w:pPr>
            <w:r w:rsidRPr="00A26CD3">
              <w:rPr>
                <w:rFonts w:ascii="Times New Roman" w:eastAsia="Times New Roman" w:hAnsi="Times New Roman" w:cs="Times New Roman"/>
                <w:color w:val="000000"/>
                <w:sz w:val="17"/>
                <w:szCs w:val="17"/>
                <w:lang w:eastAsia="es-MX"/>
              </w:rPr>
              <w:t>0</w:t>
            </w:r>
          </w:p>
        </w:tc>
      </w:tr>
      <w:tr w:rsidR="00A26CD3" w:rsidRPr="00A26CD3" w:rsidTr="00A26CD3">
        <w:trPr>
          <w:trHeight w:val="290"/>
        </w:trPr>
        <w:tc>
          <w:tcPr>
            <w:tcW w:w="5173" w:type="dxa"/>
            <w:gridSpan w:val="2"/>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Total</w:t>
            </w:r>
          </w:p>
        </w:tc>
        <w:tc>
          <w:tcPr>
            <w:tcW w:w="1560" w:type="dxa"/>
            <w:tcBorders>
              <w:top w:val="nil"/>
              <w:left w:val="nil"/>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jc w:val="right"/>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160,537,727,799</w:t>
            </w:r>
          </w:p>
        </w:tc>
        <w:tc>
          <w:tcPr>
            <w:tcW w:w="1701" w:type="dxa"/>
            <w:tcBorders>
              <w:top w:val="nil"/>
              <w:left w:val="nil"/>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jc w:val="right"/>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85,420,744,524</w:t>
            </w:r>
          </w:p>
        </w:tc>
        <w:tc>
          <w:tcPr>
            <w:tcW w:w="1417" w:type="dxa"/>
            <w:tcBorders>
              <w:top w:val="nil"/>
              <w:left w:val="nil"/>
              <w:bottom w:val="single" w:sz="4" w:space="0" w:color="000000"/>
              <w:right w:val="single" w:sz="4" w:space="0" w:color="000000"/>
            </w:tcBorders>
            <w:shd w:val="clear" w:color="C2C2C2" w:fill="C2C2C2"/>
            <w:noWrap/>
            <w:vAlign w:val="center"/>
            <w:hideMark/>
          </w:tcPr>
          <w:p w:rsidR="00A26CD3" w:rsidRPr="00A26CD3" w:rsidRDefault="00A26CD3" w:rsidP="00A26CD3">
            <w:pPr>
              <w:spacing w:after="0" w:line="240" w:lineRule="auto"/>
              <w:jc w:val="right"/>
              <w:rPr>
                <w:rFonts w:ascii="Times New Roman" w:eastAsia="Times New Roman" w:hAnsi="Times New Roman" w:cs="Times New Roman"/>
                <w:b/>
                <w:bCs/>
                <w:color w:val="000000"/>
                <w:sz w:val="17"/>
                <w:szCs w:val="17"/>
                <w:lang w:eastAsia="es-MX"/>
              </w:rPr>
            </w:pPr>
            <w:r w:rsidRPr="00A26CD3">
              <w:rPr>
                <w:rFonts w:ascii="Times New Roman" w:eastAsia="Times New Roman" w:hAnsi="Times New Roman" w:cs="Times New Roman"/>
                <w:b/>
                <w:bCs/>
                <w:color w:val="000000"/>
                <w:sz w:val="17"/>
                <w:szCs w:val="17"/>
                <w:lang w:eastAsia="es-MX"/>
              </w:rPr>
              <w:t>75,116,983,275</w:t>
            </w:r>
          </w:p>
        </w:tc>
      </w:tr>
    </w:tbl>
    <w:p w:rsidR="00A26CD3" w:rsidRPr="00A26CD3" w:rsidRDefault="00A26CD3" w:rsidP="00A26CD3">
      <w:pPr>
        <w:spacing w:after="0" w:line="240" w:lineRule="auto"/>
        <w:jc w:val="both"/>
        <w:rPr>
          <w:rFonts w:ascii="Times New Roman" w:eastAsia="Calibri" w:hAnsi="Times New Roman" w:cs="Times New Roman"/>
          <w:sz w:val="18"/>
          <w:szCs w:val="18"/>
        </w:rPr>
      </w:pPr>
    </w:p>
    <w:p w:rsidR="00A26CD3" w:rsidRPr="00A26CD3" w:rsidRDefault="00A26CD3" w:rsidP="00A26CD3">
      <w:pPr>
        <w:spacing w:after="0" w:line="240" w:lineRule="auto"/>
        <w:ind w:right="-235"/>
        <w:jc w:val="both"/>
        <w:rPr>
          <w:rFonts w:ascii="Times New Roman" w:eastAsia="Bookman Old Style" w:hAnsi="Times New Roman" w:cs="Times New Roman"/>
          <w:sz w:val="14"/>
          <w:szCs w:val="14"/>
        </w:rPr>
      </w:pPr>
      <w:r w:rsidRPr="00A26CD3">
        <w:rPr>
          <w:rFonts w:ascii="Times New Roman" w:eastAsia="Bookman Old Style" w:hAnsi="Times New Roman" w:cs="Times New Roman"/>
          <w:sz w:val="14"/>
          <w:szCs w:val="14"/>
        </w:rPr>
        <w:t>1/ Incluye una previsión de $10,000,000 destinados al Programa “Niñas, niños y adolescentes huérfanos por COVID – 19”, con la finalidad de otorgar un apoyo económico mensual de hasta $2,000 a través de su Tutor, mediante los mecanismos jurídicos que defina el Sistema para el Desarrollo Integral de la Familia del Estado de México.</w:t>
      </w:r>
    </w:p>
    <w:p w:rsidR="00A26CD3" w:rsidRPr="00A26CD3" w:rsidRDefault="00A26CD3" w:rsidP="00A26CD3">
      <w:pPr>
        <w:spacing w:after="0" w:line="240" w:lineRule="auto"/>
        <w:ind w:right="-235"/>
        <w:jc w:val="both"/>
        <w:rPr>
          <w:rFonts w:ascii="Times New Roman" w:eastAsia="Bookman Old Style" w:hAnsi="Times New Roman" w:cs="Times New Roman"/>
          <w:sz w:val="14"/>
          <w:szCs w:val="14"/>
        </w:rPr>
      </w:pPr>
      <w:r w:rsidRPr="00A26CD3">
        <w:rPr>
          <w:rFonts w:ascii="Times New Roman" w:eastAsia="Bookman Old Style" w:hAnsi="Times New Roman" w:cs="Times New Roman"/>
          <w:sz w:val="14"/>
          <w:szCs w:val="14"/>
        </w:rPr>
        <w:t xml:space="preserve">2/ Incluye una previsión de $65,000,000 destinados a otorgar un apoyo económico para el pago de los derechos a los que hace alusión el artículo 95 del Código Financiero del Estado de México y Municipios y dar continuidad a los apoyos económicos otorgados a las y los mexiquenses que realicen cualquier acto de transmisión, adquisición, declaración o reconocimiento de la propiedad o posesión, a plazos o en cualquier modalidad, por el Instituto Mexiquense de la Vivienda Social, dentro de sus programas de regularización de tenencia de la tierra, incluyendo la inscripción de las sentencias ejecutoriadas que declaren procedentes las acciones de usucapión o de cualquier otra naturaleza, así como los no contenciosos, en términos de las reglas de operación que para tal fin se emitan.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ind w:right="-235"/>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15</w:t>
      </w:r>
      <w:r w:rsidRPr="008C1A33">
        <w:rPr>
          <w:rFonts w:ascii="Times New Roman" w:eastAsia="Calibri" w:hAnsi="Times New Roman" w:cs="Times New Roman"/>
          <w:sz w:val="24"/>
          <w:szCs w:val="24"/>
        </w:rPr>
        <w:t>. La liberación de recursos por parte del Estado, por concepto de las aportaciones del Ramo General 33, “Aportaciones Federales para Entidades Federativas y Municipios”, que sean ejecutados por las Entidades Públicas, se realizará por conducto de la Secretaría; conforme a la ministración que efectúe la Federación y de acuerdo con el calendario autorizado.</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Dicha administración, se sujetará estrictamente a las disposiciones normativas aplicables establecidas para la presentación y envío de</w:t>
      </w:r>
      <w:r w:rsidRPr="008C1A33" w:rsidDel="000F6284">
        <w:rPr>
          <w:rFonts w:ascii="Times New Roman" w:eastAsia="Calibri" w:hAnsi="Times New Roman" w:cs="Times New Roman"/>
          <w:sz w:val="24"/>
          <w:szCs w:val="24"/>
        </w:rPr>
        <w:t xml:space="preserve"> </w:t>
      </w:r>
      <w:r w:rsidRPr="008C1A33">
        <w:rPr>
          <w:rFonts w:ascii="Times New Roman" w:eastAsia="Calibri" w:hAnsi="Times New Roman" w:cs="Times New Roman"/>
          <w:sz w:val="24"/>
          <w:szCs w:val="24"/>
        </w:rPr>
        <w:t>informes sobre el ejercicio, destino y resultados obtenidos de los recursos federales que les sean transferidos, incluyendo a aquellos derivados de aportaciones federales y convenios de coordinación en materia de descentralización.</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16</w:t>
      </w:r>
      <w:r w:rsidRPr="008C1A33">
        <w:rPr>
          <w:rFonts w:ascii="Times New Roman" w:eastAsia="Calibri" w:hAnsi="Times New Roman" w:cs="Times New Roman"/>
          <w:sz w:val="24"/>
          <w:szCs w:val="24"/>
        </w:rPr>
        <w:t>. Las transferencias para las Entidades Públicas de Educación Media Superior y Superior previstas en el artículo 34, estarán sujetas al monto de la ministración de recursos federales que les sean transferidos. En caso de que presenten variaciones o ajustes durante el Ejercicio Fiscal, conforme a los convenios suscritos con la federación, la parte proporcional de las aportaciones que deba realizar el GEM será cubierta con recursos estatales</w:t>
      </w:r>
      <w:r w:rsidRPr="008C1A33" w:rsidDel="009C0CF3">
        <w:rPr>
          <w:rFonts w:ascii="Times New Roman" w:eastAsia="Calibri" w:hAnsi="Times New Roman" w:cs="Times New Roman"/>
          <w:sz w:val="24"/>
          <w:szCs w:val="24"/>
        </w:rPr>
        <w:t xml:space="preserve"> </w:t>
      </w:r>
      <w:r w:rsidRPr="008C1A33">
        <w:rPr>
          <w:rFonts w:ascii="Times New Roman" w:eastAsia="Calibri" w:hAnsi="Times New Roman" w:cs="Times New Roman"/>
          <w:sz w:val="24"/>
          <w:szCs w:val="24"/>
        </w:rPr>
        <w:t>siempre y cuando, exista la disponibilidad presupuestal y sean justificados ante la Secretaría, debiéndose informar de ello en la Cuenta Pública correspondiente.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Bookman Old Style" w:hAnsi="Times New Roman" w:cs="Times New Roman"/>
          <w:b/>
          <w:sz w:val="24"/>
          <w:szCs w:val="24"/>
        </w:rPr>
        <w:t>Artículo 17</w:t>
      </w:r>
      <w:r w:rsidRPr="008C1A33">
        <w:rPr>
          <w:rFonts w:ascii="Times New Roman" w:eastAsia="Calibri" w:hAnsi="Times New Roman" w:cs="Times New Roman"/>
          <w:sz w:val="24"/>
          <w:szCs w:val="24"/>
        </w:rPr>
        <w:t xml:space="preserve">. Dentro del presupuesto autorizado al Instituto de Seguridad Social del Estado de México y Municipios, se incluye una asignación de </w:t>
      </w:r>
      <w:r w:rsidRPr="008C1A33">
        <w:rPr>
          <w:rFonts w:ascii="Times New Roman" w:eastAsia="Calibri" w:hAnsi="Times New Roman" w:cs="Times New Roman"/>
          <w:b/>
          <w:bCs/>
          <w:sz w:val="24"/>
          <w:szCs w:val="24"/>
        </w:rPr>
        <w:t xml:space="preserve">$26,212,532,876. </w:t>
      </w:r>
      <w:r w:rsidRPr="008C1A33">
        <w:rPr>
          <w:rFonts w:ascii="Times New Roman" w:eastAsia="Calibri" w:hAnsi="Times New Roman" w:cs="Times New Roman"/>
          <w:sz w:val="24"/>
          <w:szCs w:val="24"/>
        </w:rPr>
        <w:t>Dichos recursos se destinarán al pago de pensiones establecidas en la Ley de Seguridad Social para los Servidores Públicos del Estado de México y Municipios. En el “</w:t>
      </w:r>
      <w:r w:rsidRPr="008C1A33">
        <w:rPr>
          <w:rFonts w:ascii="Times New Roman" w:eastAsia="Calibri" w:hAnsi="Times New Roman" w:cs="Times New Roman"/>
          <w:b/>
          <w:bCs/>
          <w:sz w:val="24"/>
          <w:szCs w:val="24"/>
        </w:rPr>
        <w:t xml:space="preserve">Anexo II Informe sobre estudios actuariales - LDF” </w:t>
      </w:r>
      <w:r w:rsidRPr="008C1A33">
        <w:rPr>
          <w:rFonts w:ascii="Times New Roman" w:eastAsia="Bookman Old Style" w:hAnsi="Times New Roman" w:cs="Times New Roman"/>
          <w:bCs/>
          <w:sz w:val="24"/>
          <w:szCs w:val="24"/>
        </w:rPr>
        <w:t>del presente Decreto,</w:t>
      </w:r>
      <w:r w:rsidRPr="008C1A33">
        <w:rPr>
          <w:rFonts w:ascii="Times New Roman" w:eastAsia="Calibri" w:hAnsi="Times New Roman" w:cs="Times New Roman"/>
          <w:sz w:val="24"/>
          <w:szCs w:val="24"/>
        </w:rPr>
        <w:t xml:space="preserve"> se presenta el estudio actuarial del Instituto previsto por la Ley de Disciplina Financiera, el cual contempla la población afiliada, la edad promedio, el monto de reservas de pensiones, así como el periodo de suficiencia.</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18.</w:t>
      </w:r>
      <w:r w:rsidRPr="008C1A33">
        <w:rPr>
          <w:rFonts w:ascii="Times New Roman" w:eastAsia="Calibri" w:hAnsi="Times New Roman" w:cs="Times New Roman"/>
          <w:sz w:val="24"/>
          <w:szCs w:val="24"/>
        </w:rPr>
        <w:t xml:space="preserve"> Respecto al Instituto de Salud del Estado de México, los recursos asignados en el presente presupuesto contemplan las aportaciones que deberá realizar el GEM, para financiar de manera solidaria con la Federación, la prestación gratuita y oportuna de servicios públicos de salud. Las asignaciones correspondientes se destinarán a medicamentos y demás insumos para las personas sin seguridad social en términos de la Ley General de Salud y sus disposiciones reglamentarias y sobre la base que se establezca en el respectivo Acuerdo de Coordinación.</w:t>
      </w: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color w:val="000000"/>
          <w:sz w:val="24"/>
          <w:szCs w:val="24"/>
        </w:rPr>
      </w:pPr>
    </w:p>
    <w:p w:rsidR="00A26CD3" w:rsidRPr="008C1A33" w:rsidRDefault="00A26CD3" w:rsidP="00A26CD3">
      <w:pPr>
        <w:spacing w:after="0" w:line="240" w:lineRule="auto"/>
        <w:jc w:val="center"/>
        <w:rPr>
          <w:rFonts w:ascii="Times New Roman" w:eastAsia="Calibri" w:hAnsi="Times New Roman" w:cs="Times New Roman"/>
          <w:b/>
          <w:bCs/>
          <w:sz w:val="24"/>
          <w:szCs w:val="24"/>
        </w:rPr>
      </w:pPr>
      <w:r w:rsidRPr="008C1A33">
        <w:rPr>
          <w:rFonts w:ascii="Times New Roman" w:eastAsia="Calibri" w:hAnsi="Times New Roman" w:cs="Times New Roman"/>
          <w:b/>
          <w:bCs/>
          <w:sz w:val="24"/>
          <w:szCs w:val="24"/>
        </w:rPr>
        <w:t xml:space="preserve">CAPÍTULO IV </w:t>
      </w:r>
    </w:p>
    <w:p w:rsidR="00A26CD3" w:rsidRPr="008C1A33" w:rsidRDefault="00A26CD3" w:rsidP="00A26CD3">
      <w:pPr>
        <w:spacing w:after="0" w:line="240" w:lineRule="auto"/>
        <w:jc w:val="center"/>
        <w:rPr>
          <w:rFonts w:ascii="Times New Roman" w:eastAsia="Calibri" w:hAnsi="Times New Roman" w:cs="Times New Roman"/>
          <w:b/>
          <w:bCs/>
          <w:sz w:val="24"/>
          <w:szCs w:val="24"/>
        </w:rPr>
      </w:pPr>
      <w:r w:rsidRPr="008C1A33">
        <w:rPr>
          <w:rFonts w:ascii="Times New Roman" w:eastAsia="Calibri" w:hAnsi="Times New Roman" w:cs="Times New Roman"/>
          <w:b/>
          <w:bCs/>
          <w:sz w:val="24"/>
          <w:szCs w:val="24"/>
        </w:rPr>
        <w:t>Asignación a Entes Públicos</w:t>
      </w:r>
    </w:p>
    <w:p w:rsidR="00A26CD3" w:rsidRPr="008C1A33" w:rsidRDefault="00A26CD3" w:rsidP="00A26CD3">
      <w:pPr>
        <w:spacing w:after="0" w:line="240" w:lineRule="auto"/>
        <w:jc w:val="center"/>
        <w:rPr>
          <w:rFonts w:ascii="Times New Roman" w:eastAsia="Calibri" w:hAnsi="Times New Roman" w:cs="Times New Roman"/>
          <w:b/>
          <w:bCs/>
          <w:sz w:val="24"/>
          <w:szCs w:val="24"/>
        </w:rPr>
      </w:pPr>
    </w:p>
    <w:p w:rsidR="00A26CD3" w:rsidRPr="008C1A33" w:rsidRDefault="00A26CD3" w:rsidP="00A26CD3">
      <w:pPr>
        <w:spacing w:after="0" w:line="240" w:lineRule="auto"/>
        <w:jc w:val="center"/>
        <w:rPr>
          <w:rFonts w:ascii="Times New Roman" w:eastAsia="Calibri" w:hAnsi="Times New Roman" w:cs="Times New Roman"/>
          <w:b/>
          <w:bCs/>
          <w:sz w:val="24"/>
          <w:szCs w:val="24"/>
        </w:rPr>
      </w:pPr>
      <w:r w:rsidRPr="008C1A33">
        <w:rPr>
          <w:rFonts w:ascii="Times New Roman" w:eastAsia="Calibri" w:hAnsi="Times New Roman" w:cs="Times New Roman"/>
          <w:b/>
          <w:bCs/>
          <w:sz w:val="24"/>
          <w:szCs w:val="24"/>
        </w:rPr>
        <w:t>Sección I</w:t>
      </w:r>
    </w:p>
    <w:p w:rsidR="00A26CD3" w:rsidRPr="008C1A33" w:rsidRDefault="00A26CD3" w:rsidP="00A26CD3">
      <w:pPr>
        <w:spacing w:after="0" w:line="240" w:lineRule="auto"/>
        <w:jc w:val="center"/>
        <w:rPr>
          <w:rFonts w:ascii="Times New Roman" w:eastAsia="Calibri" w:hAnsi="Times New Roman" w:cs="Times New Roman"/>
          <w:b/>
          <w:bCs/>
          <w:sz w:val="24"/>
          <w:szCs w:val="24"/>
        </w:rPr>
      </w:pPr>
      <w:r w:rsidRPr="008C1A33">
        <w:rPr>
          <w:rFonts w:ascii="Times New Roman" w:eastAsia="Calibri" w:hAnsi="Times New Roman" w:cs="Times New Roman"/>
          <w:b/>
          <w:bCs/>
          <w:sz w:val="24"/>
          <w:szCs w:val="24"/>
        </w:rPr>
        <w:t>Poder Legislativo</w:t>
      </w:r>
    </w:p>
    <w:p w:rsidR="00A26CD3" w:rsidRPr="008C1A33" w:rsidRDefault="00A26CD3" w:rsidP="00A26CD3">
      <w:pPr>
        <w:spacing w:after="0" w:line="240" w:lineRule="auto"/>
        <w:jc w:val="both"/>
        <w:rPr>
          <w:rFonts w:ascii="Times New Roman" w:eastAsia="Bookman Old Style" w:hAnsi="Times New Roman" w:cs="Times New Roman"/>
          <w:b/>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sz w:val="24"/>
          <w:szCs w:val="24"/>
        </w:rPr>
        <w:t>Artículo 19.</w:t>
      </w:r>
      <w:r w:rsidRPr="008C1A33">
        <w:rPr>
          <w:rFonts w:ascii="Times New Roman" w:eastAsia="Bookman Old Style" w:hAnsi="Times New Roman" w:cs="Times New Roman"/>
          <w:sz w:val="24"/>
          <w:szCs w:val="24"/>
        </w:rPr>
        <w:t xml:space="preserve"> El presupuesto asignado al Poder Legislativo para el Ejercicio Fiscal 2026, asciende a un monto de </w:t>
      </w:r>
      <w:r w:rsidRPr="008C1A33">
        <w:rPr>
          <w:rFonts w:ascii="Times New Roman" w:eastAsia="Bookman Old Style" w:hAnsi="Times New Roman" w:cs="Times New Roman"/>
          <w:b/>
          <w:bCs/>
          <w:sz w:val="24"/>
          <w:szCs w:val="24"/>
        </w:rPr>
        <w:t>$2,346,597,978.</w:t>
      </w:r>
      <w:r w:rsidRPr="008C1A33">
        <w:rPr>
          <w:rFonts w:ascii="Times New Roman" w:eastAsia="Bookman Old Style" w:hAnsi="Times New Roman" w:cs="Times New Roman"/>
          <w:sz w:val="24"/>
          <w:szCs w:val="24"/>
        </w:rPr>
        <w:t xml:space="preserve"> Los recursos asignados estarán destinados a cubrir las erogaciones correspondientes a medidas salariales y económicas, debiendo comunicar al Ejecutivo del Estado el calendario de recursos asignados a sus gastos de operación, por conducto de la Secretaría, a más tardar dentro de los 15 días hábiles posteriores a la entrada en vigor del presente Decreto. Su distribución será determinada por el propio Ente Público, conforme lo siguiente: </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ind w:left="851"/>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 xml:space="preserve">Tabla 12. Distribución del presupuesto del Poder Legislativo </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tbl>
      <w:tblPr>
        <w:tblStyle w:val="Tablaconcuadrcula14"/>
        <w:tblW w:w="8359" w:type="dxa"/>
        <w:jc w:val="center"/>
        <w:tblLook w:val="04A0" w:firstRow="1" w:lastRow="0" w:firstColumn="1" w:lastColumn="0" w:noHBand="0" w:noVBand="1"/>
      </w:tblPr>
      <w:tblGrid>
        <w:gridCol w:w="5575"/>
        <w:gridCol w:w="2784"/>
      </w:tblGrid>
      <w:tr w:rsidR="00A26CD3" w:rsidRPr="008C1A33" w:rsidTr="00A26CD3">
        <w:trPr>
          <w:trHeight w:val="237"/>
          <w:jc w:val="center"/>
        </w:trPr>
        <w:tc>
          <w:tcPr>
            <w:tcW w:w="5575" w:type="dxa"/>
            <w:shd w:val="clear" w:color="auto" w:fill="D9D9D9" w:themeFill="background1" w:themeFillShade="D9"/>
            <w:vAlign w:val="center"/>
          </w:tcPr>
          <w:p w:rsidR="00A26CD3" w:rsidRPr="008C1A33" w:rsidRDefault="00A26CD3" w:rsidP="00A26CD3">
            <w:pPr>
              <w:spacing w:line="240" w:lineRule="auto"/>
              <w:jc w:val="center"/>
              <w:rPr>
                <w:rFonts w:ascii="Times New Roman" w:hAnsi="Times New Roman"/>
                <w:sz w:val="24"/>
                <w:szCs w:val="24"/>
              </w:rPr>
            </w:pPr>
            <w:r w:rsidRPr="008C1A33">
              <w:rPr>
                <w:rFonts w:ascii="Times New Roman" w:hAnsi="Times New Roman"/>
                <w:b/>
                <w:bCs/>
                <w:color w:val="000000"/>
                <w:sz w:val="24"/>
                <w:szCs w:val="24"/>
              </w:rPr>
              <w:t>Poder Legislativo</w:t>
            </w:r>
          </w:p>
        </w:tc>
        <w:tc>
          <w:tcPr>
            <w:tcW w:w="2784" w:type="dxa"/>
            <w:shd w:val="clear" w:color="auto" w:fill="D9D9D9" w:themeFill="background1" w:themeFillShade="D9"/>
            <w:vAlign w:val="center"/>
          </w:tcPr>
          <w:p w:rsidR="00A26CD3" w:rsidRPr="008C1A33" w:rsidRDefault="00A26CD3" w:rsidP="00A26CD3">
            <w:pPr>
              <w:spacing w:line="240" w:lineRule="auto"/>
              <w:jc w:val="center"/>
              <w:rPr>
                <w:rFonts w:ascii="Times New Roman" w:hAnsi="Times New Roman"/>
                <w:sz w:val="24"/>
                <w:szCs w:val="24"/>
              </w:rPr>
            </w:pPr>
            <w:r w:rsidRPr="008C1A33">
              <w:rPr>
                <w:rFonts w:ascii="Times New Roman" w:hAnsi="Times New Roman"/>
                <w:b/>
                <w:bCs/>
                <w:color w:val="000000"/>
                <w:sz w:val="24"/>
                <w:szCs w:val="24"/>
              </w:rPr>
              <w:t xml:space="preserve">Monto </w:t>
            </w:r>
            <w:r w:rsidRPr="008C1A33">
              <w:rPr>
                <w:rFonts w:ascii="Times New Roman" w:hAnsi="Times New Roman"/>
                <w:sz w:val="24"/>
                <w:szCs w:val="24"/>
              </w:rPr>
              <w:t>(pesos)</w:t>
            </w:r>
          </w:p>
        </w:tc>
      </w:tr>
      <w:tr w:rsidR="00A26CD3" w:rsidRPr="008C1A33" w:rsidTr="00A26CD3">
        <w:trPr>
          <w:trHeight w:val="237"/>
          <w:jc w:val="center"/>
        </w:trPr>
        <w:tc>
          <w:tcPr>
            <w:tcW w:w="5575" w:type="dxa"/>
            <w:vAlign w:val="center"/>
          </w:tcPr>
          <w:p w:rsidR="00A26CD3" w:rsidRPr="008C1A33" w:rsidRDefault="00A26CD3" w:rsidP="00A26CD3">
            <w:pPr>
              <w:spacing w:line="240" w:lineRule="auto"/>
              <w:rPr>
                <w:rFonts w:ascii="Times New Roman" w:hAnsi="Times New Roman"/>
                <w:sz w:val="24"/>
                <w:szCs w:val="24"/>
              </w:rPr>
            </w:pPr>
            <w:r w:rsidRPr="008C1A33">
              <w:rPr>
                <w:rFonts w:ascii="Times New Roman" w:hAnsi="Times New Roman"/>
                <w:color w:val="000000"/>
                <w:sz w:val="24"/>
                <w:szCs w:val="24"/>
              </w:rPr>
              <w:t>Legislatura del Estado de México</w:t>
            </w:r>
          </w:p>
        </w:tc>
        <w:tc>
          <w:tcPr>
            <w:tcW w:w="2784" w:type="dxa"/>
            <w:vAlign w:val="bottom"/>
          </w:tcPr>
          <w:p w:rsidR="00A26CD3" w:rsidRPr="008C1A33" w:rsidRDefault="00A26CD3" w:rsidP="00A26CD3">
            <w:pPr>
              <w:spacing w:line="240" w:lineRule="auto"/>
              <w:jc w:val="right"/>
              <w:rPr>
                <w:rFonts w:ascii="Times New Roman" w:hAnsi="Times New Roman"/>
                <w:sz w:val="24"/>
                <w:szCs w:val="24"/>
              </w:rPr>
            </w:pPr>
            <w:r w:rsidRPr="008C1A33">
              <w:rPr>
                <w:rFonts w:ascii="Times New Roman" w:eastAsia="Calibri" w:hAnsi="Times New Roman"/>
                <w:color w:val="000000"/>
                <w:sz w:val="24"/>
                <w:szCs w:val="24"/>
              </w:rPr>
              <w:t>1,983,612,092</w:t>
            </w:r>
          </w:p>
        </w:tc>
      </w:tr>
      <w:tr w:rsidR="00A26CD3" w:rsidRPr="008C1A33" w:rsidTr="00A26CD3">
        <w:trPr>
          <w:trHeight w:val="237"/>
          <w:jc w:val="center"/>
        </w:trPr>
        <w:tc>
          <w:tcPr>
            <w:tcW w:w="5575" w:type="dxa"/>
            <w:vAlign w:val="center"/>
          </w:tcPr>
          <w:p w:rsidR="00A26CD3" w:rsidRPr="008C1A33" w:rsidRDefault="00A26CD3" w:rsidP="00A26CD3">
            <w:pPr>
              <w:spacing w:line="240" w:lineRule="auto"/>
              <w:rPr>
                <w:rFonts w:ascii="Times New Roman" w:hAnsi="Times New Roman"/>
                <w:sz w:val="24"/>
                <w:szCs w:val="24"/>
              </w:rPr>
            </w:pPr>
            <w:r w:rsidRPr="008C1A33">
              <w:rPr>
                <w:rFonts w:ascii="Times New Roman" w:hAnsi="Times New Roman"/>
                <w:color w:val="000000"/>
                <w:sz w:val="24"/>
                <w:szCs w:val="24"/>
              </w:rPr>
              <w:t>Órgano Superior de Fiscalización del Estado de México</w:t>
            </w:r>
          </w:p>
        </w:tc>
        <w:tc>
          <w:tcPr>
            <w:tcW w:w="2784" w:type="dxa"/>
            <w:vAlign w:val="bottom"/>
          </w:tcPr>
          <w:p w:rsidR="00A26CD3" w:rsidRPr="008C1A33" w:rsidRDefault="00A26CD3" w:rsidP="00A26CD3">
            <w:pPr>
              <w:spacing w:line="240" w:lineRule="auto"/>
              <w:jc w:val="right"/>
              <w:rPr>
                <w:rFonts w:ascii="Times New Roman" w:hAnsi="Times New Roman"/>
                <w:sz w:val="24"/>
                <w:szCs w:val="24"/>
              </w:rPr>
            </w:pPr>
            <w:r w:rsidRPr="008C1A33">
              <w:rPr>
                <w:rFonts w:ascii="Times New Roman" w:eastAsia="Calibri" w:hAnsi="Times New Roman"/>
                <w:color w:val="000000"/>
                <w:sz w:val="24"/>
                <w:szCs w:val="24"/>
              </w:rPr>
              <w:t>362,985,886</w:t>
            </w:r>
          </w:p>
        </w:tc>
      </w:tr>
      <w:tr w:rsidR="00A26CD3" w:rsidRPr="008C1A33" w:rsidTr="00A26CD3">
        <w:trPr>
          <w:trHeight w:val="237"/>
          <w:jc w:val="center"/>
        </w:trPr>
        <w:tc>
          <w:tcPr>
            <w:tcW w:w="5575" w:type="dxa"/>
            <w:shd w:val="clear" w:color="auto" w:fill="D9D9D9" w:themeFill="background1" w:themeFillShade="D9"/>
            <w:vAlign w:val="center"/>
          </w:tcPr>
          <w:p w:rsidR="00A26CD3" w:rsidRPr="008C1A33" w:rsidRDefault="00A26CD3" w:rsidP="00A26CD3">
            <w:pPr>
              <w:spacing w:line="240" w:lineRule="auto"/>
              <w:rPr>
                <w:rFonts w:ascii="Times New Roman" w:hAnsi="Times New Roman"/>
                <w:sz w:val="24"/>
                <w:szCs w:val="24"/>
              </w:rPr>
            </w:pPr>
            <w:r w:rsidRPr="008C1A33">
              <w:rPr>
                <w:rFonts w:ascii="Times New Roman" w:hAnsi="Times New Roman"/>
                <w:b/>
                <w:bCs/>
                <w:color w:val="000000"/>
                <w:sz w:val="24"/>
                <w:szCs w:val="24"/>
              </w:rPr>
              <w:t>Total</w:t>
            </w:r>
          </w:p>
        </w:tc>
        <w:tc>
          <w:tcPr>
            <w:tcW w:w="2784" w:type="dxa"/>
            <w:shd w:val="clear" w:color="auto" w:fill="D9D9D9" w:themeFill="background1" w:themeFillShade="D9"/>
            <w:vAlign w:val="center"/>
          </w:tcPr>
          <w:p w:rsidR="00A26CD3" w:rsidRPr="008C1A33" w:rsidRDefault="00A26CD3" w:rsidP="00A26CD3">
            <w:pPr>
              <w:spacing w:line="240" w:lineRule="auto"/>
              <w:jc w:val="right"/>
              <w:rPr>
                <w:rFonts w:ascii="Times New Roman" w:hAnsi="Times New Roman"/>
                <w:sz w:val="24"/>
                <w:szCs w:val="24"/>
              </w:rPr>
            </w:pPr>
            <w:r w:rsidRPr="008C1A33">
              <w:rPr>
                <w:rFonts w:ascii="Times New Roman" w:eastAsia="Calibri" w:hAnsi="Times New Roman"/>
                <w:b/>
                <w:bCs/>
                <w:color w:val="000000"/>
                <w:sz w:val="24"/>
                <w:szCs w:val="24"/>
              </w:rPr>
              <w:t>2,346,597,978</w:t>
            </w:r>
          </w:p>
        </w:tc>
      </w:tr>
    </w:tbl>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 xml:space="preserve">El Poder Legislativo deberá remitir la información relativa a los resultados y a la situación financiera correspondiente, para efectos de la integración de la Cuenta Pública, conforme a lo establecido en la legislación aplicable.  </w:t>
      </w:r>
    </w:p>
    <w:p w:rsidR="00A26CD3" w:rsidRPr="008C1A33" w:rsidRDefault="00A26CD3" w:rsidP="00A26CD3">
      <w:pPr>
        <w:spacing w:after="0" w:line="240" w:lineRule="auto"/>
        <w:jc w:val="center"/>
        <w:rPr>
          <w:rFonts w:ascii="Times New Roman" w:eastAsia="Calibri" w:hAnsi="Times New Roman" w:cs="Times New Roman"/>
          <w:b/>
          <w:bCs/>
          <w:sz w:val="24"/>
          <w:szCs w:val="24"/>
        </w:rPr>
      </w:pPr>
    </w:p>
    <w:p w:rsidR="00A26CD3" w:rsidRPr="008C1A33" w:rsidRDefault="00A26CD3" w:rsidP="00A26CD3">
      <w:pPr>
        <w:spacing w:after="0" w:line="240" w:lineRule="auto"/>
        <w:jc w:val="center"/>
        <w:rPr>
          <w:rFonts w:ascii="Times New Roman" w:eastAsia="Calibri" w:hAnsi="Times New Roman" w:cs="Times New Roman"/>
          <w:b/>
          <w:bCs/>
          <w:sz w:val="24"/>
          <w:szCs w:val="24"/>
        </w:rPr>
      </w:pPr>
      <w:r w:rsidRPr="008C1A33">
        <w:rPr>
          <w:rFonts w:ascii="Times New Roman" w:eastAsia="Calibri" w:hAnsi="Times New Roman" w:cs="Times New Roman"/>
          <w:b/>
          <w:bCs/>
          <w:sz w:val="24"/>
          <w:szCs w:val="24"/>
        </w:rPr>
        <w:t>Sección II</w:t>
      </w:r>
    </w:p>
    <w:p w:rsidR="00A26CD3" w:rsidRPr="008C1A33" w:rsidRDefault="00A26CD3" w:rsidP="00A26CD3">
      <w:pPr>
        <w:spacing w:after="0" w:line="240" w:lineRule="auto"/>
        <w:jc w:val="center"/>
        <w:rPr>
          <w:rFonts w:ascii="Times New Roman" w:eastAsia="Calibri" w:hAnsi="Times New Roman" w:cs="Times New Roman"/>
          <w:b/>
          <w:bCs/>
          <w:sz w:val="24"/>
          <w:szCs w:val="24"/>
        </w:rPr>
      </w:pPr>
      <w:r w:rsidRPr="008C1A33">
        <w:rPr>
          <w:rFonts w:ascii="Times New Roman" w:eastAsia="Calibri" w:hAnsi="Times New Roman" w:cs="Times New Roman"/>
          <w:b/>
          <w:bCs/>
          <w:sz w:val="24"/>
          <w:szCs w:val="24"/>
        </w:rPr>
        <w:t>Poder Judicial</w:t>
      </w:r>
    </w:p>
    <w:p w:rsidR="00A26CD3" w:rsidRPr="008C1A33" w:rsidRDefault="00A26CD3" w:rsidP="00A26CD3">
      <w:pPr>
        <w:spacing w:after="0" w:line="240" w:lineRule="auto"/>
        <w:jc w:val="both"/>
        <w:rPr>
          <w:rFonts w:ascii="Times New Roman" w:eastAsia="Bookman Old Style" w:hAnsi="Times New Roman" w:cs="Times New Roman"/>
          <w:b/>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sz w:val="24"/>
          <w:szCs w:val="24"/>
        </w:rPr>
        <w:t xml:space="preserve">Artículo 20. </w:t>
      </w:r>
      <w:r w:rsidRPr="008C1A33">
        <w:rPr>
          <w:rFonts w:ascii="Times New Roman" w:eastAsia="Bookman Old Style" w:hAnsi="Times New Roman" w:cs="Times New Roman"/>
          <w:sz w:val="24"/>
          <w:szCs w:val="24"/>
        </w:rPr>
        <w:t xml:space="preserve">El Presupuesto asignado al Poder Judicial para el Ejercicio Fiscal 2026, asciende a un monto de </w:t>
      </w:r>
      <w:r w:rsidRPr="008C1A33">
        <w:rPr>
          <w:rFonts w:ascii="Times New Roman" w:eastAsia="Bookman Old Style" w:hAnsi="Times New Roman" w:cs="Times New Roman"/>
          <w:b/>
          <w:bCs/>
          <w:sz w:val="24"/>
          <w:szCs w:val="24"/>
        </w:rPr>
        <w:t>$6,331,216,477</w:t>
      </w:r>
      <w:r w:rsidRPr="008C1A33">
        <w:rPr>
          <w:rFonts w:ascii="Times New Roman" w:eastAsia="Bookman Old Style" w:hAnsi="Times New Roman" w:cs="Times New Roman"/>
          <w:sz w:val="24"/>
          <w:szCs w:val="24"/>
        </w:rPr>
        <w:t>en cumplimiento a lo establecido en los artículos 88 de la Constitución Política del Estado Libre y Soberano de México y 299 Bis del Código. Este monto incluye previsiones para sufragar las erogaciones correspondientes a servicios personales, incluyendo medidas salariales y económicas, gasto de operación y recursos destinados a Inversión Pública, conforme a la siguiente distribución:</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ind w:left="851"/>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Tabla 13. Distribución del presupuesto del Poder Judicial</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tbl>
      <w:tblPr>
        <w:tblW w:w="8642" w:type="dxa"/>
        <w:jc w:val="center"/>
        <w:tblCellMar>
          <w:left w:w="70" w:type="dxa"/>
          <w:right w:w="70" w:type="dxa"/>
        </w:tblCellMar>
        <w:tblLook w:val="04A0" w:firstRow="1" w:lastRow="0" w:firstColumn="1" w:lastColumn="0" w:noHBand="0" w:noVBand="1"/>
      </w:tblPr>
      <w:tblGrid>
        <w:gridCol w:w="2410"/>
        <w:gridCol w:w="2268"/>
        <w:gridCol w:w="1843"/>
        <w:gridCol w:w="2121"/>
      </w:tblGrid>
      <w:tr w:rsidR="00A26CD3" w:rsidRPr="008C1A33" w:rsidTr="00A26CD3">
        <w:trPr>
          <w:trHeight w:val="225"/>
          <w:jc w:val="center"/>
        </w:trPr>
        <w:tc>
          <w:tcPr>
            <w:tcW w:w="2410"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t>Servicios Personales</w:t>
            </w:r>
          </w:p>
        </w:tc>
        <w:tc>
          <w:tcPr>
            <w:tcW w:w="2268"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t>Gasto Operativo</w:t>
            </w:r>
          </w:p>
        </w:tc>
        <w:tc>
          <w:tcPr>
            <w:tcW w:w="1843"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t>Inversión Pública</w:t>
            </w:r>
          </w:p>
        </w:tc>
        <w:tc>
          <w:tcPr>
            <w:tcW w:w="2121"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t>Monto Total (pesos)</w:t>
            </w:r>
          </w:p>
        </w:tc>
      </w:tr>
      <w:tr w:rsidR="00A26CD3" w:rsidRPr="008C1A33" w:rsidTr="00A26CD3">
        <w:trPr>
          <w:trHeight w:val="225"/>
          <w:jc w:val="center"/>
        </w:trPr>
        <w:tc>
          <w:tcPr>
            <w:tcW w:w="2410" w:type="dxa"/>
            <w:tcBorders>
              <w:top w:val="nil"/>
              <w:left w:val="single" w:sz="4" w:space="0" w:color="000000"/>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kern w:val="2"/>
                <w:sz w:val="24"/>
                <w:szCs w:val="24"/>
              </w:rPr>
              <w:t>4,859,401,540</w:t>
            </w:r>
          </w:p>
        </w:tc>
        <w:tc>
          <w:tcPr>
            <w:tcW w:w="2268" w:type="dxa"/>
            <w:tcBorders>
              <w:top w:val="nil"/>
              <w:left w:val="nil"/>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kern w:val="2"/>
                <w:sz w:val="24"/>
                <w:szCs w:val="24"/>
              </w:rPr>
              <w:t>1,471,814,937</w:t>
            </w:r>
          </w:p>
        </w:tc>
        <w:tc>
          <w:tcPr>
            <w:tcW w:w="1843" w:type="dxa"/>
            <w:tcBorders>
              <w:top w:val="nil"/>
              <w:left w:val="nil"/>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kern w:val="2"/>
                <w:sz w:val="24"/>
                <w:szCs w:val="24"/>
              </w:rPr>
              <w:t>0</w:t>
            </w:r>
          </w:p>
        </w:tc>
        <w:tc>
          <w:tcPr>
            <w:tcW w:w="2121" w:type="dxa"/>
            <w:tcBorders>
              <w:top w:val="nil"/>
              <w:left w:val="nil"/>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kern w:val="2"/>
                <w:sz w:val="24"/>
                <w:szCs w:val="24"/>
              </w:rPr>
              <w:t>6,331,216,477</w:t>
            </w:r>
          </w:p>
        </w:tc>
      </w:tr>
    </w:tbl>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El Poder Judicial, por conducto del órgano de administración judicial, deberá comunicar al Ejecutivo del Estado, a través de la Secretaría, el calendario de recursos asignados, a más tardar dentro de los 15 días hábiles siguientes a la entrada en vigor del presente Decreto. Igualmente, deberá remitir la información sobre los resultados y la situación financiera, para la integración de la Cuenta Pública, conforme a la legislación aplicable.</w:t>
      </w:r>
    </w:p>
    <w:p w:rsidR="00A26CD3" w:rsidRPr="008C1A33" w:rsidRDefault="00A26CD3" w:rsidP="00A26CD3">
      <w:pPr>
        <w:spacing w:after="0" w:line="240" w:lineRule="auto"/>
        <w:jc w:val="center"/>
        <w:rPr>
          <w:rFonts w:ascii="Times New Roman" w:eastAsia="Calibri" w:hAnsi="Times New Roman" w:cs="Times New Roman"/>
          <w:b/>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III</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lastRenderedPageBreak/>
        <w:t>Órganos Autónomos</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21.</w:t>
      </w:r>
      <w:r w:rsidRPr="008C1A33">
        <w:rPr>
          <w:rFonts w:ascii="Times New Roman" w:eastAsia="Calibri" w:hAnsi="Times New Roman" w:cs="Times New Roman"/>
          <w:sz w:val="24"/>
          <w:szCs w:val="24"/>
        </w:rPr>
        <w:t xml:space="preserve"> Las erogaciones previstas para los Órganos Autónomos en el Ejercicio Fiscal 2026, ascienden a la cantidad de </w:t>
      </w:r>
      <w:r w:rsidRPr="008C1A33">
        <w:rPr>
          <w:rFonts w:ascii="Times New Roman" w:eastAsia="Calibri" w:hAnsi="Times New Roman" w:cs="Times New Roman"/>
          <w:b/>
          <w:bCs/>
          <w:sz w:val="24"/>
          <w:szCs w:val="24"/>
        </w:rPr>
        <w:t xml:space="preserve">$14,595,289,428 </w:t>
      </w:r>
      <w:r w:rsidRPr="008C1A33">
        <w:rPr>
          <w:rFonts w:ascii="Times New Roman" w:eastAsia="Calibri" w:hAnsi="Times New Roman" w:cs="Times New Roman"/>
          <w:sz w:val="24"/>
          <w:szCs w:val="24"/>
        </w:rPr>
        <w:t>distribuidos conforme a lo siguiente: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Tabla 14. Distribución del presupuesto de los Entes Autónomos</w:t>
      </w:r>
    </w:p>
    <w:p w:rsidR="00A26CD3" w:rsidRPr="008C1A33" w:rsidRDefault="00A26CD3" w:rsidP="00A26CD3">
      <w:pPr>
        <w:spacing w:after="0" w:line="240" w:lineRule="auto"/>
        <w:jc w:val="both"/>
        <w:rPr>
          <w:rFonts w:ascii="Times New Roman" w:eastAsia="Calibri" w:hAnsi="Times New Roman" w:cs="Times New Roman"/>
          <w:sz w:val="24"/>
          <w:szCs w:val="24"/>
        </w:rPr>
      </w:pPr>
    </w:p>
    <w:tbl>
      <w:tblPr>
        <w:tblW w:w="9426" w:type="dxa"/>
        <w:tblCellMar>
          <w:left w:w="70" w:type="dxa"/>
          <w:right w:w="70" w:type="dxa"/>
        </w:tblCellMar>
        <w:tblLook w:val="04A0" w:firstRow="1" w:lastRow="0" w:firstColumn="1" w:lastColumn="0" w:noHBand="0" w:noVBand="1"/>
      </w:tblPr>
      <w:tblGrid>
        <w:gridCol w:w="2140"/>
        <w:gridCol w:w="5301"/>
        <w:gridCol w:w="1985"/>
      </w:tblGrid>
      <w:tr w:rsidR="00A26CD3" w:rsidRPr="008C1A33" w:rsidTr="00A26CD3">
        <w:trPr>
          <w:trHeight w:val="225"/>
        </w:trPr>
        <w:tc>
          <w:tcPr>
            <w:tcW w:w="2140" w:type="dxa"/>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t>Clave</w:t>
            </w:r>
          </w:p>
        </w:tc>
        <w:tc>
          <w:tcPr>
            <w:tcW w:w="5301" w:type="dxa"/>
            <w:tcBorders>
              <w:top w:val="single" w:sz="4" w:space="0" w:color="000000"/>
              <w:left w:val="nil"/>
              <w:bottom w:val="single" w:sz="4" w:space="0" w:color="000000"/>
              <w:right w:val="single" w:sz="4" w:space="0" w:color="000000"/>
            </w:tcBorders>
            <w:shd w:val="clear" w:color="C2C2C2" w:fill="C2C2C2"/>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t>Órganos Autónomos</w:t>
            </w:r>
          </w:p>
        </w:tc>
        <w:tc>
          <w:tcPr>
            <w:tcW w:w="1985" w:type="dxa"/>
            <w:tcBorders>
              <w:top w:val="single" w:sz="4" w:space="0" w:color="000000"/>
              <w:left w:val="nil"/>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t xml:space="preserve">Monto </w:t>
            </w:r>
            <w:r w:rsidRPr="008C1A33">
              <w:rPr>
                <w:rFonts w:ascii="Times New Roman" w:eastAsia="Bookman Old Style" w:hAnsi="Times New Roman" w:cs="Times New Roman"/>
                <w:sz w:val="24"/>
                <w:szCs w:val="24"/>
              </w:rPr>
              <w:t>(pesos)</w:t>
            </w:r>
          </w:p>
        </w:tc>
      </w:tr>
      <w:tr w:rsidR="00A26CD3" w:rsidRPr="008C1A33" w:rsidTr="00A26CD3">
        <w:trPr>
          <w:trHeight w:val="243"/>
        </w:trPr>
        <w:tc>
          <w:tcPr>
            <w:tcW w:w="2140" w:type="dxa"/>
            <w:tcBorders>
              <w:top w:val="nil"/>
              <w:left w:val="single" w:sz="4" w:space="0" w:color="000000"/>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401000000000000</w:t>
            </w:r>
          </w:p>
        </w:tc>
        <w:tc>
          <w:tcPr>
            <w:tcW w:w="5301" w:type="dxa"/>
            <w:tcBorders>
              <w:top w:val="nil"/>
              <w:left w:val="nil"/>
              <w:bottom w:val="single" w:sz="4" w:space="0" w:color="000000"/>
              <w:right w:val="single" w:sz="4" w:space="0" w:color="000000"/>
            </w:tcBorders>
            <w:hideMark/>
          </w:tcPr>
          <w:p w:rsidR="00A26CD3" w:rsidRPr="008C1A33" w:rsidRDefault="00A26CD3" w:rsidP="00A26CD3">
            <w:pPr>
              <w:spacing w:after="0" w:line="240" w:lineRule="auto"/>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Instituto Electoral del Estado de México</w:t>
            </w:r>
          </w:p>
        </w:tc>
        <w:tc>
          <w:tcPr>
            <w:tcW w:w="1985" w:type="dxa"/>
            <w:tcBorders>
              <w:top w:val="nil"/>
              <w:left w:val="nil"/>
              <w:bottom w:val="single" w:sz="4" w:space="0" w:color="000000"/>
              <w:right w:val="single" w:sz="4" w:space="0" w:color="000000"/>
            </w:tcBorders>
            <w:noWrap/>
            <w:vAlign w:val="bottom"/>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color w:val="000000"/>
                <w:kern w:val="2"/>
                <w:sz w:val="24"/>
                <w:szCs w:val="24"/>
              </w:rPr>
              <w:t>1,764,459,768</w:t>
            </w:r>
          </w:p>
        </w:tc>
      </w:tr>
      <w:tr w:rsidR="00A26CD3" w:rsidRPr="008C1A33" w:rsidTr="00A26CD3">
        <w:trPr>
          <w:trHeight w:val="274"/>
        </w:trPr>
        <w:tc>
          <w:tcPr>
            <w:tcW w:w="2140" w:type="dxa"/>
            <w:tcBorders>
              <w:top w:val="nil"/>
              <w:left w:val="single" w:sz="4" w:space="0" w:color="000000"/>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402000000000000</w:t>
            </w:r>
          </w:p>
        </w:tc>
        <w:tc>
          <w:tcPr>
            <w:tcW w:w="5301" w:type="dxa"/>
            <w:tcBorders>
              <w:top w:val="nil"/>
              <w:left w:val="nil"/>
              <w:bottom w:val="single" w:sz="4" w:space="0" w:color="000000"/>
              <w:right w:val="single" w:sz="4" w:space="0" w:color="000000"/>
            </w:tcBorders>
            <w:hideMark/>
          </w:tcPr>
          <w:p w:rsidR="00A26CD3" w:rsidRPr="008C1A33" w:rsidRDefault="00A26CD3" w:rsidP="00A26CD3">
            <w:pPr>
              <w:spacing w:after="0" w:line="240" w:lineRule="auto"/>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Comisión de Derechos Humanos del Estado de México</w:t>
            </w:r>
          </w:p>
        </w:tc>
        <w:tc>
          <w:tcPr>
            <w:tcW w:w="1985" w:type="dxa"/>
            <w:tcBorders>
              <w:top w:val="nil"/>
              <w:left w:val="nil"/>
              <w:bottom w:val="single" w:sz="4" w:space="0" w:color="000000"/>
              <w:right w:val="single" w:sz="4" w:space="0" w:color="000000"/>
            </w:tcBorders>
            <w:noWrap/>
            <w:vAlign w:val="bottom"/>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color w:val="000000"/>
                <w:kern w:val="2"/>
                <w:sz w:val="24"/>
                <w:szCs w:val="24"/>
              </w:rPr>
              <w:t>289,237,067</w:t>
            </w:r>
          </w:p>
        </w:tc>
      </w:tr>
      <w:tr w:rsidR="00A26CD3" w:rsidRPr="008C1A33" w:rsidTr="00A26CD3">
        <w:trPr>
          <w:trHeight w:val="279"/>
        </w:trPr>
        <w:tc>
          <w:tcPr>
            <w:tcW w:w="2140" w:type="dxa"/>
            <w:tcBorders>
              <w:top w:val="nil"/>
              <w:left w:val="single" w:sz="4" w:space="0" w:color="000000"/>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403000000000000</w:t>
            </w:r>
          </w:p>
        </w:tc>
        <w:tc>
          <w:tcPr>
            <w:tcW w:w="5301" w:type="dxa"/>
            <w:tcBorders>
              <w:top w:val="nil"/>
              <w:left w:val="nil"/>
              <w:bottom w:val="single" w:sz="4" w:space="0" w:color="000000"/>
              <w:right w:val="single" w:sz="4" w:space="0" w:color="000000"/>
            </w:tcBorders>
            <w:hideMark/>
          </w:tcPr>
          <w:p w:rsidR="00A26CD3" w:rsidRPr="008C1A33" w:rsidRDefault="00A26CD3" w:rsidP="00A26CD3">
            <w:pPr>
              <w:spacing w:after="0" w:line="240" w:lineRule="auto"/>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Tribunal de Justicia Administrativa</w:t>
            </w:r>
          </w:p>
        </w:tc>
        <w:tc>
          <w:tcPr>
            <w:tcW w:w="1985" w:type="dxa"/>
            <w:tcBorders>
              <w:top w:val="nil"/>
              <w:left w:val="nil"/>
              <w:bottom w:val="single" w:sz="4" w:space="0" w:color="000000"/>
              <w:right w:val="single" w:sz="4" w:space="0" w:color="000000"/>
            </w:tcBorders>
            <w:noWrap/>
            <w:vAlign w:val="bottom"/>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color w:val="000000"/>
                <w:kern w:val="2"/>
                <w:sz w:val="24"/>
                <w:szCs w:val="24"/>
              </w:rPr>
              <w:t>322,621,698</w:t>
            </w:r>
          </w:p>
        </w:tc>
      </w:tr>
      <w:tr w:rsidR="00A26CD3" w:rsidRPr="008C1A33" w:rsidTr="00A26CD3">
        <w:trPr>
          <w:trHeight w:val="225"/>
        </w:trPr>
        <w:tc>
          <w:tcPr>
            <w:tcW w:w="2140" w:type="dxa"/>
            <w:tcBorders>
              <w:top w:val="nil"/>
              <w:left w:val="single" w:sz="4" w:space="0" w:color="000000"/>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406000000000000</w:t>
            </w:r>
          </w:p>
        </w:tc>
        <w:tc>
          <w:tcPr>
            <w:tcW w:w="5301" w:type="dxa"/>
            <w:tcBorders>
              <w:top w:val="nil"/>
              <w:left w:val="nil"/>
              <w:bottom w:val="single" w:sz="4" w:space="0" w:color="000000"/>
              <w:right w:val="single" w:sz="4" w:space="0" w:color="000000"/>
            </w:tcBorders>
            <w:hideMark/>
          </w:tcPr>
          <w:p w:rsidR="00A26CD3" w:rsidRPr="008C1A33" w:rsidRDefault="00A26CD3" w:rsidP="00A26CD3">
            <w:pPr>
              <w:spacing w:after="0" w:line="240" w:lineRule="auto"/>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Universidad Autónoma del Estado de México</w:t>
            </w:r>
          </w:p>
        </w:tc>
        <w:tc>
          <w:tcPr>
            <w:tcW w:w="1985" w:type="dxa"/>
            <w:tcBorders>
              <w:top w:val="nil"/>
              <w:left w:val="nil"/>
              <w:bottom w:val="single" w:sz="4" w:space="0" w:color="000000"/>
              <w:right w:val="single" w:sz="4" w:space="0" w:color="000000"/>
            </w:tcBorders>
            <w:noWrap/>
            <w:vAlign w:val="bottom"/>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color w:val="000000"/>
                <w:kern w:val="2"/>
                <w:sz w:val="24"/>
                <w:szCs w:val="24"/>
              </w:rPr>
              <w:t>6,484,542,370</w:t>
            </w:r>
          </w:p>
        </w:tc>
      </w:tr>
      <w:tr w:rsidR="00A26CD3" w:rsidRPr="008C1A33" w:rsidTr="00A26CD3">
        <w:trPr>
          <w:trHeight w:val="225"/>
        </w:trPr>
        <w:tc>
          <w:tcPr>
            <w:tcW w:w="2140" w:type="dxa"/>
            <w:tcBorders>
              <w:top w:val="nil"/>
              <w:left w:val="single" w:sz="4" w:space="0" w:color="000000"/>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408000000000000</w:t>
            </w:r>
          </w:p>
        </w:tc>
        <w:tc>
          <w:tcPr>
            <w:tcW w:w="5301" w:type="dxa"/>
            <w:tcBorders>
              <w:top w:val="nil"/>
              <w:left w:val="nil"/>
              <w:bottom w:val="single" w:sz="4" w:space="0" w:color="000000"/>
              <w:right w:val="single" w:sz="4" w:space="0" w:color="000000"/>
            </w:tcBorders>
            <w:hideMark/>
          </w:tcPr>
          <w:p w:rsidR="00A26CD3" w:rsidRPr="008C1A33" w:rsidRDefault="00A26CD3" w:rsidP="00A26CD3">
            <w:pPr>
              <w:spacing w:after="0" w:line="240" w:lineRule="auto"/>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Tribunal Electoral del Estado de México</w:t>
            </w:r>
          </w:p>
        </w:tc>
        <w:tc>
          <w:tcPr>
            <w:tcW w:w="1985" w:type="dxa"/>
            <w:tcBorders>
              <w:top w:val="nil"/>
              <w:left w:val="nil"/>
              <w:bottom w:val="single" w:sz="4" w:space="0" w:color="000000"/>
              <w:right w:val="single" w:sz="4" w:space="0" w:color="000000"/>
            </w:tcBorders>
            <w:noWrap/>
            <w:vAlign w:val="bottom"/>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color w:val="000000"/>
                <w:kern w:val="2"/>
                <w:sz w:val="24"/>
                <w:szCs w:val="24"/>
              </w:rPr>
              <w:t>238,646,518</w:t>
            </w:r>
          </w:p>
        </w:tc>
      </w:tr>
      <w:tr w:rsidR="00A26CD3" w:rsidRPr="008C1A33" w:rsidTr="00A26CD3">
        <w:trPr>
          <w:trHeight w:val="450"/>
        </w:trPr>
        <w:tc>
          <w:tcPr>
            <w:tcW w:w="2140" w:type="dxa"/>
            <w:tcBorders>
              <w:top w:val="nil"/>
              <w:left w:val="single" w:sz="4" w:space="0" w:color="000000"/>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409000000000000</w:t>
            </w:r>
          </w:p>
        </w:tc>
        <w:tc>
          <w:tcPr>
            <w:tcW w:w="5301" w:type="dxa"/>
            <w:tcBorders>
              <w:top w:val="nil"/>
              <w:left w:val="nil"/>
              <w:bottom w:val="single" w:sz="4" w:space="0" w:color="000000"/>
              <w:right w:val="single" w:sz="4" w:space="0" w:color="000000"/>
            </w:tcBorders>
            <w:hideMark/>
          </w:tcPr>
          <w:p w:rsidR="00A26CD3" w:rsidRPr="008C1A33" w:rsidRDefault="00A26CD3" w:rsidP="00A26CD3">
            <w:pPr>
              <w:spacing w:after="0" w:line="240" w:lineRule="auto"/>
              <w:jc w:val="both"/>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Instituto de Transparencia, Acceso a la Información Pública y Protección de Datos Personales del Estado de México y Municipios</w:t>
            </w:r>
          </w:p>
        </w:tc>
        <w:tc>
          <w:tcPr>
            <w:tcW w:w="1985" w:type="dxa"/>
            <w:tcBorders>
              <w:top w:val="nil"/>
              <w:left w:val="nil"/>
              <w:bottom w:val="single" w:sz="4" w:space="0" w:color="000000"/>
              <w:right w:val="single" w:sz="4" w:space="0" w:color="000000"/>
            </w:tcBorders>
            <w:noWrap/>
            <w:vAlign w:val="bottom"/>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color w:val="000000"/>
                <w:kern w:val="2"/>
                <w:sz w:val="24"/>
                <w:szCs w:val="24"/>
              </w:rPr>
              <w:t>91,810,000</w:t>
            </w:r>
          </w:p>
        </w:tc>
      </w:tr>
      <w:tr w:rsidR="00A26CD3" w:rsidRPr="008C1A33" w:rsidTr="00A26CD3">
        <w:trPr>
          <w:trHeight w:val="225"/>
        </w:trPr>
        <w:tc>
          <w:tcPr>
            <w:tcW w:w="2140" w:type="dxa"/>
            <w:tcBorders>
              <w:top w:val="nil"/>
              <w:left w:val="single" w:sz="4" w:space="0" w:color="000000"/>
              <w:bottom w:val="single" w:sz="4" w:space="0" w:color="000000"/>
              <w:right w:val="single" w:sz="4" w:space="0" w:color="000000"/>
            </w:tcBorders>
            <w:noWrap/>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410000000000000</w:t>
            </w:r>
          </w:p>
        </w:tc>
        <w:tc>
          <w:tcPr>
            <w:tcW w:w="5301" w:type="dxa"/>
            <w:tcBorders>
              <w:top w:val="nil"/>
              <w:left w:val="nil"/>
              <w:bottom w:val="single" w:sz="4" w:space="0" w:color="000000"/>
              <w:right w:val="single" w:sz="4" w:space="0" w:color="000000"/>
            </w:tcBorders>
            <w:hideMark/>
          </w:tcPr>
          <w:p w:rsidR="00A26CD3" w:rsidRPr="008C1A33" w:rsidRDefault="00A26CD3" w:rsidP="00A26CD3">
            <w:pPr>
              <w:spacing w:after="0" w:line="240" w:lineRule="auto"/>
              <w:rPr>
                <w:rFonts w:ascii="Times New Roman" w:eastAsia="Times New Roman" w:hAnsi="Times New Roman" w:cs="Times New Roman"/>
                <w:color w:val="000000"/>
                <w:sz w:val="24"/>
                <w:szCs w:val="24"/>
                <w:lang w:eastAsia="es-MX"/>
              </w:rPr>
            </w:pPr>
            <w:r w:rsidRPr="008C1A33">
              <w:rPr>
                <w:rFonts w:ascii="Times New Roman" w:eastAsia="Times New Roman" w:hAnsi="Times New Roman" w:cs="Times New Roman"/>
                <w:color w:val="000000"/>
                <w:sz w:val="24"/>
                <w:szCs w:val="24"/>
                <w:lang w:eastAsia="es-MX"/>
              </w:rPr>
              <w:t xml:space="preserve">Fiscalía General de Justicia </w:t>
            </w:r>
            <w:r w:rsidRPr="008C1A33">
              <w:rPr>
                <w:rFonts w:ascii="Times New Roman" w:eastAsia="Times New Roman" w:hAnsi="Times New Roman" w:cs="Times New Roman"/>
                <w:color w:val="000000"/>
                <w:sz w:val="24"/>
                <w:szCs w:val="24"/>
                <w:vertAlign w:val="superscript"/>
                <w:lang w:eastAsia="es-MX"/>
              </w:rPr>
              <w:t>1/</w:t>
            </w:r>
          </w:p>
        </w:tc>
        <w:tc>
          <w:tcPr>
            <w:tcW w:w="1985" w:type="dxa"/>
            <w:tcBorders>
              <w:top w:val="nil"/>
              <w:left w:val="nil"/>
              <w:bottom w:val="single" w:sz="4" w:space="0" w:color="000000"/>
              <w:right w:val="single" w:sz="4" w:space="0" w:color="000000"/>
            </w:tcBorders>
            <w:noWrap/>
            <w:vAlign w:val="bottom"/>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lang w:eastAsia="es-MX"/>
              </w:rPr>
            </w:pPr>
            <w:r w:rsidRPr="008C1A33">
              <w:rPr>
                <w:rFonts w:ascii="Times New Roman" w:eastAsia="Calibri" w:hAnsi="Times New Roman" w:cs="Times New Roman"/>
                <w:color w:val="000000"/>
                <w:kern w:val="2"/>
                <w:sz w:val="24"/>
                <w:szCs w:val="24"/>
              </w:rPr>
              <w:t>5,403,972,007</w:t>
            </w:r>
          </w:p>
        </w:tc>
      </w:tr>
      <w:tr w:rsidR="00A26CD3" w:rsidRPr="008C1A33" w:rsidTr="00A26CD3">
        <w:trPr>
          <w:trHeight w:val="225"/>
        </w:trPr>
        <w:tc>
          <w:tcPr>
            <w:tcW w:w="7441" w:type="dxa"/>
            <w:gridSpan w:val="2"/>
            <w:tcBorders>
              <w:top w:val="single" w:sz="4" w:space="0" w:color="000000"/>
              <w:left w:val="single" w:sz="4" w:space="0" w:color="000000"/>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t>Total</w:t>
            </w:r>
          </w:p>
        </w:tc>
        <w:tc>
          <w:tcPr>
            <w:tcW w:w="1985" w:type="dxa"/>
            <w:tcBorders>
              <w:top w:val="nil"/>
              <w:left w:val="nil"/>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right"/>
              <w:rPr>
                <w:rFonts w:ascii="Times New Roman" w:eastAsia="Times New Roman" w:hAnsi="Times New Roman" w:cs="Times New Roman"/>
                <w:b/>
                <w:bCs/>
                <w:color w:val="000000"/>
                <w:sz w:val="24"/>
                <w:szCs w:val="24"/>
                <w:lang w:eastAsia="es-MX"/>
              </w:rPr>
            </w:pPr>
            <w:r w:rsidRPr="008C1A33">
              <w:rPr>
                <w:rFonts w:ascii="Times New Roman" w:eastAsia="Times New Roman" w:hAnsi="Times New Roman" w:cs="Times New Roman"/>
                <w:b/>
                <w:bCs/>
                <w:color w:val="000000"/>
                <w:sz w:val="24"/>
                <w:szCs w:val="24"/>
                <w:lang w:eastAsia="es-MX"/>
              </w:rPr>
              <w:fldChar w:fldCharType="begin"/>
            </w:r>
            <w:r w:rsidRPr="008C1A33">
              <w:rPr>
                <w:rFonts w:ascii="Times New Roman" w:eastAsia="Times New Roman" w:hAnsi="Times New Roman" w:cs="Times New Roman"/>
                <w:b/>
                <w:bCs/>
                <w:color w:val="000000"/>
                <w:sz w:val="24"/>
                <w:szCs w:val="24"/>
                <w:lang w:eastAsia="es-MX"/>
              </w:rPr>
              <w:instrText xml:space="preserve"> =SUM(ABOVE) </w:instrText>
            </w:r>
            <w:r w:rsidRPr="008C1A33">
              <w:rPr>
                <w:rFonts w:ascii="Times New Roman" w:eastAsia="Times New Roman" w:hAnsi="Times New Roman" w:cs="Times New Roman"/>
                <w:b/>
                <w:bCs/>
                <w:color w:val="000000"/>
                <w:sz w:val="24"/>
                <w:szCs w:val="24"/>
                <w:lang w:eastAsia="es-MX"/>
              </w:rPr>
              <w:fldChar w:fldCharType="separate"/>
            </w:r>
            <w:r w:rsidRPr="008C1A33">
              <w:rPr>
                <w:rFonts w:ascii="Times New Roman" w:eastAsia="Times New Roman" w:hAnsi="Times New Roman" w:cs="Times New Roman"/>
                <w:b/>
                <w:bCs/>
                <w:noProof/>
                <w:color w:val="000000"/>
                <w:sz w:val="24"/>
                <w:szCs w:val="24"/>
                <w:lang w:eastAsia="es-MX"/>
              </w:rPr>
              <w:t>14,595,289,428</w:t>
            </w:r>
            <w:r w:rsidRPr="008C1A33">
              <w:rPr>
                <w:rFonts w:ascii="Times New Roman" w:eastAsia="Times New Roman" w:hAnsi="Times New Roman" w:cs="Times New Roman"/>
                <w:b/>
                <w:bCs/>
                <w:color w:val="000000"/>
                <w:sz w:val="24"/>
                <w:szCs w:val="24"/>
                <w:lang w:eastAsia="es-MX"/>
              </w:rPr>
              <w:fldChar w:fldCharType="end"/>
            </w:r>
          </w:p>
        </w:tc>
      </w:tr>
    </w:tbl>
    <w:p w:rsidR="00A26CD3" w:rsidRPr="00A26CD3" w:rsidRDefault="00A26CD3" w:rsidP="00A26CD3">
      <w:pPr>
        <w:spacing w:after="0" w:line="240" w:lineRule="auto"/>
        <w:jc w:val="both"/>
        <w:rPr>
          <w:rFonts w:ascii="Times New Roman" w:eastAsia="Bookman Old Style" w:hAnsi="Times New Roman" w:cs="Times New Roman"/>
          <w:sz w:val="14"/>
          <w:szCs w:val="14"/>
        </w:rPr>
      </w:pPr>
      <w:r w:rsidRPr="00A26CD3">
        <w:rPr>
          <w:rFonts w:ascii="Times New Roman" w:eastAsia="Bookman Old Style" w:hAnsi="Times New Roman" w:cs="Times New Roman"/>
          <w:sz w:val="14"/>
          <w:szCs w:val="14"/>
          <w:vertAlign w:val="superscript"/>
        </w:rPr>
        <w:t>1/</w:t>
      </w:r>
      <w:r w:rsidRPr="00A26CD3">
        <w:rPr>
          <w:rFonts w:ascii="Times New Roman" w:eastAsia="Bookman Old Style" w:hAnsi="Times New Roman" w:cs="Times New Roman"/>
          <w:sz w:val="14"/>
          <w:szCs w:val="14"/>
        </w:rPr>
        <w:t xml:space="preserve"> Incluye $90,000,000 a efecto de fortalecer la atención de delitos vinculados a la violencia de género, distribuidos en las siguientes acciones: $22,500,000 para atender la operación de la Unidad de Análisis y Contexto para la Investigación de Delitos Vinculados a Feminicidios, Homicidios Dolosos y Desapariciones de Niñas y Mujeres, y la Unidad de Análisis y Contexto para la Investigación y Persecución de Delitos en Materia de Desaparición Forzada de Personas y la Desaparición Cometida por Particulares, $22,500,000 con lo que se dará continuidad a la operación de los albergues para víctimas del delito de trata, $22,500,000 para dar seguimiento a las acciones consideradas en la Alerta de Violencia de Género contra las Mujeres en el Estado de México y $22,500,000 para atender la Alerta de Violencia de Género contra las Mujeres por desaparición, de niñas, adolescentes y mujeres. La Fiscalía General de Justicia del Estado de México, será la encargada de la administración de dichos recursos y deberá implementar los mecanismos necesarios para la operación de estos recursos, dándolos a conocer a través del Periódico Oficial “Gaceta del Gobierno”, a más tardar el último día hábil del mes de febrero de 2026.</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El ejercicio de los recursos de los Órganos Autónomos se efectuará conforme a lo dispuesto en el presente Decreto, así como en la Ley de Disciplina Financiera, la Ley General de Contabilidad Gubernamental, el Código y demás normativa aplicable en la materia.</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IV</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Órganos Electorales</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22.</w:t>
      </w:r>
      <w:r w:rsidRPr="008C1A33">
        <w:rPr>
          <w:rFonts w:ascii="Times New Roman" w:eastAsia="Calibri" w:hAnsi="Times New Roman" w:cs="Times New Roman"/>
          <w:sz w:val="24"/>
          <w:szCs w:val="24"/>
        </w:rPr>
        <w:t xml:space="preserve"> Los recursos previstos para los Órganos Electorales en el Ejercicio Fiscal 2026, ascienden a la cantidad de </w:t>
      </w:r>
      <w:r w:rsidRPr="008C1A33">
        <w:rPr>
          <w:rFonts w:ascii="Times New Roman" w:eastAsia="Calibri" w:hAnsi="Times New Roman" w:cs="Times New Roman"/>
          <w:b/>
          <w:bCs/>
          <w:sz w:val="24"/>
          <w:szCs w:val="24"/>
        </w:rPr>
        <w:t>$2,003,106,286</w:t>
      </w:r>
      <w:r w:rsidRPr="008C1A33">
        <w:rPr>
          <w:rFonts w:ascii="Times New Roman" w:eastAsia="Calibri" w:hAnsi="Times New Roman" w:cs="Times New Roman"/>
          <w:sz w:val="24"/>
          <w:szCs w:val="24"/>
        </w:rPr>
        <w:t xml:space="preserve"> </w:t>
      </w:r>
      <w:r w:rsidRPr="008C1A33">
        <w:rPr>
          <w:rFonts w:ascii="Times New Roman" w:eastAsia="Calibri" w:hAnsi="Times New Roman" w:cs="Times New Roman"/>
          <w:bCs/>
          <w:sz w:val="24"/>
          <w:szCs w:val="24"/>
        </w:rPr>
        <w:t>y se distribuirán de la siguiente manera:</w:t>
      </w:r>
    </w:p>
    <w:p w:rsidR="00A26CD3" w:rsidRPr="008C1A33" w:rsidRDefault="00A26CD3" w:rsidP="00A26CD3">
      <w:pPr>
        <w:spacing w:after="0" w:line="240" w:lineRule="auto"/>
        <w:ind w:left="851"/>
        <w:rPr>
          <w:rFonts w:ascii="Times New Roman" w:eastAsia="Bookman Old Style" w:hAnsi="Times New Roman" w:cs="Times New Roman"/>
          <w:sz w:val="24"/>
          <w:szCs w:val="24"/>
        </w:rPr>
      </w:pPr>
    </w:p>
    <w:p w:rsidR="00A26CD3" w:rsidRPr="008C1A33" w:rsidRDefault="00A26CD3" w:rsidP="00A26CD3">
      <w:pPr>
        <w:spacing w:after="0" w:line="240" w:lineRule="auto"/>
        <w:ind w:firstLine="709"/>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Tabla 15. Distribución del presupuesto de los Órganos Electorales</w:t>
      </w:r>
    </w:p>
    <w:p w:rsidR="00A26CD3" w:rsidRPr="008C1A33" w:rsidRDefault="00A26CD3" w:rsidP="00A26CD3">
      <w:pPr>
        <w:spacing w:after="0" w:line="240" w:lineRule="auto"/>
        <w:jc w:val="both"/>
        <w:rPr>
          <w:rFonts w:ascii="Times New Roman" w:eastAsia="Calibri" w:hAnsi="Times New Roman" w:cs="Times New Roman"/>
          <w:sz w:val="24"/>
          <w:szCs w:val="24"/>
        </w:rPr>
      </w:pPr>
    </w:p>
    <w:tbl>
      <w:tblPr>
        <w:tblW w:w="9214" w:type="dxa"/>
        <w:jc w:val="center"/>
        <w:tblLayout w:type="fixed"/>
        <w:tblLook w:val="0400" w:firstRow="0" w:lastRow="0" w:firstColumn="0" w:lastColumn="0" w:noHBand="0" w:noVBand="1"/>
      </w:tblPr>
      <w:tblGrid>
        <w:gridCol w:w="2410"/>
        <w:gridCol w:w="4678"/>
        <w:gridCol w:w="2126"/>
      </w:tblGrid>
      <w:tr w:rsidR="00A26CD3" w:rsidRPr="00A26CD3" w:rsidTr="00A26CD3">
        <w:trPr>
          <w:trHeight w:val="20"/>
          <w:jc w:val="center"/>
        </w:trPr>
        <w:tc>
          <w:tcPr>
            <w:tcW w:w="2410" w:type="dxa"/>
            <w:tcBorders>
              <w:top w:val="single" w:sz="4" w:space="0" w:color="000000"/>
              <w:left w:val="single" w:sz="4" w:space="0" w:color="000000"/>
              <w:bottom w:val="single" w:sz="4" w:space="0" w:color="000000"/>
              <w:right w:val="single" w:sz="4" w:space="0" w:color="000000"/>
            </w:tcBorders>
            <w:shd w:val="clear" w:color="auto" w:fill="C2C2C2"/>
            <w:vAlign w:val="center"/>
          </w:tcPr>
          <w:p w:rsidR="00A26CD3" w:rsidRPr="00A26CD3" w:rsidRDefault="00A26CD3" w:rsidP="00A26CD3">
            <w:pPr>
              <w:spacing w:after="0" w:line="240" w:lineRule="auto"/>
              <w:jc w:val="center"/>
              <w:rPr>
                <w:rFonts w:ascii="Times New Roman" w:eastAsia="Calibri" w:hAnsi="Times New Roman" w:cs="Times New Roman"/>
                <w:b/>
                <w:bCs/>
                <w:sz w:val="18"/>
                <w:szCs w:val="18"/>
              </w:rPr>
            </w:pPr>
            <w:r w:rsidRPr="00A26CD3">
              <w:rPr>
                <w:rFonts w:ascii="Times New Roman" w:eastAsia="Calibri" w:hAnsi="Times New Roman" w:cs="Times New Roman"/>
                <w:b/>
                <w:bCs/>
                <w:sz w:val="18"/>
                <w:szCs w:val="18"/>
              </w:rPr>
              <w:t>Clave</w:t>
            </w:r>
          </w:p>
        </w:tc>
        <w:tc>
          <w:tcPr>
            <w:tcW w:w="4678" w:type="dxa"/>
            <w:tcBorders>
              <w:top w:val="single" w:sz="4" w:space="0" w:color="000000"/>
              <w:left w:val="nil"/>
              <w:bottom w:val="single" w:sz="4" w:space="0" w:color="000000"/>
              <w:right w:val="single" w:sz="4" w:space="0" w:color="000000"/>
            </w:tcBorders>
            <w:shd w:val="clear" w:color="auto" w:fill="C2C2C2"/>
            <w:vAlign w:val="center"/>
          </w:tcPr>
          <w:p w:rsidR="00A26CD3" w:rsidRPr="00A26CD3" w:rsidRDefault="00A26CD3" w:rsidP="00A26CD3">
            <w:pPr>
              <w:spacing w:after="0" w:line="240" w:lineRule="auto"/>
              <w:jc w:val="center"/>
              <w:rPr>
                <w:rFonts w:ascii="Times New Roman" w:eastAsia="Calibri" w:hAnsi="Times New Roman" w:cs="Times New Roman"/>
                <w:b/>
                <w:bCs/>
                <w:sz w:val="18"/>
                <w:szCs w:val="18"/>
              </w:rPr>
            </w:pPr>
            <w:r w:rsidRPr="00A26CD3">
              <w:rPr>
                <w:rFonts w:ascii="Times New Roman" w:eastAsia="Calibri" w:hAnsi="Times New Roman" w:cs="Times New Roman"/>
                <w:b/>
                <w:bCs/>
                <w:sz w:val="18"/>
                <w:szCs w:val="18"/>
              </w:rPr>
              <w:t>Órgano Electoral</w:t>
            </w:r>
          </w:p>
        </w:tc>
        <w:tc>
          <w:tcPr>
            <w:tcW w:w="2126" w:type="dxa"/>
            <w:tcBorders>
              <w:top w:val="single" w:sz="4" w:space="0" w:color="000000"/>
              <w:left w:val="nil"/>
              <w:bottom w:val="single" w:sz="4" w:space="0" w:color="000000"/>
              <w:right w:val="single" w:sz="4" w:space="0" w:color="000000"/>
            </w:tcBorders>
            <w:shd w:val="clear" w:color="auto" w:fill="C2C2C2"/>
            <w:vAlign w:val="center"/>
          </w:tcPr>
          <w:p w:rsidR="00A26CD3" w:rsidRPr="00A26CD3" w:rsidRDefault="00A26CD3" w:rsidP="00A26CD3">
            <w:pPr>
              <w:spacing w:after="0" w:line="240" w:lineRule="auto"/>
              <w:jc w:val="center"/>
              <w:rPr>
                <w:rFonts w:ascii="Times New Roman" w:eastAsia="Calibri" w:hAnsi="Times New Roman" w:cs="Times New Roman"/>
                <w:b/>
                <w:bCs/>
                <w:sz w:val="18"/>
                <w:szCs w:val="18"/>
              </w:rPr>
            </w:pPr>
            <w:r w:rsidRPr="00A26CD3">
              <w:rPr>
                <w:rFonts w:ascii="Times New Roman" w:eastAsia="Calibri" w:hAnsi="Times New Roman" w:cs="Times New Roman"/>
                <w:b/>
                <w:bCs/>
                <w:sz w:val="18"/>
                <w:szCs w:val="18"/>
              </w:rPr>
              <w:t xml:space="preserve">Monto </w:t>
            </w:r>
            <w:r w:rsidRPr="00A26CD3">
              <w:rPr>
                <w:rFonts w:ascii="Times New Roman" w:eastAsia="Bookman Old Style" w:hAnsi="Times New Roman" w:cs="Times New Roman"/>
                <w:sz w:val="18"/>
                <w:szCs w:val="18"/>
              </w:rPr>
              <w:t>(pesos)</w:t>
            </w:r>
          </w:p>
        </w:tc>
      </w:tr>
      <w:tr w:rsidR="00A26CD3" w:rsidRPr="00A26CD3" w:rsidTr="00A26CD3">
        <w:trPr>
          <w:trHeight w:val="20"/>
          <w:jc w:val="center"/>
        </w:trPr>
        <w:tc>
          <w:tcPr>
            <w:tcW w:w="2410" w:type="dxa"/>
            <w:tcBorders>
              <w:top w:val="nil"/>
              <w:left w:val="single" w:sz="4" w:space="0" w:color="000000"/>
              <w:bottom w:val="single" w:sz="4" w:space="0" w:color="000000"/>
              <w:right w:val="single" w:sz="4" w:space="0" w:color="000000"/>
            </w:tcBorders>
            <w:vAlign w:val="center"/>
          </w:tcPr>
          <w:p w:rsidR="00A26CD3" w:rsidRPr="00A26CD3" w:rsidRDefault="00A26CD3" w:rsidP="00A26CD3">
            <w:pPr>
              <w:spacing w:after="0" w:line="240" w:lineRule="auto"/>
              <w:rPr>
                <w:rFonts w:ascii="Times New Roman" w:eastAsia="Calibri" w:hAnsi="Times New Roman" w:cs="Times New Roman"/>
                <w:sz w:val="18"/>
                <w:szCs w:val="18"/>
              </w:rPr>
            </w:pPr>
            <w:r w:rsidRPr="00A26CD3">
              <w:rPr>
                <w:rFonts w:ascii="Times New Roman" w:eastAsia="Calibri" w:hAnsi="Times New Roman" w:cs="Times New Roman"/>
                <w:sz w:val="18"/>
                <w:szCs w:val="18"/>
              </w:rPr>
              <w:t>401000000000000</w:t>
            </w:r>
          </w:p>
        </w:tc>
        <w:tc>
          <w:tcPr>
            <w:tcW w:w="4678" w:type="dxa"/>
            <w:tcBorders>
              <w:top w:val="nil"/>
              <w:left w:val="nil"/>
              <w:bottom w:val="single" w:sz="4" w:space="0" w:color="000000"/>
              <w:right w:val="single" w:sz="4" w:space="0" w:color="000000"/>
            </w:tcBorders>
            <w:vAlign w:val="center"/>
          </w:tcPr>
          <w:p w:rsidR="00A26CD3" w:rsidRPr="00A26CD3" w:rsidRDefault="00A26CD3" w:rsidP="00A26CD3">
            <w:pPr>
              <w:spacing w:after="0" w:line="240" w:lineRule="auto"/>
              <w:rPr>
                <w:rFonts w:ascii="Times New Roman" w:eastAsia="Calibri" w:hAnsi="Times New Roman" w:cs="Times New Roman"/>
                <w:sz w:val="18"/>
                <w:szCs w:val="18"/>
              </w:rPr>
            </w:pPr>
            <w:r w:rsidRPr="00A26CD3">
              <w:rPr>
                <w:rFonts w:ascii="Times New Roman" w:eastAsia="Calibri" w:hAnsi="Times New Roman" w:cs="Times New Roman"/>
                <w:sz w:val="18"/>
                <w:szCs w:val="18"/>
              </w:rPr>
              <w:t>Instituto Electoral del Estado de México</w:t>
            </w:r>
          </w:p>
        </w:tc>
        <w:tc>
          <w:tcPr>
            <w:tcW w:w="2126" w:type="dxa"/>
            <w:tcBorders>
              <w:top w:val="nil"/>
              <w:left w:val="nil"/>
              <w:bottom w:val="single" w:sz="4" w:space="0" w:color="000000"/>
              <w:right w:val="single" w:sz="4" w:space="0" w:color="000000"/>
            </w:tcBorders>
            <w:vAlign w:val="bottom"/>
          </w:tcPr>
          <w:p w:rsidR="00A26CD3" w:rsidRPr="00A26CD3" w:rsidRDefault="00A26CD3" w:rsidP="00A26CD3">
            <w:pPr>
              <w:spacing w:after="0" w:line="240" w:lineRule="auto"/>
              <w:jc w:val="right"/>
              <w:rPr>
                <w:rFonts w:ascii="Times New Roman" w:eastAsia="Calibri" w:hAnsi="Times New Roman" w:cs="Times New Roman"/>
                <w:sz w:val="18"/>
                <w:szCs w:val="18"/>
              </w:rPr>
            </w:pPr>
            <w:r w:rsidRPr="00A26CD3">
              <w:rPr>
                <w:rFonts w:ascii="Times New Roman" w:eastAsia="Calibri" w:hAnsi="Times New Roman" w:cs="Times New Roman"/>
                <w:color w:val="000000"/>
                <w:kern w:val="2"/>
                <w:sz w:val="18"/>
                <w:szCs w:val="18"/>
              </w:rPr>
              <w:t>1,764,459,768</w:t>
            </w:r>
          </w:p>
        </w:tc>
      </w:tr>
      <w:tr w:rsidR="00A26CD3" w:rsidRPr="00A26CD3" w:rsidTr="00A26CD3">
        <w:trPr>
          <w:trHeight w:val="20"/>
          <w:jc w:val="center"/>
        </w:trPr>
        <w:tc>
          <w:tcPr>
            <w:tcW w:w="2410" w:type="dxa"/>
            <w:tcBorders>
              <w:top w:val="nil"/>
              <w:left w:val="single" w:sz="4" w:space="0" w:color="000000"/>
              <w:bottom w:val="single" w:sz="4" w:space="0" w:color="000000"/>
              <w:right w:val="single" w:sz="4" w:space="0" w:color="000000"/>
            </w:tcBorders>
            <w:vAlign w:val="center"/>
          </w:tcPr>
          <w:p w:rsidR="00A26CD3" w:rsidRPr="00A26CD3" w:rsidRDefault="00A26CD3" w:rsidP="00A26CD3">
            <w:pPr>
              <w:spacing w:after="0" w:line="240" w:lineRule="auto"/>
              <w:rPr>
                <w:rFonts w:ascii="Times New Roman" w:eastAsia="Calibri" w:hAnsi="Times New Roman" w:cs="Times New Roman"/>
                <w:sz w:val="18"/>
                <w:szCs w:val="18"/>
              </w:rPr>
            </w:pPr>
            <w:r w:rsidRPr="00A26CD3">
              <w:rPr>
                <w:rFonts w:ascii="Times New Roman" w:eastAsia="Calibri" w:hAnsi="Times New Roman" w:cs="Times New Roman"/>
                <w:sz w:val="18"/>
                <w:szCs w:val="18"/>
              </w:rPr>
              <w:t>408000000000000</w:t>
            </w:r>
          </w:p>
        </w:tc>
        <w:tc>
          <w:tcPr>
            <w:tcW w:w="4678" w:type="dxa"/>
            <w:tcBorders>
              <w:top w:val="nil"/>
              <w:left w:val="nil"/>
              <w:bottom w:val="single" w:sz="4" w:space="0" w:color="000000"/>
              <w:right w:val="single" w:sz="4" w:space="0" w:color="000000"/>
            </w:tcBorders>
            <w:vAlign w:val="center"/>
          </w:tcPr>
          <w:p w:rsidR="00A26CD3" w:rsidRPr="00A26CD3" w:rsidRDefault="00A26CD3" w:rsidP="00A26CD3">
            <w:pPr>
              <w:spacing w:after="0" w:line="240" w:lineRule="auto"/>
              <w:rPr>
                <w:rFonts w:ascii="Times New Roman" w:eastAsia="Calibri" w:hAnsi="Times New Roman" w:cs="Times New Roman"/>
                <w:sz w:val="18"/>
                <w:szCs w:val="18"/>
              </w:rPr>
            </w:pPr>
            <w:r w:rsidRPr="00A26CD3">
              <w:rPr>
                <w:rFonts w:ascii="Times New Roman" w:eastAsia="Calibri" w:hAnsi="Times New Roman" w:cs="Times New Roman"/>
                <w:sz w:val="18"/>
                <w:szCs w:val="18"/>
              </w:rPr>
              <w:t>Tribunal Electoral del Estado de México</w:t>
            </w:r>
          </w:p>
        </w:tc>
        <w:tc>
          <w:tcPr>
            <w:tcW w:w="2126" w:type="dxa"/>
            <w:tcBorders>
              <w:top w:val="nil"/>
              <w:left w:val="nil"/>
              <w:bottom w:val="single" w:sz="4" w:space="0" w:color="000000"/>
              <w:right w:val="single" w:sz="4" w:space="0" w:color="000000"/>
            </w:tcBorders>
            <w:vAlign w:val="bottom"/>
          </w:tcPr>
          <w:p w:rsidR="00A26CD3" w:rsidRPr="00A26CD3" w:rsidRDefault="00A26CD3" w:rsidP="00A26CD3">
            <w:pPr>
              <w:spacing w:after="0" w:line="240" w:lineRule="auto"/>
              <w:jc w:val="right"/>
              <w:rPr>
                <w:rFonts w:ascii="Times New Roman" w:eastAsia="Calibri" w:hAnsi="Times New Roman" w:cs="Times New Roman"/>
                <w:sz w:val="18"/>
                <w:szCs w:val="18"/>
              </w:rPr>
            </w:pPr>
            <w:r w:rsidRPr="00A26CD3">
              <w:rPr>
                <w:rFonts w:ascii="Times New Roman" w:eastAsia="Calibri" w:hAnsi="Times New Roman" w:cs="Times New Roman"/>
                <w:color w:val="000000"/>
                <w:kern w:val="2"/>
                <w:sz w:val="18"/>
                <w:szCs w:val="18"/>
              </w:rPr>
              <w:t>238,646,518</w:t>
            </w:r>
          </w:p>
        </w:tc>
      </w:tr>
      <w:tr w:rsidR="00A26CD3" w:rsidRPr="00A26CD3" w:rsidTr="00A26CD3">
        <w:trPr>
          <w:trHeight w:val="20"/>
          <w:jc w:val="center"/>
        </w:trPr>
        <w:tc>
          <w:tcPr>
            <w:tcW w:w="7088" w:type="dxa"/>
            <w:gridSpan w:val="2"/>
            <w:tcBorders>
              <w:top w:val="single" w:sz="4" w:space="0" w:color="000000"/>
              <w:left w:val="single" w:sz="4" w:space="0" w:color="000000"/>
              <w:bottom w:val="single" w:sz="4" w:space="0" w:color="000000"/>
              <w:right w:val="single" w:sz="4" w:space="0" w:color="000000"/>
            </w:tcBorders>
            <w:shd w:val="clear" w:color="auto" w:fill="C2C2C2"/>
            <w:vAlign w:val="center"/>
          </w:tcPr>
          <w:p w:rsidR="00A26CD3" w:rsidRPr="00A26CD3" w:rsidRDefault="00A26CD3" w:rsidP="00A26CD3">
            <w:pPr>
              <w:spacing w:after="0" w:line="240" w:lineRule="auto"/>
              <w:rPr>
                <w:rFonts w:ascii="Times New Roman" w:eastAsia="Calibri" w:hAnsi="Times New Roman" w:cs="Times New Roman"/>
                <w:b/>
                <w:bCs/>
                <w:sz w:val="18"/>
                <w:szCs w:val="18"/>
              </w:rPr>
            </w:pPr>
            <w:r w:rsidRPr="00A26CD3">
              <w:rPr>
                <w:rFonts w:ascii="Times New Roman" w:eastAsia="Calibri" w:hAnsi="Times New Roman" w:cs="Times New Roman"/>
                <w:b/>
                <w:bCs/>
                <w:sz w:val="18"/>
                <w:szCs w:val="18"/>
              </w:rPr>
              <w:t>Total</w:t>
            </w:r>
          </w:p>
        </w:tc>
        <w:tc>
          <w:tcPr>
            <w:tcW w:w="2126" w:type="dxa"/>
            <w:tcBorders>
              <w:top w:val="nil"/>
              <w:left w:val="nil"/>
              <w:bottom w:val="single" w:sz="4" w:space="0" w:color="000000"/>
              <w:right w:val="single" w:sz="4" w:space="0" w:color="000000"/>
            </w:tcBorders>
            <w:shd w:val="clear" w:color="auto" w:fill="C2C2C2"/>
            <w:vAlign w:val="center"/>
          </w:tcPr>
          <w:p w:rsidR="00A26CD3" w:rsidRPr="00A26CD3" w:rsidRDefault="00A26CD3" w:rsidP="00A26CD3">
            <w:pPr>
              <w:spacing w:after="0" w:line="240" w:lineRule="auto"/>
              <w:jc w:val="right"/>
              <w:rPr>
                <w:rFonts w:ascii="Times New Roman" w:eastAsia="Calibri" w:hAnsi="Times New Roman" w:cs="Times New Roman"/>
                <w:b/>
                <w:bCs/>
                <w:sz w:val="18"/>
                <w:szCs w:val="18"/>
              </w:rPr>
            </w:pPr>
            <w:r w:rsidRPr="00A26CD3">
              <w:rPr>
                <w:rFonts w:ascii="Times New Roman" w:eastAsia="Calibri" w:hAnsi="Times New Roman" w:cs="Times New Roman"/>
                <w:b/>
                <w:bCs/>
                <w:sz w:val="18"/>
                <w:szCs w:val="18"/>
              </w:rPr>
              <w:fldChar w:fldCharType="begin"/>
            </w:r>
            <w:r w:rsidRPr="00A26CD3">
              <w:rPr>
                <w:rFonts w:ascii="Times New Roman" w:eastAsia="Calibri" w:hAnsi="Times New Roman" w:cs="Times New Roman"/>
                <w:b/>
                <w:bCs/>
                <w:sz w:val="18"/>
                <w:szCs w:val="18"/>
              </w:rPr>
              <w:instrText xml:space="preserve"> =SUM(ABOVE) </w:instrText>
            </w:r>
            <w:r w:rsidRPr="00A26CD3">
              <w:rPr>
                <w:rFonts w:ascii="Times New Roman" w:eastAsia="Calibri" w:hAnsi="Times New Roman" w:cs="Times New Roman"/>
                <w:b/>
                <w:bCs/>
                <w:sz w:val="18"/>
                <w:szCs w:val="18"/>
              </w:rPr>
              <w:fldChar w:fldCharType="separate"/>
            </w:r>
            <w:r w:rsidRPr="00A26CD3">
              <w:rPr>
                <w:rFonts w:ascii="Times New Roman" w:eastAsia="Calibri" w:hAnsi="Times New Roman" w:cs="Times New Roman"/>
                <w:b/>
                <w:bCs/>
                <w:noProof/>
                <w:sz w:val="18"/>
                <w:szCs w:val="18"/>
              </w:rPr>
              <w:t>2,003,106,286</w:t>
            </w:r>
            <w:r w:rsidRPr="00A26CD3">
              <w:rPr>
                <w:rFonts w:ascii="Times New Roman" w:eastAsia="Calibri" w:hAnsi="Times New Roman" w:cs="Times New Roman"/>
                <w:b/>
                <w:bCs/>
                <w:sz w:val="18"/>
                <w:szCs w:val="18"/>
              </w:rPr>
              <w:fldChar w:fldCharType="end"/>
            </w:r>
          </w:p>
        </w:tc>
      </w:tr>
    </w:tbl>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Los recursos asignados al Instituto Electoral del Estado de México incluyen </w:t>
      </w:r>
      <w:r w:rsidRPr="008C1A33">
        <w:rPr>
          <w:rFonts w:ascii="Times New Roman" w:eastAsia="Calibri" w:hAnsi="Times New Roman" w:cs="Times New Roman"/>
          <w:b/>
          <w:bCs/>
          <w:sz w:val="24"/>
          <w:szCs w:val="24"/>
        </w:rPr>
        <w:t>$1,058,319,026</w:t>
      </w:r>
      <w:r w:rsidRPr="008C1A33">
        <w:rPr>
          <w:rFonts w:ascii="Times New Roman" w:eastAsia="Calibri" w:hAnsi="Times New Roman" w:cs="Times New Roman"/>
          <w:sz w:val="24"/>
          <w:szCs w:val="24"/>
        </w:rPr>
        <w:t xml:space="preserve"> por concepto de prerrogativas para el financiamiento público de los partidos políticos, acceso a los medios de comunicación y desarrollo de las actividades ordinarias permanentes del Instituto, y se distribuyen de la siguiente manera:</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ind w:firstLine="709"/>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Tabla 16. Financiamiento público por partido político</w:t>
      </w:r>
    </w:p>
    <w:p w:rsidR="00A26CD3" w:rsidRPr="008C1A33" w:rsidRDefault="00A26CD3" w:rsidP="00A26CD3">
      <w:pPr>
        <w:spacing w:after="0" w:line="240" w:lineRule="auto"/>
        <w:jc w:val="both"/>
        <w:rPr>
          <w:rFonts w:ascii="Times New Roman" w:eastAsia="Calibri" w:hAnsi="Times New Roman" w:cs="Times New Roman"/>
          <w:sz w:val="24"/>
          <w:szCs w:val="24"/>
        </w:rPr>
      </w:pP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69"/>
        <w:gridCol w:w="2414"/>
        <w:gridCol w:w="1999"/>
        <w:gridCol w:w="1977"/>
      </w:tblGrid>
      <w:tr w:rsidR="00A26CD3" w:rsidRPr="00A26CD3" w:rsidTr="00A26CD3">
        <w:trPr>
          <w:trHeight w:val="329"/>
          <w:tblHeader/>
          <w:jc w:val="center"/>
        </w:trPr>
        <w:tc>
          <w:tcPr>
            <w:tcW w:w="1969" w:type="dxa"/>
            <w:shd w:val="clear" w:color="000000" w:fill="A6A6A6"/>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8"/>
                <w:szCs w:val="18"/>
              </w:rPr>
            </w:pPr>
            <w:r w:rsidRPr="00A26CD3">
              <w:rPr>
                <w:rFonts w:ascii="Times New Roman" w:eastAsia="Times New Roman" w:hAnsi="Times New Roman" w:cs="Times New Roman"/>
                <w:b/>
                <w:bCs/>
                <w:color w:val="000000"/>
                <w:sz w:val="18"/>
                <w:szCs w:val="18"/>
              </w:rPr>
              <w:lastRenderedPageBreak/>
              <w:t>Partido Político</w:t>
            </w:r>
          </w:p>
        </w:tc>
        <w:tc>
          <w:tcPr>
            <w:tcW w:w="2414" w:type="dxa"/>
            <w:shd w:val="clear" w:color="000000" w:fill="A6A6A6"/>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8"/>
                <w:szCs w:val="18"/>
              </w:rPr>
            </w:pPr>
            <w:r w:rsidRPr="00A26CD3">
              <w:rPr>
                <w:rFonts w:ascii="Times New Roman" w:eastAsia="Times New Roman" w:hAnsi="Times New Roman" w:cs="Times New Roman"/>
                <w:b/>
                <w:bCs/>
                <w:color w:val="000000"/>
                <w:sz w:val="18"/>
                <w:szCs w:val="18"/>
              </w:rPr>
              <w:t>Financiamiento Ordinario</w:t>
            </w:r>
          </w:p>
        </w:tc>
        <w:tc>
          <w:tcPr>
            <w:tcW w:w="1999" w:type="dxa"/>
            <w:shd w:val="clear" w:color="000000" w:fill="A6A6A6"/>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8"/>
                <w:szCs w:val="18"/>
              </w:rPr>
            </w:pPr>
            <w:r w:rsidRPr="00A26CD3">
              <w:rPr>
                <w:rFonts w:ascii="Times New Roman" w:eastAsia="Times New Roman" w:hAnsi="Times New Roman" w:cs="Times New Roman"/>
                <w:b/>
                <w:bCs/>
                <w:color w:val="000000"/>
                <w:sz w:val="18"/>
                <w:szCs w:val="18"/>
              </w:rPr>
              <w:t>Financiamiento Específico</w:t>
            </w:r>
          </w:p>
        </w:tc>
        <w:tc>
          <w:tcPr>
            <w:tcW w:w="1977" w:type="dxa"/>
            <w:shd w:val="clear" w:color="000000" w:fill="A6A6A6"/>
            <w:vAlign w:val="center"/>
            <w:hideMark/>
          </w:tcPr>
          <w:p w:rsidR="00A26CD3" w:rsidRPr="00A26CD3" w:rsidRDefault="00A26CD3" w:rsidP="00A26CD3">
            <w:pPr>
              <w:spacing w:after="0" w:line="240" w:lineRule="auto"/>
              <w:jc w:val="center"/>
              <w:rPr>
                <w:rFonts w:ascii="Times New Roman" w:eastAsia="Times New Roman" w:hAnsi="Times New Roman" w:cs="Times New Roman"/>
                <w:b/>
                <w:bCs/>
                <w:color w:val="000000"/>
                <w:sz w:val="18"/>
                <w:szCs w:val="18"/>
              </w:rPr>
            </w:pPr>
            <w:r w:rsidRPr="00A26CD3">
              <w:rPr>
                <w:rFonts w:ascii="Times New Roman" w:eastAsia="Times New Roman" w:hAnsi="Times New Roman" w:cs="Times New Roman"/>
                <w:b/>
                <w:bCs/>
                <w:color w:val="000000"/>
                <w:sz w:val="18"/>
                <w:szCs w:val="18"/>
              </w:rPr>
              <w:t>Total (pesos)</w:t>
            </w:r>
          </w:p>
        </w:tc>
      </w:tr>
      <w:tr w:rsidR="00A26CD3" w:rsidRPr="00A26CD3" w:rsidTr="00A26CD3">
        <w:trPr>
          <w:trHeight w:val="247"/>
          <w:jc w:val="center"/>
        </w:trPr>
        <w:tc>
          <w:tcPr>
            <w:tcW w:w="1969" w:type="dxa"/>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rPr>
            </w:pPr>
            <w:r w:rsidRPr="00A26CD3">
              <w:rPr>
                <w:rFonts w:ascii="Times New Roman" w:eastAsia="Times New Roman" w:hAnsi="Times New Roman" w:cs="Times New Roman"/>
                <w:color w:val="000000"/>
                <w:sz w:val="18"/>
                <w:szCs w:val="18"/>
              </w:rPr>
              <w:t>PAN</w:t>
            </w:r>
          </w:p>
        </w:tc>
        <w:tc>
          <w:tcPr>
            <w:tcW w:w="2414"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126,484,481</w:t>
            </w:r>
          </w:p>
        </w:tc>
        <w:tc>
          <w:tcPr>
            <w:tcW w:w="1999"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3,794,534</w:t>
            </w:r>
          </w:p>
        </w:tc>
        <w:tc>
          <w:tcPr>
            <w:tcW w:w="1977"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130,279,015</w:t>
            </w:r>
          </w:p>
        </w:tc>
      </w:tr>
      <w:tr w:rsidR="00A26CD3" w:rsidRPr="00A26CD3" w:rsidTr="00A26CD3">
        <w:trPr>
          <w:trHeight w:val="247"/>
          <w:jc w:val="center"/>
        </w:trPr>
        <w:tc>
          <w:tcPr>
            <w:tcW w:w="1969" w:type="dxa"/>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rPr>
            </w:pPr>
            <w:r w:rsidRPr="00A26CD3">
              <w:rPr>
                <w:rFonts w:ascii="Times New Roman" w:eastAsia="Times New Roman" w:hAnsi="Times New Roman" w:cs="Times New Roman"/>
                <w:color w:val="000000"/>
                <w:sz w:val="18"/>
                <w:szCs w:val="18"/>
              </w:rPr>
              <w:t>PRI</w:t>
            </w:r>
          </w:p>
        </w:tc>
        <w:tc>
          <w:tcPr>
            <w:tcW w:w="2414"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170,196,743</w:t>
            </w:r>
          </w:p>
        </w:tc>
        <w:tc>
          <w:tcPr>
            <w:tcW w:w="1999"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5,105,902</w:t>
            </w:r>
          </w:p>
        </w:tc>
        <w:tc>
          <w:tcPr>
            <w:tcW w:w="1977"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175,302,645</w:t>
            </w:r>
          </w:p>
        </w:tc>
      </w:tr>
      <w:tr w:rsidR="00A26CD3" w:rsidRPr="00A26CD3" w:rsidTr="00A26CD3">
        <w:trPr>
          <w:trHeight w:val="247"/>
          <w:jc w:val="center"/>
        </w:trPr>
        <w:tc>
          <w:tcPr>
            <w:tcW w:w="1969" w:type="dxa"/>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rPr>
            </w:pPr>
            <w:r w:rsidRPr="00A26CD3">
              <w:rPr>
                <w:rFonts w:ascii="Times New Roman" w:eastAsia="Times New Roman" w:hAnsi="Times New Roman" w:cs="Times New Roman"/>
                <w:color w:val="000000"/>
                <w:sz w:val="18"/>
                <w:szCs w:val="18"/>
              </w:rPr>
              <w:t>PT</w:t>
            </w:r>
          </w:p>
        </w:tc>
        <w:tc>
          <w:tcPr>
            <w:tcW w:w="2414" w:type="dxa"/>
            <w:noWrap/>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84,152,989</w:t>
            </w:r>
          </w:p>
        </w:tc>
        <w:tc>
          <w:tcPr>
            <w:tcW w:w="1999"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2,524,590</w:t>
            </w:r>
          </w:p>
        </w:tc>
        <w:tc>
          <w:tcPr>
            <w:tcW w:w="1977" w:type="dxa"/>
            <w:noWrap/>
            <w:hideMark/>
          </w:tcPr>
          <w:p w:rsidR="00A26CD3" w:rsidRPr="00A26CD3" w:rsidRDefault="00A26CD3" w:rsidP="00A26CD3">
            <w:pPr>
              <w:spacing w:after="0" w:line="240" w:lineRule="auto"/>
              <w:jc w:val="right"/>
              <w:rPr>
                <w:rFonts w:ascii="Times New Roman" w:eastAsia="Calibri" w:hAnsi="Times New Roman" w:cs="Times New Roman"/>
                <w:kern w:val="2"/>
                <w:sz w:val="18"/>
                <w:szCs w:val="18"/>
              </w:rPr>
            </w:pPr>
            <w:r w:rsidRPr="00A26CD3">
              <w:rPr>
                <w:rFonts w:ascii="Times New Roman" w:eastAsia="Calibri" w:hAnsi="Times New Roman" w:cs="Times New Roman"/>
                <w:kern w:val="2"/>
                <w:sz w:val="18"/>
                <w:szCs w:val="18"/>
              </w:rPr>
              <w:t>86,677,579</w:t>
            </w:r>
          </w:p>
        </w:tc>
      </w:tr>
      <w:tr w:rsidR="00A26CD3" w:rsidRPr="00A26CD3" w:rsidTr="00A26CD3">
        <w:trPr>
          <w:trHeight w:val="247"/>
          <w:jc w:val="center"/>
        </w:trPr>
        <w:tc>
          <w:tcPr>
            <w:tcW w:w="1969" w:type="dxa"/>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rPr>
            </w:pPr>
            <w:r w:rsidRPr="00A26CD3">
              <w:rPr>
                <w:rFonts w:ascii="Times New Roman" w:eastAsia="Times New Roman" w:hAnsi="Times New Roman" w:cs="Times New Roman"/>
                <w:color w:val="000000"/>
                <w:sz w:val="18"/>
                <w:szCs w:val="18"/>
              </w:rPr>
              <w:t>PVEM</w:t>
            </w:r>
          </w:p>
        </w:tc>
        <w:tc>
          <w:tcPr>
            <w:tcW w:w="2414" w:type="dxa"/>
            <w:noWrap/>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101,038,579</w:t>
            </w:r>
          </w:p>
        </w:tc>
        <w:tc>
          <w:tcPr>
            <w:tcW w:w="1999"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3,031,157</w:t>
            </w:r>
          </w:p>
        </w:tc>
        <w:tc>
          <w:tcPr>
            <w:tcW w:w="1977"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104,069,736</w:t>
            </w:r>
          </w:p>
        </w:tc>
      </w:tr>
      <w:tr w:rsidR="00A26CD3" w:rsidRPr="00A26CD3" w:rsidTr="00A26CD3">
        <w:trPr>
          <w:trHeight w:val="247"/>
          <w:jc w:val="center"/>
        </w:trPr>
        <w:tc>
          <w:tcPr>
            <w:tcW w:w="1969" w:type="dxa"/>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rPr>
            </w:pPr>
            <w:r w:rsidRPr="00A26CD3">
              <w:rPr>
                <w:rFonts w:ascii="Times New Roman" w:eastAsia="Times New Roman" w:hAnsi="Times New Roman" w:cs="Times New Roman"/>
                <w:color w:val="000000"/>
                <w:sz w:val="18"/>
                <w:szCs w:val="18"/>
              </w:rPr>
              <w:t>MC</w:t>
            </w:r>
          </w:p>
        </w:tc>
        <w:tc>
          <w:tcPr>
            <w:tcW w:w="2414" w:type="dxa"/>
            <w:noWrap/>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120,434,686</w:t>
            </w:r>
          </w:p>
        </w:tc>
        <w:tc>
          <w:tcPr>
            <w:tcW w:w="1999"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3,613,041</w:t>
            </w:r>
          </w:p>
        </w:tc>
        <w:tc>
          <w:tcPr>
            <w:tcW w:w="1977"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124,047,726</w:t>
            </w:r>
          </w:p>
        </w:tc>
      </w:tr>
      <w:tr w:rsidR="00A26CD3" w:rsidRPr="00A26CD3" w:rsidTr="00A26CD3">
        <w:trPr>
          <w:trHeight w:val="247"/>
          <w:jc w:val="center"/>
        </w:trPr>
        <w:tc>
          <w:tcPr>
            <w:tcW w:w="1969" w:type="dxa"/>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rPr>
            </w:pPr>
            <w:r w:rsidRPr="00A26CD3">
              <w:rPr>
                <w:rFonts w:ascii="Times New Roman" w:eastAsia="Times New Roman" w:hAnsi="Times New Roman" w:cs="Times New Roman"/>
                <w:color w:val="000000"/>
                <w:sz w:val="18"/>
                <w:szCs w:val="18"/>
              </w:rPr>
              <w:t>MORENA</w:t>
            </w:r>
          </w:p>
        </w:tc>
        <w:tc>
          <w:tcPr>
            <w:tcW w:w="2414" w:type="dxa"/>
            <w:noWrap/>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350,112,445</w:t>
            </w:r>
          </w:p>
        </w:tc>
        <w:tc>
          <w:tcPr>
            <w:tcW w:w="1999"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10,503,373</w:t>
            </w:r>
          </w:p>
        </w:tc>
        <w:tc>
          <w:tcPr>
            <w:tcW w:w="1977"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360,615,819</w:t>
            </w:r>
          </w:p>
        </w:tc>
      </w:tr>
      <w:tr w:rsidR="00A26CD3" w:rsidRPr="00A26CD3" w:rsidTr="00A26CD3">
        <w:trPr>
          <w:trHeight w:val="247"/>
          <w:jc w:val="center"/>
        </w:trPr>
        <w:tc>
          <w:tcPr>
            <w:tcW w:w="1969" w:type="dxa"/>
            <w:noWrap/>
            <w:vAlign w:val="center"/>
            <w:hideMark/>
          </w:tcPr>
          <w:p w:rsidR="00A26CD3" w:rsidRPr="00A26CD3" w:rsidRDefault="00A26CD3" w:rsidP="00A26CD3">
            <w:pPr>
              <w:spacing w:after="0" w:line="240" w:lineRule="auto"/>
              <w:rPr>
                <w:rFonts w:ascii="Times New Roman" w:eastAsia="Times New Roman" w:hAnsi="Times New Roman" w:cs="Times New Roman"/>
                <w:color w:val="000000"/>
                <w:sz w:val="18"/>
                <w:szCs w:val="18"/>
              </w:rPr>
            </w:pPr>
            <w:r w:rsidRPr="00A26CD3">
              <w:rPr>
                <w:rFonts w:ascii="Times New Roman" w:eastAsia="Times New Roman" w:hAnsi="Times New Roman" w:cs="Times New Roman"/>
                <w:color w:val="000000"/>
                <w:sz w:val="18"/>
                <w:szCs w:val="18"/>
              </w:rPr>
              <w:t>PRD EDOMEX</w:t>
            </w:r>
          </w:p>
        </w:tc>
        <w:tc>
          <w:tcPr>
            <w:tcW w:w="2414" w:type="dxa"/>
            <w:noWrap/>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75,074,278</w:t>
            </w:r>
          </w:p>
        </w:tc>
        <w:tc>
          <w:tcPr>
            <w:tcW w:w="1999"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2,252,228</w:t>
            </w:r>
          </w:p>
        </w:tc>
        <w:tc>
          <w:tcPr>
            <w:tcW w:w="1977" w:type="dxa"/>
            <w:noWrap/>
            <w:hideMark/>
          </w:tcPr>
          <w:p w:rsidR="00A26CD3" w:rsidRPr="00A26CD3" w:rsidRDefault="00A26CD3" w:rsidP="00A26CD3">
            <w:pPr>
              <w:spacing w:after="0" w:line="240" w:lineRule="auto"/>
              <w:jc w:val="right"/>
              <w:rPr>
                <w:rFonts w:ascii="Times New Roman" w:eastAsia="Times New Roman" w:hAnsi="Times New Roman" w:cs="Times New Roman"/>
                <w:color w:val="000000"/>
                <w:sz w:val="18"/>
                <w:szCs w:val="18"/>
              </w:rPr>
            </w:pPr>
            <w:r w:rsidRPr="00A26CD3">
              <w:rPr>
                <w:rFonts w:ascii="Times New Roman" w:eastAsia="Calibri" w:hAnsi="Times New Roman" w:cs="Times New Roman"/>
                <w:kern w:val="2"/>
                <w:sz w:val="18"/>
                <w:szCs w:val="18"/>
              </w:rPr>
              <w:t>77,326,506</w:t>
            </w:r>
          </w:p>
        </w:tc>
      </w:tr>
      <w:tr w:rsidR="00A26CD3" w:rsidRPr="00A26CD3" w:rsidTr="00A26CD3">
        <w:trPr>
          <w:trHeight w:val="247"/>
          <w:jc w:val="center"/>
        </w:trPr>
        <w:tc>
          <w:tcPr>
            <w:tcW w:w="1969" w:type="dxa"/>
            <w:shd w:val="clear" w:color="000000" w:fill="A6A6A6"/>
            <w:noWrap/>
            <w:vAlign w:val="center"/>
            <w:hideMark/>
          </w:tcPr>
          <w:p w:rsidR="00A26CD3" w:rsidRPr="00A26CD3" w:rsidRDefault="00A26CD3" w:rsidP="00A26CD3">
            <w:pPr>
              <w:spacing w:after="0" w:line="240" w:lineRule="auto"/>
              <w:rPr>
                <w:rFonts w:ascii="Times New Roman" w:eastAsia="Times New Roman" w:hAnsi="Times New Roman" w:cs="Times New Roman"/>
                <w:b/>
                <w:bCs/>
                <w:color w:val="000000"/>
                <w:sz w:val="18"/>
                <w:szCs w:val="18"/>
              </w:rPr>
            </w:pPr>
            <w:r w:rsidRPr="00A26CD3">
              <w:rPr>
                <w:rFonts w:ascii="Times New Roman" w:eastAsia="Times New Roman" w:hAnsi="Times New Roman" w:cs="Times New Roman"/>
                <w:b/>
                <w:bCs/>
                <w:color w:val="000000"/>
                <w:sz w:val="18"/>
                <w:szCs w:val="18"/>
              </w:rPr>
              <w:t>Total</w:t>
            </w:r>
          </w:p>
        </w:tc>
        <w:tc>
          <w:tcPr>
            <w:tcW w:w="2414" w:type="dxa"/>
            <w:shd w:val="clear" w:color="000000" w:fill="A6A6A6"/>
            <w:noWrap/>
            <w:hideMark/>
          </w:tcPr>
          <w:p w:rsidR="00A26CD3" w:rsidRPr="00A26CD3" w:rsidRDefault="00A26CD3" w:rsidP="00A26CD3">
            <w:pPr>
              <w:spacing w:after="0" w:line="240" w:lineRule="auto"/>
              <w:jc w:val="right"/>
              <w:rPr>
                <w:rFonts w:ascii="Times New Roman" w:eastAsia="Times New Roman" w:hAnsi="Times New Roman" w:cs="Times New Roman"/>
                <w:b/>
                <w:bCs/>
                <w:color w:val="000000"/>
                <w:sz w:val="18"/>
                <w:szCs w:val="18"/>
              </w:rPr>
            </w:pPr>
            <w:r w:rsidRPr="00A26CD3">
              <w:rPr>
                <w:rFonts w:ascii="Times New Roman" w:eastAsia="Times New Roman" w:hAnsi="Times New Roman" w:cs="Times New Roman"/>
                <w:b/>
                <w:bCs/>
                <w:color w:val="000000"/>
                <w:sz w:val="18"/>
                <w:szCs w:val="18"/>
              </w:rPr>
              <w:t>1,027,494,200</w:t>
            </w:r>
          </w:p>
        </w:tc>
        <w:tc>
          <w:tcPr>
            <w:tcW w:w="1999" w:type="dxa"/>
            <w:shd w:val="clear" w:color="000000" w:fill="A6A6A6"/>
            <w:noWrap/>
            <w:hideMark/>
          </w:tcPr>
          <w:p w:rsidR="00A26CD3" w:rsidRPr="00A26CD3" w:rsidRDefault="00A26CD3" w:rsidP="00A26CD3">
            <w:pPr>
              <w:spacing w:after="0" w:line="240" w:lineRule="auto"/>
              <w:jc w:val="right"/>
              <w:rPr>
                <w:rFonts w:ascii="Times New Roman" w:eastAsia="Times New Roman" w:hAnsi="Times New Roman" w:cs="Times New Roman"/>
                <w:b/>
                <w:bCs/>
                <w:color w:val="000000"/>
                <w:sz w:val="18"/>
                <w:szCs w:val="18"/>
              </w:rPr>
            </w:pPr>
            <w:r w:rsidRPr="00A26CD3">
              <w:rPr>
                <w:rFonts w:ascii="Times New Roman" w:eastAsia="Times New Roman" w:hAnsi="Times New Roman" w:cs="Times New Roman"/>
                <w:b/>
                <w:bCs/>
                <w:color w:val="000000"/>
                <w:sz w:val="18"/>
                <w:szCs w:val="18"/>
              </w:rPr>
              <w:t>30,824,826</w:t>
            </w:r>
          </w:p>
        </w:tc>
        <w:tc>
          <w:tcPr>
            <w:tcW w:w="1977" w:type="dxa"/>
            <w:shd w:val="clear" w:color="000000" w:fill="A6A6A6"/>
            <w:noWrap/>
            <w:hideMark/>
          </w:tcPr>
          <w:p w:rsidR="00A26CD3" w:rsidRPr="00A26CD3" w:rsidRDefault="00A26CD3" w:rsidP="00A26CD3">
            <w:pPr>
              <w:spacing w:after="0" w:line="240" w:lineRule="auto"/>
              <w:jc w:val="right"/>
              <w:rPr>
                <w:rFonts w:ascii="Times New Roman" w:eastAsia="Times New Roman" w:hAnsi="Times New Roman" w:cs="Times New Roman"/>
                <w:b/>
                <w:bCs/>
                <w:color w:val="000000"/>
                <w:sz w:val="18"/>
                <w:szCs w:val="18"/>
              </w:rPr>
            </w:pPr>
            <w:r w:rsidRPr="00A26CD3">
              <w:rPr>
                <w:rFonts w:ascii="Times New Roman" w:eastAsia="Calibri" w:hAnsi="Times New Roman" w:cs="Times New Roman"/>
                <w:b/>
                <w:bCs/>
                <w:kern w:val="2"/>
                <w:sz w:val="18"/>
                <w:szCs w:val="18"/>
              </w:rPr>
              <w:t>1,058,319,026</w:t>
            </w:r>
          </w:p>
        </w:tc>
      </w:tr>
    </w:tbl>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Los importes señalados en el cuadro anterior, resultaron de multiplicar la estimación anticipada del valor diario de la Unidad de Medida y Actualización (UMA) para el año 2026, por el padrón electoral, de conformidad con lo dispuesto en el Código Electoral del Estado de México; por lo que, una vez publicado el valor de la UMA para el ejercicio fiscal 2026, se realizará el cálculo con los factores aplicables, a fin de obtener la cantidad base que será asignada a los partidos políticos por concepto de financiamiento público y determinar la distribución correspondiente.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Los recursos estipulados en el párrafo anterior, que al cierre del Ejercicio Fiscal no hayan sido ejercidos, se deberán reintegrar a la Secretaría, antes de concluir el primer trimestre del siguiente año, de acuerdo con lo dispuesto en el Código Electoral del Estado de México.</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Los Órganos de Gobierno de las instituciones electorales, comunicarán al Ejecutivo del Estado, a través de la Secretaría, el calendario de recursos asignados, a más tardar dentro de los 15 días hábiles posteriores a la publicación del presente Decreto, de igual forma remitirán la información de los resultados y la situación financiera para la integración de la Cuenta Pública, en los términos de la normatividad aplicable.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V</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Comisión de Derechos Humanos del Estado de México</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23.</w:t>
      </w:r>
      <w:r w:rsidRPr="008C1A33">
        <w:rPr>
          <w:rFonts w:ascii="Times New Roman" w:eastAsia="Calibri" w:hAnsi="Times New Roman" w:cs="Times New Roman"/>
          <w:sz w:val="24"/>
          <w:szCs w:val="24"/>
        </w:rPr>
        <w:t xml:space="preserve"> A la Comisión de Derechos Humanos del Estado de México, le corresponde la cantidad de </w:t>
      </w:r>
      <w:r w:rsidRPr="008C1A33">
        <w:rPr>
          <w:rFonts w:ascii="Times New Roman" w:eastAsia="Calibri" w:hAnsi="Times New Roman" w:cs="Times New Roman"/>
          <w:b/>
          <w:bCs/>
          <w:sz w:val="24"/>
          <w:szCs w:val="24"/>
        </w:rPr>
        <w:t xml:space="preserve">$289,237,067, </w:t>
      </w:r>
      <w:r w:rsidRPr="008C1A33">
        <w:rPr>
          <w:rFonts w:ascii="Times New Roman" w:eastAsia="Calibri" w:hAnsi="Times New Roman" w:cs="Times New Roman"/>
          <w:bCs/>
          <w:sz w:val="24"/>
          <w:szCs w:val="24"/>
        </w:rPr>
        <w:t>que</w:t>
      </w:r>
      <w:r w:rsidRPr="008C1A33">
        <w:rPr>
          <w:rFonts w:ascii="Times New Roman" w:eastAsia="Calibri" w:hAnsi="Times New Roman" w:cs="Times New Roman"/>
          <w:b/>
          <w:bCs/>
          <w:sz w:val="24"/>
          <w:szCs w:val="24"/>
        </w:rPr>
        <w:t xml:space="preserve"> </w:t>
      </w:r>
      <w:r w:rsidRPr="008C1A33">
        <w:rPr>
          <w:rFonts w:ascii="Times New Roman" w:eastAsia="Calibri" w:hAnsi="Times New Roman" w:cs="Times New Roman"/>
          <w:sz w:val="24"/>
          <w:szCs w:val="24"/>
        </w:rPr>
        <w:t>incluye las previsiones por servicios personales, medidas salariales y gastos de operación.</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La persona titular de la Comisión de Derechos Humanos del Estado de México deberá comunicar al Ejecutivo del Estado por conducto de la Secretaría, el calendario de ministraciones asignadas, a más tardar dentro de los 15 días hábiles siguientes </w:t>
      </w:r>
      <w:r w:rsidRPr="008C1A33">
        <w:rPr>
          <w:rFonts w:ascii="Times New Roman" w:eastAsia="Bookman Old Style" w:hAnsi="Times New Roman" w:cs="Times New Roman"/>
          <w:sz w:val="24"/>
          <w:szCs w:val="24"/>
        </w:rPr>
        <w:t xml:space="preserve">a la entrada en vigor </w:t>
      </w:r>
      <w:r w:rsidRPr="008C1A33">
        <w:rPr>
          <w:rFonts w:ascii="Times New Roman" w:eastAsia="Calibri" w:hAnsi="Times New Roman" w:cs="Times New Roman"/>
          <w:sz w:val="24"/>
          <w:szCs w:val="24"/>
        </w:rPr>
        <w:t>del presente Decreto y remitir la información correspondiente sobre normatividad de los resultados y la situación financiera para la integración de la Cuenta Pública, conforme a la normativa aplicable.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VI</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Instituto de Transparencia, Acceso a la Información Pública y Protección de Datos Personales del Estado de México y Municipios</w:t>
      </w:r>
    </w:p>
    <w:p w:rsidR="00A26CD3" w:rsidRPr="008C1A33" w:rsidRDefault="00A26CD3" w:rsidP="00A26CD3">
      <w:pPr>
        <w:spacing w:after="0" w:line="240" w:lineRule="auto"/>
        <w:jc w:val="center"/>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24.</w:t>
      </w:r>
      <w:r w:rsidRPr="008C1A33">
        <w:rPr>
          <w:rFonts w:ascii="Times New Roman" w:eastAsia="Calibri" w:hAnsi="Times New Roman" w:cs="Times New Roman"/>
          <w:sz w:val="24"/>
          <w:szCs w:val="24"/>
        </w:rPr>
        <w:t xml:space="preserve"> Se destinarán recursos por la cantidad de </w:t>
      </w:r>
      <w:r w:rsidRPr="008C1A33">
        <w:rPr>
          <w:rFonts w:ascii="Times New Roman" w:eastAsia="Calibri" w:hAnsi="Times New Roman" w:cs="Times New Roman"/>
          <w:b/>
          <w:sz w:val="24"/>
          <w:szCs w:val="24"/>
        </w:rPr>
        <w:t xml:space="preserve">$91,810,000 </w:t>
      </w:r>
      <w:r w:rsidRPr="008C1A33">
        <w:rPr>
          <w:rFonts w:ascii="Times New Roman" w:eastAsia="Calibri" w:hAnsi="Times New Roman" w:cs="Times New Roman"/>
          <w:sz w:val="24"/>
          <w:szCs w:val="24"/>
        </w:rPr>
        <w:t>que incluyen las previsiones para servicios personales, medidas salariales y gastos de operación.</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El Instituto de Transparencia, Acceso a la Información Pública y Protección de Datos Personales del Estado de México y Municipios, deberá comunicar al Ejecutivo del Estado, por conducto de la </w:t>
      </w:r>
      <w:r w:rsidRPr="008C1A33">
        <w:rPr>
          <w:rFonts w:ascii="Times New Roman" w:eastAsia="Calibri" w:hAnsi="Times New Roman" w:cs="Times New Roman"/>
          <w:sz w:val="24"/>
          <w:szCs w:val="24"/>
        </w:rPr>
        <w:lastRenderedPageBreak/>
        <w:t>Secretaría, el calendario de ministraciones asignadas, a más tardar 15 días hábiles posteriores a la publicación del presente Decreto y remitir la información de los resultados y la situación financiera para la integración de la Cuenta Pública correspondiente, conforme a la normatividad aplicable.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VII</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Universidad Autónoma del Estado de México</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25.</w:t>
      </w:r>
      <w:r w:rsidRPr="008C1A33">
        <w:rPr>
          <w:rFonts w:ascii="Times New Roman" w:eastAsia="Calibri" w:hAnsi="Times New Roman" w:cs="Times New Roman"/>
          <w:sz w:val="24"/>
          <w:szCs w:val="24"/>
        </w:rPr>
        <w:t xml:space="preserve"> A la Universidad Autónoma del Estado de México, se le destinarán recursos por la cantidad de </w:t>
      </w:r>
      <w:r w:rsidRPr="008C1A33">
        <w:rPr>
          <w:rFonts w:ascii="Times New Roman" w:eastAsia="Calibri" w:hAnsi="Times New Roman" w:cs="Times New Roman"/>
          <w:b/>
          <w:bCs/>
          <w:sz w:val="24"/>
          <w:szCs w:val="24"/>
        </w:rPr>
        <w:t xml:space="preserve">$6,484,542,370 </w:t>
      </w:r>
      <w:r w:rsidRPr="008C1A33">
        <w:rPr>
          <w:rFonts w:ascii="Times New Roman" w:eastAsia="Calibri" w:hAnsi="Times New Roman" w:cs="Times New Roman"/>
          <w:sz w:val="24"/>
          <w:szCs w:val="24"/>
        </w:rPr>
        <w:t xml:space="preserve">que comprenden transferencias estatales, recursos federales, e ingresos propios generados por la Institución.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Los recursos previstos para la Universidad Autónoma del Estado de México se distribuirán de la siguiente manera:</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 xml:space="preserve">Tabla 17. Distribución del presupuesto por fuente de financiamiento </w:t>
      </w:r>
    </w:p>
    <w:p w:rsidR="00A26CD3" w:rsidRPr="008C1A33" w:rsidRDefault="00A26CD3" w:rsidP="00A26CD3">
      <w:pPr>
        <w:spacing w:after="0" w:line="240" w:lineRule="auto"/>
        <w:jc w:val="both"/>
        <w:rPr>
          <w:rFonts w:ascii="Times New Roman" w:eastAsia="Calibri" w:hAnsi="Times New Roman" w:cs="Times New Roman"/>
          <w:b/>
          <w:bCs/>
          <w:sz w:val="24"/>
          <w:szCs w:val="24"/>
        </w:rPr>
      </w:pPr>
    </w:p>
    <w:tbl>
      <w:tblPr>
        <w:tblW w:w="5000" w:type="pct"/>
        <w:tblCellMar>
          <w:left w:w="70" w:type="dxa"/>
          <w:right w:w="70" w:type="dxa"/>
        </w:tblCellMar>
        <w:tblLook w:val="04A0" w:firstRow="1" w:lastRow="0" w:firstColumn="1" w:lastColumn="0" w:noHBand="0" w:noVBand="1"/>
      </w:tblPr>
      <w:tblGrid>
        <w:gridCol w:w="2330"/>
        <w:gridCol w:w="2413"/>
        <w:gridCol w:w="2576"/>
        <w:gridCol w:w="2076"/>
      </w:tblGrid>
      <w:tr w:rsidR="00A26CD3" w:rsidRPr="008C1A33" w:rsidTr="00A26CD3">
        <w:trPr>
          <w:trHeight w:val="310"/>
        </w:trPr>
        <w:tc>
          <w:tcPr>
            <w:tcW w:w="1240" w:type="pct"/>
            <w:tcBorders>
              <w:top w:val="single" w:sz="4" w:space="0" w:color="auto"/>
              <w:left w:val="single" w:sz="4" w:space="0" w:color="000000"/>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Recursos Federales</w:t>
            </w:r>
          </w:p>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Etiquetados</w:t>
            </w:r>
          </w:p>
        </w:tc>
        <w:tc>
          <w:tcPr>
            <w:tcW w:w="1284" w:type="pct"/>
            <w:tcBorders>
              <w:top w:val="single" w:sz="4" w:space="0" w:color="auto"/>
              <w:left w:val="nil"/>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Recursos Federales</w:t>
            </w:r>
          </w:p>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No Etiquetados</w:t>
            </w:r>
          </w:p>
        </w:tc>
        <w:tc>
          <w:tcPr>
            <w:tcW w:w="1371" w:type="pct"/>
            <w:tcBorders>
              <w:top w:val="single" w:sz="4" w:space="0" w:color="auto"/>
              <w:left w:val="nil"/>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Recaudación Propia</w:t>
            </w:r>
          </w:p>
        </w:tc>
        <w:tc>
          <w:tcPr>
            <w:tcW w:w="1105" w:type="pct"/>
            <w:tcBorders>
              <w:top w:val="single" w:sz="4" w:space="0" w:color="auto"/>
              <w:left w:val="nil"/>
              <w:bottom w:val="single" w:sz="4" w:space="0" w:color="000000"/>
              <w:right w:val="single" w:sz="4" w:space="0" w:color="000000"/>
            </w:tcBorders>
            <w:shd w:val="clear" w:color="C2C2C2" w:fill="C2C2C2"/>
            <w:noWrap/>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Total</w:t>
            </w:r>
          </w:p>
        </w:tc>
      </w:tr>
      <w:tr w:rsidR="00A26CD3" w:rsidRPr="008C1A33" w:rsidTr="00A26CD3">
        <w:trPr>
          <w:trHeight w:val="290"/>
        </w:trPr>
        <w:tc>
          <w:tcPr>
            <w:tcW w:w="1240" w:type="pct"/>
            <w:tcBorders>
              <w:top w:val="nil"/>
              <w:left w:val="single" w:sz="4" w:space="0" w:color="000000"/>
              <w:bottom w:val="single" w:sz="4" w:space="0" w:color="000000"/>
              <w:right w:val="single" w:sz="4" w:space="0" w:color="000000"/>
            </w:tcBorders>
            <w:noWrap/>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2,430,371,930</w:t>
            </w:r>
          </w:p>
        </w:tc>
        <w:tc>
          <w:tcPr>
            <w:tcW w:w="1284" w:type="pct"/>
            <w:tcBorders>
              <w:top w:val="nil"/>
              <w:left w:val="nil"/>
              <w:bottom w:val="single" w:sz="4" w:space="0" w:color="000000"/>
              <w:right w:val="single" w:sz="4" w:space="0" w:color="000000"/>
            </w:tcBorders>
            <w:noWrap/>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3,233,280,312</w:t>
            </w:r>
          </w:p>
        </w:tc>
        <w:tc>
          <w:tcPr>
            <w:tcW w:w="1371" w:type="pct"/>
            <w:tcBorders>
              <w:top w:val="nil"/>
              <w:left w:val="nil"/>
              <w:bottom w:val="single" w:sz="4" w:space="0" w:color="000000"/>
              <w:right w:val="single" w:sz="4" w:space="0" w:color="000000"/>
            </w:tcBorders>
            <w:noWrap/>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820,890,128</w:t>
            </w:r>
          </w:p>
        </w:tc>
        <w:tc>
          <w:tcPr>
            <w:tcW w:w="1105" w:type="pct"/>
            <w:tcBorders>
              <w:top w:val="nil"/>
              <w:left w:val="nil"/>
              <w:bottom w:val="single" w:sz="4" w:space="0" w:color="000000"/>
              <w:right w:val="single" w:sz="4" w:space="0" w:color="000000"/>
            </w:tcBorders>
            <w:noWrap/>
            <w:vAlign w:val="center"/>
            <w:hideMark/>
          </w:tcPr>
          <w:p w:rsidR="00A26CD3" w:rsidRPr="008C1A33" w:rsidRDefault="00A26CD3" w:rsidP="00A26CD3">
            <w:pPr>
              <w:spacing w:after="0" w:line="240" w:lineRule="auto"/>
              <w:jc w:val="right"/>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6,484,542,370</w:t>
            </w:r>
          </w:p>
        </w:tc>
      </w:tr>
    </w:tbl>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El Órgano de Gobierno de la Universidad Autónoma del Estado de México, deberá comunicar al Ejecutivo del Estado, por conducto de la Secretaría, el calendario de ministraciones asignadas, a más tardar dentro de los 15 días hábiles siguientes </w:t>
      </w:r>
      <w:r w:rsidRPr="008C1A33">
        <w:rPr>
          <w:rFonts w:ascii="Times New Roman" w:eastAsia="Bookman Old Style" w:hAnsi="Times New Roman" w:cs="Times New Roman"/>
          <w:sz w:val="24"/>
          <w:szCs w:val="24"/>
        </w:rPr>
        <w:t xml:space="preserve">a la entrada en vigor </w:t>
      </w:r>
      <w:r w:rsidRPr="008C1A33">
        <w:rPr>
          <w:rFonts w:ascii="Times New Roman" w:eastAsia="Calibri" w:hAnsi="Times New Roman" w:cs="Times New Roman"/>
          <w:sz w:val="24"/>
          <w:szCs w:val="24"/>
        </w:rPr>
        <w:t>del presente Decreto y remitir la información de los resultados y la situación financiera para la integración de la Cuenta Pública, conforme a la normatividad aplicable.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VIII</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Fiscalía General de Justicia del Estado de México</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26.</w:t>
      </w:r>
      <w:r w:rsidRPr="008C1A33">
        <w:rPr>
          <w:rFonts w:ascii="Times New Roman" w:eastAsia="Calibri" w:hAnsi="Times New Roman" w:cs="Times New Roman"/>
          <w:sz w:val="24"/>
          <w:szCs w:val="24"/>
        </w:rPr>
        <w:t xml:space="preserve"> Al Organismo Autónomo, denominado Fiscalía General de Justicia del Estado de México, se destinarán recursos por la cantidad de </w:t>
      </w:r>
      <w:r w:rsidRPr="008C1A33">
        <w:rPr>
          <w:rFonts w:ascii="Times New Roman" w:eastAsia="Calibri" w:hAnsi="Times New Roman" w:cs="Times New Roman"/>
          <w:b/>
          <w:bCs/>
          <w:sz w:val="24"/>
          <w:szCs w:val="24"/>
        </w:rPr>
        <w:t>$5,403,972,007</w:t>
      </w:r>
      <w:r w:rsidRPr="008C1A33">
        <w:rPr>
          <w:rFonts w:ascii="Times New Roman" w:eastAsia="Calibri" w:hAnsi="Times New Roman" w:cs="Times New Roman"/>
          <w:sz w:val="24"/>
          <w:szCs w:val="24"/>
        </w:rPr>
        <w:t xml:space="preserve"> que incluyen las previsiones para servicios personales, medidas salariales y gastos de operación, así como inversión en infraestructura institucional.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La persona titular de la Fiscalía General deberá comunicar al Ejecutivo del Estado, por conducto de la Secretaría, el calendario de ministraciones asignadas, a más tardar dentro de los 15 días hábiles siguientes </w:t>
      </w:r>
      <w:r w:rsidRPr="008C1A33">
        <w:rPr>
          <w:rFonts w:ascii="Times New Roman" w:eastAsia="Bookman Old Style" w:hAnsi="Times New Roman" w:cs="Times New Roman"/>
          <w:sz w:val="24"/>
          <w:szCs w:val="24"/>
        </w:rPr>
        <w:t xml:space="preserve">a la entrada en vigor </w:t>
      </w:r>
      <w:r w:rsidRPr="008C1A33">
        <w:rPr>
          <w:rFonts w:ascii="Times New Roman" w:eastAsia="Calibri" w:hAnsi="Times New Roman" w:cs="Times New Roman"/>
          <w:sz w:val="24"/>
          <w:szCs w:val="24"/>
        </w:rPr>
        <w:t>del presente Decreto y remitir la información de los resultados y la situación financiera correspondiente para la integración de la Cuenta Pública, conforme a la normativa aplicable.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IX</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Tribunal de Justicia Administrativa del Estado de México</w:t>
      </w:r>
    </w:p>
    <w:p w:rsidR="00A26CD3" w:rsidRPr="008C1A33" w:rsidRDefault="00A26CD3" w:rsidP="00A26CD3">
      <w:pPr>
        <w:spacing w:after="0" w:line="240" w:lineRule="auto"/>
        <w:jc w:val="both"/>
        <w:rPr>
          <w:rFonts w:ascii="Times New Roman" w:eastAsia="Calibri" w:hAnsi="Times New Roman" w:cs="Times New Roman"/>
          <w:b/>
          <w:bCs/>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27.</w:t>
      </w:r>
      <w:r w:rsidRPr="008C1A33">
        <w:rPr>
          <w:rFonts w:ascii="Times New Roman" w:eastAsia="Calibri" w:hAnsi="Times New Roman" w:cs="Times New Roman"/>
          <w:sz w:val="24"/>
          <w:szCs w:val="24"/>
        </w:rPr>
        <w:t xml:space="preserve"> Al Organismo Autónomo, denominado Tribunal de Justicia Administrativa del Estado de México, se destinarán recursos por la cantidad de </w:t>
      </w:r>
      <w:r w:rsidRPr="008C1A33">
        <w:rPr>
          <w:rFonts w:ascii="Times New Roman" w:eastAsia="Calibri" w:hAnsi="Times New Roman" w:cs="Times New Roman"/>
          <w:b/>
          <w:bCs/>
          <w:sz w:val="24"/>
          <w:szCs w:val="24"/>
        </w:rPr>
        <w:t xml:space="preserve">$322,621,698 </w:t>
      </w:r>
      <w:r w:rsidRPr="008C1A33">
        <w:rPr>
          <w:rFonts w:ascii="Times New Roman" w:eastAsia="Calibri" w:hAnsi="Times New Roman" w:cs="Times New Roman"/>
          <w:sz w:val="24"/>
          <w:szCs w:val="24"/>
        </w:rPr>
        <w:t>que incluyen las previsiones para servicios personales, medidas salariales y gastos de operación.</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El Presidente del Tribunal de Justicia Administrativa del Estado de México, deberá comunicar al Ejecutivo del Estado por conducto de la Secretaría, el calendario de ministraciones asignadas, </w:t>
      </w:r>
      <w:r w:rsidRPr="008C1A33">
        <w:rPr>
          <w:rFonts w:ascii="Times New Roman" w:eastAsia="Calibri" w:hAnsi="Times New Roman" w:cs="Times New Roman"/>
          <w:sz w:val="24"/>
          <w:szCs w:val="24"/>
        </w:rPr>
        <w:lastRenderedPageBreak/>
        <w:t xml:space="preserve">dentro de los 15 días hábiles siguientes </w:t>
      </w:r>
      <w:r w:rsidRPr="008C1A33">
        <w:rPr>
          <w:rFonts w:ascii="Times New Roman" w:eastAsia="Bookman Old Style" w:hAnsi="Times New Roman" w:cs="Times New Roman"/>
          <w:sz w:val="24"/>
          <w:szCs w:val="24"/>
        </w:rPr>
        <w:t xml:space="preserve">a la entrada en vigor </w:t>
      </w:r>
      <w:r w:rsidRPr="008C1A33">
        <w:rPr>
          <w:rFonts w:ascii="Times New Roman" w:eastAsia="Calibri" w:hAnsi="Times New Roman" w:cs="Times New Roman"/>
          <w:sz w:val="24"/>
          <w:szCs w:val="24"/>
        </w:rPr>
        <w:t>del presente Decreto y remitir la información de los resultados y la situación financiera para la integración de la Cuenta Pública correspondiente, conforme a la normativa aplicable.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bCs/>
          <w:sz w:val="24"/>
          <w:szCs w:val="24"/>
        </w:rPr>
      </w:pPr>
      <w:r w:rsidRPr="008C1A33">
        <w:rPr>
          <w:rFonts w:ascii="Times New Roman" w:eastAsia="Bookman Old Style" w:hAnsi="Times New Roman" w:cs="Times New Roman"/>
          <w:b/>
          <w:bCs/>
          <w:sz w:val="24"/>
          <w:szCs w:val="24"/>
        </w:rPr>
        <w:t>CAPÍTULO V</w:t>
      </w: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bCs/>
          <w:sz w:val="24"/>
          <w:szCs w:val="24"/>
        </w:rPr>
      </w:pPr>
      <w:r w:rsidRPr="008C1A33">
        <w:rPr>
          <w:rFonts w:ascii="Times New Roman" w:eastAsia="Bookman Old Style" w:hAnsi="Times New Roman" w:cs="Times New Roman"/>
          <w:b/>
          <w:bCs/>
          <w:sz w:val="24"/>
          <w:szCs w:val="24"/>
        </w:rPr>
        <w:t>Asignación a acciones, proyectos y Programas</w:t>
      </w: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bCs/>
          <w:sz w:val="24"/>
          <w:szCs w:val="24"/>
        </w:rPr>
      </w:pP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bCs/>
          <w:sz w:val="24"/>
          <w:szCs w:val="24"/>
        </w:rPr>
      </w:pPr>
      <w:r w:rsidRPr="008C1A33">
        <w:rPr>
          <w:rFonts w:ascii="Times New Roman" w:eastAsia="Bookman Old Style" w:hAnsi="Times New Roman" w:cs="Times New Roman"/>
          <w:b/>
          <w:bCs/>
          <w:sz w:val="24"/>
          <w:szCs w:val="24"/>
        </w:rPr>
        <w:t>Sección I</w:t>
      </w: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bCs/>
          <w:sz w:val="24"/>
          <w:szCs w:val="24"/>
        </w:rPr>
      </w:pPr>
      <w:r w:rsidRPr="008C1A33">
        <w:rPr>
          <w:rFonts w:ascii="Times New Roman" w:eastAsia="Bookman Old Style" w:hAnsi="Times New Roman" w:cs="Times New Roman"/>
          <w:b/>
          <w:bCs/>
          <w:sz w:val="24"/>
          <w:szCs w:val="24"/>
        </w:rPr>
        <w:t>Protección de primera infancia, niñas, niños y adolescentes</w:t>
      </w: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bCs/>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sz w:val="24"/>
          <w:szCs w:val="24"/>
        </w:rPr>
        <w:t>Artículo 28</w:t>
      </w:r>
      <w:r w:rsidRPr="008C1A33">
        <w:rPr>
          <w:rFonts w:ascii="Times New Roman" w:eastAsia="Bookman Old Style" w:hAnsi="Times New Roman" w:cs="Times New Roman"/>
          <w:sz w:val="24"/>
          <w:szCs w:val="24"/>
        </w:rPr>
        <w:t>. Con base en la metodología desarrollada por el Fondo de las Naciones Unidas para la Infancia (UNICEF) y el GEM, se identificaron recursos por $</w:t>
      </w:r>
      <w:r w:rsidRPr="008C1A33">
        <w:rPr>
          <w:rFonts w:ascii="Times New Roman" w:eastAsia="Bookman Old Style" w:hAnsi="Times New Roman" w:cs="Times New Roman"/>
          <w:b/>
          <w:bCs/>
          <w:sz w:val="24"/>
          <w:szCs w:val="24"/>
        </w:rPr>
        <w:t xml:space="preserve">130,920,195,524 </w:t>
      </w:r>
      <w:r w:rsidRPr="008C1A33">
        <w:rPr>
          <w:rFonts w:ascii="Times New Roman" w:eastAsia="Bookman Old Style" w:hAnsi="Times New Roman" w:cs="Times New Roman"/>
          <w:sz w:val="24"/>
          <w:szCs w:val="24"/>
        </w:rPr>
        <w:t>dentro de los diversos programas y proyectos que, de manera transversal, contribuyen al gasto social orientado a la atención integral y de bienestar de la población infantil y adolescente en el Estado de México. Estos recursos se orientan a garantizar los derechos de las niñas, niños y adolescentes asegurando el cumplimiento de las metas establecidas en los programas sectoriales, así como la alineación con las acciones del Sistema Integral de Protección Integral de Niñas, Niños y Adolescentes (SIPINNA).</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bCs/>
          <w:sz w:val="24"/>
          <w:szCs w:val="24"/>
        </w:rPr>
        <w:t>Artículo 29</w:t>
      </w:r>
      <w:r w:rsidRPr="008C1A33">
        <w:rPr>
          <w:rFonts w:ascii="Times New Roman" w:eastAsia="Bookman Old Style" w:hAnsi="Times New Roman" w:cs="Times New Roman"/>
          <w:sz w:val="24"/>
          <w:szCs w:val="24"/>
        </w:rPr>
        <w:t xml:space="preserve">. Atendiendo el Pacto por la Primera Infancia, la Secretaría en coordinación con la Secretaría de las Mujeres y el Secretariado Ejecutivo del SIPINNA identificaron recursos por </w:t>
      </w:r>
      <w:r w:rsidRPr="008C1A33">
        <w:rPr>
          <w:rFonts w:ascii="Times New Roman" w:eastAsia="Bookman Old Style" w:hAnsi="Times New Roman" w:cs="Times New Roman"/>
          <w:b/>
          <w:bCs/>
          <w:sz w:val="24"/>
          <w:szCs w:val="24"/>
        </w:rPr>
        <w:t xml:space="preserve">$98,971,989,701 </w:t>
      </w:r>
      <w:r w:rsidRPr="008C1A33">
        <w:rPr>
          <w:rFonts w:ascii="Times New Roman" w:eastAsia="Bookman Old Style" w:hAnsi="Times New Roman" w:cs="Times New Roman"/>
          <w:sz w:val="24"/>
          <w:szCs w:val="24"/>
        </w:rPr>
        <w:t xml:space="preserve">dentro de las metas de actividad que atienden de manera directa o indirecta a la primera infancia, niñez y adolescencia; el cual se puede consultar a través del </w:t>
      </w:r>
      <w:r w:rsidRPr="008C1A33">
        <w:rPr>
          <w:rFonts w:ascii="Times New Roman" w:eastAsia="Bookman Old Style" w:hAnsi="Times New Roman" w:cs="Times New Roman"/>
          <w:b/>
          <w:bCs/>
          <w:sz w:val="24"/>
          <w:szCs w:val="24"/>
        </w:rPr>
        <w:t>“Anexo</w:t>
      </w:r>
      <w:r w:rsidRPr="008C1A33">
        <w:rPr>
          <w:rFonts w:ascii="Times New Roman" w:eastAsia="Bookman Old Style" w:hAnsi="Times New Roman" w:cs="Times New Roman"/>
          <w:sz w:val="24"/>
          <w:szCs w:val="24"/>
        </w:rPr>
        <w:t xml:space="preserve"> </w:t>
      </w:r>
      <w:r w:rsidRPr="008C1A33">
        <w:rPr>
          <w:rFonts w:ascii="Times New Roman" w:eastAsia="Bookman Old Style" w:hAnsi="Times New Roman" w:cs="Times New Roman"/>
          <w:b/>
          <w:bCs/>
          <w:sz w:val="24"/>
          <w:szCs w:val="24"/>
        </w:rPr>
        <w:t>III Pacto por la primera infancia”</w:t>
      </w:r>
      <w:r w:rsidRPr="008C1A33">
        <w:rPr>
          <w:rFonts w:ascii="Times New Roman" w:eastAsia="Bookman Old Style" w:hAnsi="Times New Roman" w:cs="Times New Roman"/>
          <w:sz w:val="24"/>
          <w:szCs w:val="24"/>
        </w:rPr>
        <w:t>.</w:t>
      </w: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r w:rsidRPr="008C1A33">
        <w:rPr>
          <w:rFonts w:ascii="Times New Roman" w:eastAsia="Bookman Old Style" w:hAnsi="Times New Roman" w:cs="Times New Roman"/>
          <w:b/>
          <w:sz w:val="24"/>
          <w:szCs w:val="24"/>
        </w:rPr>
        <w:t>Sección II</w:t>
      </w:r>
    </w:p>
    <w:p w:rsidR="00A26CD3" w:rsidRPr="008C1A33" w:rsidRDefault="00A26CD3" w:rsidP="00A26CD3">
      <w:pPr>
        <w:pBdr>
          <w:top w:val="nil"/>
          <w:left w:val="nil"/>
          <w:bottom w:val="nil"/>
          <w:right w:val="nil"/>
          <w:between w:val="nil"/>
        </w:pBdr>
        <w:spacing w:after="0" w:line="240" w:lineRule="auto"/>
        <w:jc w:val="center"/>
        <w:rPr>
          <w:rFonts w:ascii="Times New Roman" w:eastAsia="Bookman Old Style" w:hAnsi="Times New Roman" w:cs="Times New Roman"/>
          <w:b/>
          <w:sz w:val="24"/>
          <w:szCs w:val="24"/>
        </w:rPr>
      </w:pPr>
      <w:r w:rsidRPr="008C1A33">
        <w:rPr>
          <w:rFonts w:ascii="Times New Roman" w:eastAsia="Bookman Old Style" w:hAnsi="Times New Roman" w:cs="Times New Roman"/>
          <w:b/>
          <w:sz w:val="24"/>
          <w:szCs w:val="24"/>
        </w:rPr>
        <w:t>Acciones en materia de igualdad entre mujeres y hombres</w:t>
      </w:r>
    </w:p>
    <w:p w:rsidR="00A26CD3" w:rsidRPr="008C1A33" w:rsidRDefault="00A26CD3" w:rsidP="00A26CD3">
      <w:pPr>
        <w:pBdr>
          <w:top w:val="nil"/>
          <w:left w:val="nil"/>
          <w:bottom w:val="nil"/>
          <w:right w:val="nil"/>
          <w:between w:val="nil"/>
        </w:pBdr>
        <w:spacing w:after="0" w:line="240" w:lineRule="auto"/>
        <w:jc w:val="both"/>
        <w:rPr>
          <w:rFonts w:ascii="Times New Roman" w:eastAsia="Bookman Old Style" w:hAnsi="Times New Roman" w:cs="Times New Roman"/>
          <w:color w:val="0070C0"/>
          <w:sz w:val="24"/>
          <w:szCs w:val="24"/>
        </w:rPr>
      </w:pPr>
    </w:p>
    <w:p w:rsidR="00A26CD3" w:rsidRPr="008C1A33" w:rsidRDefault="00A26CD3" w:rsidP="00A26CD3">
      <w:pPr>
        <w:spacing w:after="0" w:line="240" w:lineRule="auto"/>
        <w:jc w:val="both"/>
        <w:rPr>
          <w:rFonts w:ascii="Times New Roman" w:eastAsia="Bookman Old Style" w:hAnsi="Times New Roman" w:cs="Times New Roman"/>
          <w:bCs/>
          <w:sz w:val="24"/>
          <w:szCs w:val="24"/>
        </w:rPr>
      </w:pPr>
      <w:r w:rsidRPr="008C1A33">
        <w:rPr>
          <w:rFonts w:ascii="Times New Roman" w:eastAsia="Bookman Old Style" w:hAnsi="Times New Roman" w:cs="Times New Roman"/>
          <w:b/>
          <w:sz w:val="24"/>
          <w:szCs w:val="24"/>
        </w:rPr>
        <w:t xml:space="preserve">Artículo 30. </w:t>
      </w:r>
      <w:r w:rsidRPr="008C1A33">
        <w:rPr>
          <w:rFonts w:ascii="Times New Roman" w:eastAsia="Bookman Old Style" w:hAnsi="Times New Roman" w:cs="Times New Roman"/>
          <w:bCs/>
          <w:sz w:val="24"/>
          <w:szCs w:val="24"/>
        </w:rPr>
        <w:t>En cumplimiento a la Ley General para la Igualdad entre Mujeres y Hombres, la Ley General de Acceso de las Mujeres a una Vida Libre de Violencia, la Ley de Igualdad de Trato y Oportunidades entre Mujeres y Hombres del Estado de México, la Ley de Acceso de las Mujeres a una Vida Libre de Violencia del Estado de México y demás ordenamientos aplicables, y con base en la Metodología para la Evaluación de la Inclusión de la Perspectiva de Género elaborada por la Secretaría de las Mujeres del GEM la cual puede ser consultada en el “</w:t>
      </w:r>
      <w:r w:rsidRPr="008C1A33">
        <w:rPr>
          <w:rFonts w:ascii="Times New Roman" w:eastAsia="Bookman Old Style" w:hAnsi="Times New Roman" w:cs="Times New Roman"/>
          <w:b/>
          <w:bCs/>
          <w:sz w:val="24"/>
          <w:szCs w:val="24"/>
        </w:rPr>
        <w:t>Anexo IV Transversalidad de la perspectiva de género para el presupuesto con perspectiva de género”</w:t>
      </w:r>
      <w:r w:rsidRPr="008C1A33">
        <w:rPr>
          <w:rFonts w:ascii="Times New Roman" w:eastAsia="Bookman Old Style" w:hAnsi="Times New Roman" w:cs="Times New Roman"/>
          <w:bCs/>
          <w:sz w:val="24"/>
          <w:szCs w:val="24"/>
        </w:rPr>
        <w:t xml:space="preserve">, se identificaron recursos por la cantidad de </w:t>
      </w:r>
      <w:r w:rsidRPr="008C1A33">
        <w:rPr>
          <w:rFonts w:ascii="Times New Roman" w:eastAsia="Bookman Old Style" w:hAnsi="Times New Roman" w:cs="Times New Roman"/>
          <w:b/>
          <w:bCs/>
          <w:sz w:val="24"/>
          <w:szCs w:val="24"/>
        </w:rPr>
        <w:t xml:space="preserve">$170,607,778,724, </w:t>
      </w:r>
      <w:r w:rsidRPr="008C1A33">
        <w:rPr>
          <w:rFonts w:ascii="Times New Roman" w:eastAsia="Bookman Old Style" w:hAnsi="Times New Roman" w:cs="Times New Roman"/>
          <w:sz w:val="24"/>
          <w:szCs w:val="24"/>
        </w:rPr>
        <w:t>para el cumplimiento de programas y acciones que de manera transversal, se orienten a regular, proteger y garantizar la igualdad de tr</w:t>
      </w:r>
      <w:r w:rsidRPr="008C1A33">
        <w:rPr>
          <w:rFonts w:ascii="Times New Roman" w:eastAsia="Bookman Old Style" w:hAnsi="Times New Roman" w:cs="Times New Roman"/>
          <w:bCs/>
          <w:sz w:val="24"/>
          <w:szCs w:val="24"/>
        </w:rPr>
        <w:t>ato y oportunidades entre mujeres y hombres, mediante la eliminación de toda forma de discriminación, en los ámbitos público y privado, promoviendo el empoderamiento de las mujeres, la prevención y atención de las violencias, con el propósito de alcanzar una sociedad más justa, equitativa, inclusiva y que garantice el acceso a todos los derechos.</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bCs/>
          <w:sz w:val="24"/>
          <w:szCs w:val="24"/>
        </w:rPr>
      </w:pPr>
      <w:r w:rsidRPr="008C1A33">
        <w:rPr>
          <w:rFonts w:ascii="Times New Roman" w:eastAsia="Bookman Old Style" w:hAnsi="Times New Roman" w:cs="Times New Roman"/>
          <w:bCs/>
          <w:sz w:val="24"/>
          <w:szCs w:val="24"/>
        </w:rPr>
        <w:t>De esta forma el Ejecutivo Estatal instrumentó un Presupuesto de Egresos con Perspectiva de Género que, en el diseño, elaboración, aplicación, seguimiento y evaluación de resultados de los programas y proyectos presupuestarios de la Administración Pública Estatal, promoverán la igualdad sustantiva entre mujeres y hombres.</w:t>
      </w:r>
    </w:p>
    <w:p w:rsidR="00A26CD3" w:rsidRPr="008C1A33" w:rsidRDefault="00A26CD3" w:rsidP="00A26CD3">
      <w:pPr>
        <w:spacing w:after="0" w:line="240" w:lineRule="auto"/>
        <w:jc w:val="both"/>
        <w:rPr>
          <w:rFonts w:ascii="Times New Roman" w:eastAsia="Bookman Old Style" w:hAnsi="Times New Roman" w:cs="Times New Roman"/>
          <w:bCs/>
          <w:sz w:val="24"/>
          <w:szCs w:val="24"/>
        </w:rPr>
      </w:pPr>
    </w:p>
    <w:p w:rsidR="00A26CD3" w:rsidRPr="008C1A33" w:rsidRDefault="00A26CD3" w:rsidP="00A26CD3">
      <w:pPr>
        <w:spacing w:after="0" w:line="240" w:lineRule="auto"/>
        <w:jc w:val="both"/>
        <w:rPr>
          <w:rFonts w:ascii="Times New Roman" w:eastAsia="Bookman Old Style" w:hAnsi="Times New Roman" w:cs="Times New Roman"/>
          <w:bCs/>
          <w:sz w:val="24"/>
          <w:szCs w:val="24"/>
        </w:rPr>
      </w:pPr>
      <w:r w:rsidRPr="008C1A33">
        <w:rPr>
          <w:rFonts w:ascii="Times New Roman" w:eastAsia="Bookman Old Style" w:hAnsi="Times New Roman" w:cs="Times New Roman"/>
          <w:bCs/>
          <w:sz w:val="24"/>
          <w:szCs w:val="24"/>
        </w:rPr>
        <w:t xml:space="preserve">El presupuesto contempla recursos para atender las Declaratorias de Alerta de Violencia de Género por feminicidio y desaparición en los municipios del Estado de México. Para su adecuada </w:t>
      </w:r>
      <w:r w:rsidRPr="008C1A33">
        <w:rPr>
          <w:rFonts w:ascii="Times New Roman" w:eastAsia="Bookman Old Style" w:hAnsi="Times New Roman" w:cs="Times New Roman"/>
          <w:bCs/>
          <w:sz w:val="24"/>
          <w:szCs w:val="24"/>
        </w:rPr>
        <w:lastRenderedPageBreak/>
        <w:t xml:space="preserve">implementación, la Secretaría de las Mujeres deberá publicar en el Periódico Oficial “Gaceta del Gobierno”, a más tardar el último día hábil del mes de febrero de 2026, los mecanismos necesarios para la ejecución de estos recursos. </w:t>
      </w:r>
    </w:p>
    <w:p w:rsidR="00A26CD3" w:rsidRPr="008C1A33" w:rsidRDefault="00A26CD3" w:rsidP="00A26CD3">
      <w:pPr>
        <w:spacing w:after="0" w:line="240" w:lineRule="auto"/>
        <w:jc w:val="both"/>
        <w:rPr>
          <w:rFonts w:ascii="Times New Roman" w:eastAsia="Bookman Old Style" w:hAnsi="Times New Roman" w:cs="Times New Roman"/>
          <w:bCs/>
          <w:sz w:val="24"/>
          <w:szCs w:val="24"/>
        </w:rPr>
      </w:pPr>
    </w:p>
    <w:p w:rsidR="00A26CD3" w:rsidRPr="008C1A33" w:rsidRDefault="00A26CD3" w:rsidP="00A26CD3">
      <w:pPr>
        <w:spacing w:after="0" w:line="240" w:lineRule="auto"/>
        <w:jc w:val="both"/>
        <w:rPr>
          <w:rFonts w:ascii="Times New Roman" w:eastAsia="Bookman Old Style" w:hAnsi="Times New Roman" w:cs="Times New Roman"/>
          <w:bCs/>
          <w:sz w:val="24"/>
          <w:szCs w:val="24"/>
        </w:rPr>
      </w:pPr>
      <w:r w:rsidRPr="008C1A33">
        <w:rPr>
          <w:rFonts w:ascii="Times New Roman" w:eastAsia="Bookman Old Style" w:hAnsi="Times New Roman" w:cs="Times New Roman"/>
          <w:b/>
          <w:bCs/>
          <w:sz w:val="24"/>
          <w:szCs w:val="24"/>
        </w:rPr>
        <w:t>Artículo 31.</w:t>
      </w:r>
      <w:r w:rsidRPr="008C1A33">
        <w:rPr>
          <w:rFonts w:ascii="Times New Roman" w:eastAsia="Bookman Old Style" w:hAnsi="Times New Roman" w:cs="Times New Roman"/>
          <w:bCs/>
          <w:sz w:val="24"/>
          <w:szCs w:val="24"/>
        </w:rPr>
        <w:t xml:space="preserve"> Con la finalidad de mejorar las condiciones de vida de los pueblos originarios y comunidades indígenas en la Entidad, y promover su desarrollo integral, intercultural y sostenible de los pueblos y comunidades indígenas, se destinarán </w:t>
      </w:r>
      <w:r w:rsidRPr="008C1A33">
        <w:rPr>
          <w:rFonts w:ascii="Times New Roman" w:eastAsia="Bookman Old Style" w:hAnsi="Times New Roman" w:cs="Times New Roman"/>
          <w:b/>
          <w:sz w:val="24"/>
          <w:szCs w:val="24"/>
        </w:rPr>
        <w:t>$3,211,591,468</w:t>
      </w:r>
      <w:r w:rsidRPr="008C1A33">
        <w:rPr>
          <w:rFonts w:ascii="Times New Roman" w:eastAsia="Bookman Old Style" w:hAnsi="Times New Roman" w:cs="Times New Roman"/>
          <w:bCs/>
          <w:sz w:val="24"/>
          <w:szCs w:val="24"/>
        </w:rPr>
        <w:t xml:space="preserve"> orientados a fortalecer sus capacidades comunitarias, preservar su identidad cultural y reducir las brechas de desigualdad, conforme a lo establecido en el </w:t>
      </w:r>
      <w:r w:rsidRPr="008C1A33">
        <w:rPr>
          <w:rFonts w:ascii="Times New Roman" w:eastAsia="Bookman Old Style" w:hAnsi="Times New Roman" w:cs="Times New Roman"/>
          <w:b/>
          <w:sz w:val="24"/>
          <w:szCs w:val="24"/>
        </w:rPr>
        <w:t xml:space="preserve">“Anexo V Actividades enfocadas al desarrollo integral, intercultural y sostenible de los pueblos y comunidades indígenas” </w:t>
      </w:r>
      <w:r w:rsidRPr="008C1A33">
        <w:rPr>
          <w:rFonts w:ascii="Times New Roman" w:eastAsia="Bookman Old Style" w:hAnsi="Times New Roman" w:cs="Times New Roman"/>
          <w:bCs/>
          <w:sz w:val="24"/>
          <w:szCs w:val="24"/>
        </w:rPr>
        <w:t>del presente Decreto.</w:t>
      </w:r>
    </w:p>
    <w:p w:rsidR="00A26CD3" w:rsidRPr="008C1A33" w:rsidRDefault="00A26CD3" w:rsidP="00A26CD3">
      <w:pPr>
        <w:spacing w:after="0" w:line="240" w:lineRule="auto"/>
        <w:jc w:val="both"/>
        <w:rPr>
          <w:rFonts w:ascii="Times New Roman" w:eastAsia="Bookman Old Style" w:hAnsi="Times New Roman" w:cs="Times New Roman"/>
          <w:bCs/>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sz w:val="24"/>
          <w:szCs w:val="24"/>
        </w:rPr>
        <w:t>Artículo 32.</w:t>
      </w:r>
      <w:r w:rsidRPr="008C1A33">
        <w:rPr>
          <w:rFonts w:ascii="Times New Roman" w:eastAsia="Bookman Old Style" w:hAnsi="Times New Roman" w:cs="Times New Roman"/>
          <w:sz w:val="24"/>
          <w:szCs w:val="24"/>
        </w:rPr>
        <w:t xml:space="preserve"> Con el propósito de fortalecer las necesidades y problemáticas de la población de la diversidad sexual se destinarán recursos por la cantidad de </w:t>
      </w:r>
      <w:r w:rsidRPr="008C1A33">
        <w:rPr>
          <w:rFonts w:ascii="Times New Roman" w:eastAsia="Bookman Old Style" w:hAnsi="Times New Roman" w:cs="Times New Roman"/>
          <w:b/>
          <w:bCs/>
          <w:sz w:val="24"/>
          <w:szCs w:val="24"/>
        </w:rPr>
        <w:t xml:space="preserve">$36,055,097 </w:t>
      </w:r>
      <w:r w:rsidRPr="008C1A33">
        <w:rPr>
          <w:rFonts w:ascii="Times New Roman" w:eastAsia="Bookman Old Style" w:hAnsi="Times New Roman" w:cs="Times New Roman"/>
          <w:sz w:val="24"/>
          <w:szCs w:val="24"/>
        </w:rPr>
        <w:t>a través del Proyecto “Cultura de igualdad entre la mujer y el hombre y la población LGBTTTIQ+ para la prevención de la violencia de género”, el cual contempla acciones transversales que permiten el ejercicio pleno de sus derechos, impulsando valores de reconocimiento, convivencia, y no discriminación.</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 xml:space="preserve">Dichos recursos se orientarán al diseño e implementación de políticas públicas que fomenten un desarrollo incluyente, equitativo y justo, basado en el respeto a los derechos humanos, la igualdad de oportunidades y la no discriminación </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 xml:space="preserve">Los Entes Públicos conforme a su naturaleza y según corresponda, deberán garantizar proyectos y acciones con perspectiva de género dirigidos a alcanzar la igualdad sustantiva entre mujeres, hombres y la población de la diversidad sexual, procurando el bienestar y desarrollo sin discriminación en cualquier ámbito ni hacia cualquier grupo poblacional, por lo que es indispensable la elaboración, ejecución, seguimiento y evaluación de los diferentes Programas orientados para dar cumplimiento a esta tarea. </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center"/>
        <w:rPr>
          <w:rFonts w:ascii="Times New Roman" w:eastAsia="Bookman Old Style" w:hAnsi="Times New Roman" w:cs="Times New Roman"/>
          <w:b/>
          <w:sz w:val="24"/>
          <w:szCs w:val="24"/>
        </w:rPr>
      </w:pPr>
      <w:r w:rsidRPr="008C1A33">
        <w:rPr>
          <w:rFonts w:ascii="Times New Roman" w:eastAsia="Bookman Old Style" w:hAnsi="Times New Roman" w:cs="Times New Roman"/>
          <w:b/>
          <w:sz w:val="24"/>
          <w:szCs w:val="24"/>
        </w:rPr>
        <w:t>Sección III</w:t>
      </w:r>
    </w:p>
    <w:p w:rsidR="00A26CD3" w:rsidRPr="008C1A33" w:rsidRDefault="00A26CD3" w:rsidP="00A26CD3">
      <w:pPr>
        <w:spacing w:after="0" w:line="240" w:lineRule="auto"/>
        <w:jc w:val="center"/>
        <w:rPr>
          <w:rFonts w:ascii="Times New Roman" w:eastAsia="Bookman Old Style" w:hAnsi="Times New Roman" w:cs="Times New Roman"/>
          <w:b/>
          <w:sz w:val="24"/>
          <w:szCs w:val="24"/>
        </w:rPr>
      </w:pPr>
      <w:r w:rsidRPr="008C1A33">
        <w:rPr>
          <w:rFonts w:ascii="Times New Roman" w:eastAsia="Bookman Old Style" w:hAnsi="Times New Roman" w:cs="Times New Roman"/>
          <w:b/>
          <w:sz w:val="24"/>
          <w:szCs w:val="24"/>
        </w:rPr>
        <w:t>Función pública y combate a la corrupción</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sz w:val="24"/>
          <w:szCs w:val="24"/>
        </w:rPr>
        <w:t>Artículo 33.</w:t>
      </w:r>
      <w:r w:rsidRPr="008C1A33">
        <w:rPr>
          <w:rFonts w:ascii="Times New Roman" w:eastAsia="Bookman Old Style" w:hAnsi="Times New Roman" w:cs="Times New Roman"/>
          <w:sz w:val="24"/>
          <w:szCs w:val="24"/>
        </w:rPr>
        <w:t xml:space="preserve"> A fin de prevenir y combatir actos de corrupción, se prevé una asignación de recursos para el Ejercicio Fiscal 2026 de </w:t>
      </w:r>
      <w:r w:rsidRPr="008C1A33">
        <w:rPr>
          <w:rFonts w:ascii="Times New Roman" w:eastAsia="Bookman Old Style" w:hAnsi="Times New Roman" w:cs="Times New Roman"/>
          <w:b/>
          <w:bCs/>
          <w:sz w:val="24"/>
          <w:szCs w:val="24"/>
        </w:rPr>
        <w:t xml:space="preserve">$1,715,901,711 </w:t>
      </w:r>
      <w:r w:rsidRPr="008C1A33">
        <w:rPr>
          <w:rFonts w:ascii="Times New Roman" w:eastAsia="Bookman Old Style" w:hAnsi="Times New Roman" w:cs="Times New Roman"/>
          <w:sz w:val="24"/>
          <w:szCs w:val="24"/>
        </w:rPr>
        <w:t xml:space="preserve">en los Programas presupuestarios “Función Pública y Combate a la Corrupción” y “Sistema Anticorrupción del Estado de México y Municipios”, mediante los cuales los Entes Públicos, en el ámbito de sus facultades, realizarán las acciones necesarias en materia de prevención, detección, control, sanción, disuasión y combate a la corrupción. </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Además, se fortalecerán los mecanismos de coordinación interinstitucional entre las autoridades competentes del Estado y de los municipios para garantizar la operación eficaz del Sistema Estatal Anticorrupción y los Sistemas Municipales Anticorrupción, ello con objeto de prevenir hechos de corrupción y faltas administrativas en el Estado y sus municipios, y lo relativo a la emisión de políticas públicas integrales en materia de combate a la corrupción, fiscalización y control de recursos públicos.</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 xml:space="preserve">La Secretaría Ejecutiva del Sistema Estatal Anticorrupción deberá informar trimestralmente a la Legislatura, por conducto de la Comisión Legislativa de Transparencia, Acceso a la Información Pública, Protección de Datos Personales y de Combate a la Corrupción, sobre el desempeño de las </w:t>
      </w:r>
      <w:r w:rsidRPr="008C1A33">
        <w:rPr>
          <w:rFonts w:ascii="Times New Roman" w:eastAsia="Bookman Old Style" w:hAnsi="Times New Roman" w:cs="Times New Roman"/>
          <w:sz w:val="24"/>
          <w:szCs w:val="24"/>
        </w:rPr>
        <w:lastRenderedPageBreak/>
        <w:t>metas e indicadores que permitan conocer los avances del Programa presupuestario: Sistema Anticorrupción del Estado de México y Municipios.</w:t>
      </w:r>
    </w:p>
    <w:p w:rsidR="00A26CD3" w:rsidRPr="008C1A33" w:rsidRDefault="00A26CD3" w:rsidP="00A26CD3">
      <w:pPr>
        <w:spacing w:after="0" w:line="240" w:lineRule="auto"/>
        <w:jc w:val="center"/>
        <w:rPr>
          <w:rFonts w:ascii="Times New Roman" w:eastAsia="Calibri" w:hAnsi="Times New Roman" w:cs="Times New Roman"/>
          <w:b/>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bCs/>
          <w:sz w:val="24"/>
          <w:szCs w:val="24"/>
        </w:rPr>
        <w:t>Artículo 34</w:t>
      </w:r>
      <w:r w:rsidRPr="008C1A33">
        <w:rPr>
          <w:rFonts w:ascii="Times New Roman" w:eastAsia="Bookman Old Style" w:hAnsi="Times New Roman" w:cs="Times New Roman"/>
          <w:sz w:val="24"/>
          <w:szCs w:val="24"/>
        </w:rPr>
        <w:t xml:space="preserve">. Los recursos autorizados previstos en el presente Decreto incluyen las previsiones presupuestarias para atender compromisos multianuales relacionados con bienes y servicios, por un monto de </w:t>
      </w:r>
      <w:r w:rsidRPr="008C1A33">
        <w:rPr>
          <w:rFonts w:ascii="Times New Roman" w:eastAsia="Bookman Old Style" w:hAnsi="Times New Roman" w:cs="Times New Roman"/>
          <w:b/>
          <w:bCs/>
          <w:sz w:val="24"/>
          <w:szCs w:val="24"/>
        </w:rPr>
        <w:t xml:space="preserve">$2,923,421,818 </w:t>
      </w:r>
      <w:r w:rsidRPr="008C1A33">
        <w:rPr>
          <w:rFonts w:ascii="Times New Roman" w:eastAsia="Bookman Old Style" w:hAnsi="Times New Roman" w:cs="Times New Roman"/>
          <w:bCs/>
          <w:sz w:val="24"/>
          <w:szCs w:val="24"/>
        </w:rPr>
        <w:t>Asimismo, se contemplan previsiones de</w:t>
      </w:r>
      <w:r w:rsidRPr="008C1A33">
        <w:rPr>
          <w:rFonts w:ascii="Times New Roman" w:eastAsia="Bookman Old Style" w:hAnsi="Times New Roman" w:cs="Times New Roman"/>
          <w:sz w:val="24"/>
          <w:szCs w:val="24"/>
        </w:rPr>
        <w:t xml:space="preserve"> </w:t>
      </w:r>
      <w:r w:rsidRPr="008C1A33">
        <w:rPr>
          <w:rFonts w:ascii="Times New Roman" w:eastAsia="Bookman Old Style" w:hAnsi="Times New Roman" w:cs="Times New Roman"/>
          <w:b/>
          <w:bCs/>
          <w:sz w:val="24"/>
          <w:szCs w:val="24"/>
        </w:rPr>
        <w:t>$3,360,993,265</w:t>
      </w:r>
      <w:r w:rsidRPr="008C1A33">
        <w:rPr>
          <w:rFonts w:ascii="Times New Roman" w:eastAsia="Bookman Old Style" w:hAnsi="Times New Roman" w:cs="Times New Roman"/>
          <w:sz w:val="24"/>
          <w:szCs w:val="24"/>
        </w:rPr>
        <w:t xml:space="preserve"> para proyectos de inversión e infraestructura; así como de los Proyectos de Prestación de Servicios (PPS) y Proyectos de Asociación Público Privada (APP), contratados en términos de los ordenamientos jurídicos vigentes, por un monto de $</w:t>
      </w:r>
      <w:r w:rsidRPr="008C1A33">
        <w:rPr>
          <w:rFonts w:ascii="Times New Roman" w:eastAsia="Bookman Old Style" w:hAnsi="Times New Roman" w:cs="Times New Roman"/>
          <w:b/>
          <w:bCs/>
          <w:sz w:val="24"/>
          <w:szCs w:val="24"/>
        </w:rPr>
        <w:t xml:space="preserve">1,118,280,119 </w:t>
      </w:r>
      <w:r w:rsidRPr="008C1A33">
        <w:rPr>
          <w:rFonts w:ascii="Times New Roman" w:eastAsia="Bookman Old Style" w:hAnsi="Times New Roman" w:cs="Times New Roman"/>
          <w:sz w:val="24"/>
          <w:szCs w:val="24"/>
        </w:rPr>
        <w:t xml:space="preserve">para ser ejercidos a través de las Dependencias, y por un monto de </w:t>
      </w:r>
      <w:r w:rsidRPr="008C1A33">
        <w:rPr>
          <w:rFonts w:ascii="Times New Roman" w:eastAsia="Bookman Old Style" w:hAnsi="Times New Roman" w:cs="Times New Roman"/>
          <w:b/>
          <w:bCs/>
          <w:sz w:val="24"/>
          <w:szCs w:val="24"/>
        </w:rPr>
        <w:t xml:space="preserve">$4,867,030,946 </w:t>
      </w:r>
      <w:r w:rsidRPr="008C1A33">
        <w:rPr>
          <w:rFonts w:ascii="Times New Roman" w:eastAsia="Bookman Old Style" w:hAnsi="Times New Roman" w:cs="Times New Roman"/>
          <w:sz w:val="24"/>
          <w:szCs w:val="24"/>
        </w:rPr>
        <w:t xml:space="preserve">para ser ejercido por las Entidades Públicas del Poder Ejecutivo.  </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Para aquellos casos en que los Proyectos de Prestación de Servicios hayan sido contratados bajo al amparo del Libro Décimo Sexto del Código Administrativo del Estado de México y su Reglamento, en ejercicios fiscales anteriores y aún se encuentren vigentes, estos continuarán rigiéndose conforme a la normatividad aplicable al momento de su inicio y hasta su total conclusión.</w:t>
      </w:r>
    </w:p>
    <w:p w:rsidR="00A26CD3" w:rsidRPr="008C1A33" w:rsidRDefault="00A26CD3" w:rsidP="00A26CD3">
      <w:pPr>
        <w:spacing w:after="0" w:line="240" w:lineRule="auto"/>
        <w:jc w:val="center"/>
        <w:rPr>
          <w:rFonts w:ascii="Times New Roman" w:eastAsia="Calibri" w:hAnsi="Times New Roman" w:cs="Times New Roman"/>
          <w:b/>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 xml:space="preserve">Sección IV </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Bookman Old Style" w:hAnsi="Times New Roman" w:cs="Times New Roman"/>
          <w:b/>
          <w:sz w:val="24"/>
          <w:szCs w:val="24"/>
        </w:rPr>
        <w:t>Servicios personales</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35.</w:t>
      </w:r>
      <w:r w:rsidRPr="008C1A33">
        <w:rPr>
          <w:rFonts w:ascii="Times New Roman" w:eastAsia="Calibri" w:hAnsi="Times New Roman" w:cs="Times New Roman"/>
          <w:sz w:val="24"/>
          <w:szCs w:val="24"/>
        </w:rPr>
        <w:t xml:space="preserve"> Los recursos previstos en las asignaciones presupuestarias de los Entes Públicos en materia de servicios personales incorporan la totalidad de las previsiones para sufragar las erogaciones correspondientes a remuneraciones medidas salariales y económicas.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ind w:left="567" w:hanging="567"/>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Los incrementos a las percepciones se determinarán con base en: </w:t>
      </w:r>
    </w:p>
    <w:p w:rsidR="00A26CD3" w:rsidRPr="008C1A33" w:rsidRDefault="00A26CD3" w:rsidP="00A26CD3">
      <w:pPr>
        <w:spacing w:after="0" w:line="240" w:lineRule="auto"/>
        <w:ind w:left="567" w:hanging="567"/>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 xml:space="preserve">   </w:t>
      </w:r>
      <w:r w:rsidRPr="008C1A33">
        <w:rPr>
          <w:rFonts w:ascii="Times New Roman" w:eastAsia="Calibri" w:hAnsi="Times New Roman" w:cs="Times New Roman"/>
          <w:b/>
          <w:bCs/>
          <w:sz w:val="24"/>
          <w:szCs w:val="24"/>
        </w:rPr>
        <w:tab/>
        <w:t>a)</w:t>
      </w:r>
      <w:r w:rsidRPr="008C1A33">
        <w:rPr>
          <w:rFonts w:ascii="Times New Roman" w:eastAsia="Calibri" w:hAnsi="Times New Roman" w:cs="Times New Roman"/>
          <w:sz w:val="24"/>
          <w:szCs w:val="24"/>
        </w:rPr>
        <w:t xml:space="preserve"> </w:t>
      </w:r>
      <w:r w:rsidRPr="008C1A33">
        <w:rPr>
          <w:rFonts w:ascii="Times New Roman" w:eastAsia="Calibri" w:hAnsi="Times New Roman" w:cs="Times New Roman"/>
          <w:sz w:val="24"/>
          <w:szCs w:val="24"/>
        </w:rPr>
        <w:tab/>
        <w:t xml:space="preserve">La estructura autorizada por la Oficialía, para los Entes Públicos del Poder Ejecutivo; </w:t>
      </w:r>
    </w:p>
    <w:p w:rsidR="00A26CD3" w:rsidRPr="008C1A33" w:rsidRDefault="00A26CD3" w:rsidP="00A26CD3">
      <w:pPr>
        <w:spacing w:after="0" w:line="240" w:lineRule="auto"/>
        <w:ind w:left="567"/>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b)</w:t>
      </w:r>
      <w:r w:rsidRPr="008C1A33">
        <w:rPr>
          <w:rFonts w:ascii="Times New Roman" w:eastAsia="Calibri" w:hAnsi="Times New Roman" w:cs="Times New Roman"/>
          <w:sz w:val="24"/>
          <w:szCs w:val="24"/>
        </w:rPr>
        <w:t xml:space="preserve"> Las medidas económicas requeridas para la cobertura y la mejora de la calidad del sistema educativo, de salud y seguridad pública.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Asimismo, las previsiones para incrementos a las percepciones correspondientes a los sistemas de desarrollo profesional y convenios sindicales deberán sujetarse a la disponibilidad presupuestal y conforme a los límites establecidos en la Ley de Disciplina Financiera.</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El Presupuesto autorizado al Capítulo 1000 “Servicios personales”, contempla la totalidad de las previsiones salariales y económicas, destinadas a atender la política salarial, financiar incrementos salariales de los Entes Públicos, sufragar liquidaciones de personal adscrito a Entes Públicos en proceso de extinción, cubrir cuotas y aportaciones de seguridad social, así como para atender los compromisos institucionales relativos al otorgamiento de contrapartes estatales destinadas al sector educativo.</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En ningún caso, el monto global asignado al Capítulo 1000 “Servicios personales”, podrá incrementarse durante el Ejercicio Fiscal, salvo las excepciones expresamente previstas en la Ley de Disciplina Financiera.</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color w:val="ED7D31" w:themeColor="accent2"/>
          <w:sz w:val="24"/>
          <w:szCs w:val="24"/>
        </w:rPr>
      </w:pPr>
      <w:r w:rsidRPr="008C1A33">
        <w:rPr>
          <w:rFonts w:ascii="Times New Roman" w:eastAsia="Calibri" w:hAnsi="Times New Roman" w:cs="Times New Roman"/>
          <w:sz w:val="24"/>
          <w:szCs w:val="24"/>
        </w:rPr>
        <w:t xml:space="preserve">Las remuneraciones de las personas servidoras públicas del GEM se encuentran contenidas en el </w:t>
      </w:r>
      <w:r w:rsidRPr="008C1A33">
        <w:rPr>
          <w:rFonts w:ascii="Times New Roman" w:eastAsia="Calibri" w:hAnsi="Times New Roman" w:cs="Times New Roman"/>
          <w:b/>
          <w:bCs/>
          <w:sz w:val="24"/>
          <w:szCs w:val="24"/>
        </w:rPr>
        <w:t>“Anexo VI Plantilla de plazas de personal y tabuladores del Gobierno del Estado de México”</w:t>
      </w:r>
      <w:r w:rsidRPr="008C1A33">
        <w:rPr>
          <w:rFonts w:ascii="Times New Roman" w:eastAsia="Calibri" w:hAnsi="Times New Roman" w:cs="Times New Roman"/>
          <w:sz w:val="24"/>
          <w:szCs w:val="24"/>
        </w:rPr>
        <w:t xml:space="preserve"> del presente Decreto y contemplan las percepciones ordinarias.</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lastRenderedPageBreak/>
        <w:t>Sección V</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Inversión Pública</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36.</w:t>
      </w:r>
      <w:r w:rsidRPr="008C1A33">
        <w:rPr>
          <w:rFonts w:ascii="Times New Roman" w:eastAsia="Calibri" w:hAnsi="Times New Roman" w:cs="Times New Roman"/>
          <w:sz w:val="24"/>
          <w:szCs w:val="24"/>
        </w:rPr>
        <w:t xml:space="preserve"> Las previsiones destinadas para cubrir las obligaciones en el Capítulo 6000 “Inversión Pública” para el ejercicio fiscal 2026, ascienden a un monto de </w:t>
      </w:r>
      <w:r w:rsidRPr="008C1A33">
        <w:rPr>
          <w:rFonts w:ascii="Times New Roman" w:eastAsia="Calibri" w:hAnsi="Times New Roman" w:cs="Times New Roman"/>
          <w:b/>
          <w:bCs/>
          <w:sz w:val="24"/>
          <w:szCs w:val="24"/>
        </w:rPr>
        <w:t xml:space="preserve">$19,818,463,786 </w:t>
      </w:r>
      <w:r w:rsidRPr="008C1A33">
        <w:rPr>
          <w:rFonts w:ascii="Times New Roman" w:eastAsia="Calibri" w:hAnsi="Times New Roman" w:cs="Times New Roman"/>
          <w:sz w:val="24"/>
          <w:szCs w:val="24"/>
        </w:rPr>
        <w:t xml:space="preserve">correspondientes a gasto de inversión.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Su operación deberá realizarse conforme a las Reglas de Operación que para tal efecto emita la Secretaría y demás normativa aplicable, por los Entes Públicos, incluyendo a los municipios del Estado, con base en la disponibilidad y suficiencia presupuestal.</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Dentro del monto señalado en el capítulo 6000 “Inversión Pública”, se prevén recursos para el Presupuesto Participativo, con objeto de fortalecer la participación activa de la sociedad mexiquense en las políticas públicas y se ejercerá en términos de la normatividad aplicable.</w:t>
      </w:r>
    </w:p>
    <w:p w:rsidR="00A26CD3" w:rsidRPr="008C1A33" w:rsidRDefault="00A26CD3" w:rsidP="00A26CD3">
      <w:pPr>
        <w:spacing w:after="0" w:line="240" w:lineRule="auto"/>
        <w:jc w:val="both"/>
        <w:rPr>
          <w:rFonts w:ascii="Times New Roman" w:eastAsia="Calibri" w:hAnsi="Times New Roman" w:cs="Times New Roman"/>
          <w:b/>
          <w:bCs/>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37.</w:t>
      </w:r>
      <w:r w:rsidRPr="008C1A33">
        <w:rPr>
          <w:rFonts w:ascii="Times New Roman" w:eastAsia="Calibri" w:hAnsi="Times New Roman" w:cs="Times New Roman"/>
          <w:sz w:val="24"/>
          <w:szCs w:val="24"/>
        </w:rPr>
        <w:t xml:space="preserve"> El monto asignado al Capítulo 6000 “Inversión Pública”, incluye una previsión de </w:t>
      </w:r>
      <w:r w:rsidRPr="008C1A33">
        <w:rPr>
          <w:rFonts w:ascii="Times New Roman" w:eastAsia="Calibri" w:hAnsi="Times New Roman" w:cs="Times New Roman"/>
          <w:b/>
          <w:bCs/>
          <w:sz w:val="24"/>
          <w:szCs w:val="24"/>
        </w:rPr>
        <w:t>$1,053,996,516</w:t>
      </w:r>
      <w:r w:rsidRPr="008C1A33">
        <w:rPr>
          <w:rFonts w:ascii="Times New Roman" w:eastAsia="Calibri" w:hAnsi="Times New Roman" w:cs="Times New Roman"/>
          <w:sz w:val="24"/>
          <w:szCs w:val="24"/>
        </w:rPr>
        <w:t xml:space="preserve"> correspondiente al Fondo de Infraestructura Social para las Entidades (FISE), que deberá ejercerse conforme a la normativa aplicable.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 xml:space="preserve">Artículo 38. </w:t>
      </w:r>
      <w:r w:rsidRPr="008C1A33">
        <w:rPr>
          <w:rFonts w:ascii="Times New Roman" w:eastAsia="Calibri" w:hAnsi="Times New Roman" w:cs="Times New Roman"/>
          <w:sz w:val="24"/>
          <w:szCs w:val="24"/>
        </w:rPr>
        <w:t xml:space="preserve">El monto señalado en el Capítulo 6000 “Inversión Pública”, incluye una previsión de </w:t>
      </w:r>
      <w:r w:rsidRPr="008C1A33">
        <w:rPr>
          <w:rFonts w:ascii="Times New Roman" w:eastAsia="Calibri" w:hAnsi="Times New Roman" w:cs="Times New Roman"/>
          <w:b/>
          <w:bCs/>
          <w:sz w:val="24"/>
          <w:szCs w:val="24"/>
        </w:rPr>
        <w:t xml:space="preserve">$2,458,487,734 </w:t>
      </w:r>
      <w:r w:rsidRPr="008C1A33">
        <w:rPr>
          <w:rFonts w:ascii="Times New Roman" w:eastAsia="Calibri" w:hAnsi="Times New Roman" w:cs="Times New Roman"/>
          <w:sz w:val="24"/>
          <w:szCs w:val="24"/>
        </w:rPr>
        <w:t>correspondientes al Fondo de Aportaciones Múltiples (FAM) en su vertiente de infraestructura educativa en sus diferentes niveles.</w:t>
      </w:r>
      <w:r w:rsidRPr="008C1A33" w:rsidDel="00B51B7D">
        <w:rPr>
          <w:rFonts w:ascii="Times New Roman" w:eastAsia="Calibri" w:hAnsi="Times New Roman" w:cs="Times New Roman"/>
          <w:sz w:val="24"/>
          <w:szCs w:val="24"/>
        </w:rPr>
        <w:t xml:space="preserve">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39.</w:t>
      </w:r>
      <w:r w:rsidRPr="008C1A33">
        <w:rPr>
          <w:rFonts w:ascii="Times New Roman" w:eastAsia="Calibri" w:hAnsi="Times New Roman" w:cs="Times New Roman"/>
          <w:sz w:val="24"/>
          <w:szCs w:val="24"/>
        </w:rPr>
        <w:t xml:space="preserve"> El monto señalado en el capítulo 6000 “Inversión Pública”, incluye una asignación de </w:t>
      </w:r>
      <w:r w:rsidRPr="008C1A33">
        <w:rPr>
          <w:rFonts w:ascii="Times New Roman" w:eastAsia="Calibri" w:hAnsi="Times New Roman" w:cs="Times New Roman"/>
          <w:b/>
          <w:bCs/>
          <w:sz w:val="24"/>
          <w:szCs w:val="24"/>
        </w:rPr>
        <w:t>$2,500,000,000</w:t>
      </w:r>
      <w:r w:rsidRPr="008C1A33">
        <w:rPr>
          <w:rFonts w:ascii="Times New Roman" w:eastAsia="Calibri" w:hAnsi="Times New Roman" w:cs="Times New Roman"/>
          <w:sz w:val="24"/>
          <w:szCs w:val="24"/>
        </w:rPr>
        <w:t xml:space="preserve"> correspondiente al FEFOM, el cual deberá ejercerse conforme a la normativa aplicable.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VI</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Programas Sociales</w:t>
      </w:r>
    </w:p>
    <w:p w:rsidR="00A26CD3" w:rsidRPr="008C1A33" w:rsidRDefault="00A26CD3" w:rsidP="00A26CD3">
      <w:pPr>
        <w:spacing w:after="0" w:line="240" w:lineRule="auto"/>
        <w:jc w:val="both"/>
        <w:rPr>
          <w:rFonts w:ascii="Times New Roman" w:eastAsia="Calibri" w:hAnsi="Times New Roman" w:cs="Times New Roman"/>
          <w:b/>
          <w:bCs/>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40.</w:t>
      </w:r>
      <w:r w:rsidRPr="008C1A33">
        <w:rPr>
          <w:rFonts w:ascii="Times New Roman" w:eastAsia="Calibri" w:hAnsi="Times New Roman" w:cs="Times New Roman"/>
          <w:sz w:val="24"/>
          <w:szCs w:val="24"/>
        </w:rPr>
        <w:t xml:space="preserve"> La ejecución y aplicación de recursos destinados a programas sociales deberán sujetarse a las disposiciones contenidas en la Ley de Disciplina Financiera, la Ley General de Contabilidad Gubernamental, la Ley de Desarrollo Social del Estado de México, su Reglamento, y demás normatividades aplicables. La persona Titular del Poder Ejecutivo deberá publicar la denominación de los programas, y las Dependencias y Entidades Públicas, publicarán las reglas de operación de los mismos, de manera previa a la erogación de los recursos asignados.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Para efectos de seguimiento, transparencia y combate a la corrupción, la persona titular del Poder Ejecutivo, a través de la Secretaría de Bienestar, deberá presentar mensualmente a la Legislatura Local, un informe pormenorizado sobre la aplicación de los recursos y evolución de cada uno de estos programas, a más tardar el día 20 del mes siguiente.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Cuando se ejecuten obras, acciones o programas sociales con recursos provenientes de distintos órdenes de gobierno, dicha circunstancia deberá registrarse en las cuentas públicas respectivas. La difusión institucional deberá incluir el nombre, emblema y origen de las fuentes de financiamiento, así como la obra o programa estatal, federal o municipal, a fin de identificar el importe directo de los recursos, en beneficio de la población.</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VII</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lastRenderedPageBreak/>
        <w:t>Coordinación General de Protección Civil</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sz w:val="24"/>
          <w:szCs w:val="24"/>
        </w:rPr>
        <w:t>Artículo 41.</w:t>
      </w:r>
      <w:r w:rsidRPr="008C1A33">
        <w:rPr>
          <w:rFonts w:ascii="Times New Roman" w:eastAsia="Bookman Old Style" w:hAnsi="Times New Roman" w:cs="Times New Roman"/>
          <w:sz w:val="24"/>
          <w:szCs w:val="24"/>
        </w:rPr>
        <w:t xml:space="preserve"> El presente Decreto considera recursos asignados a la Coordinación General de Protección Civil, para la atención de desastres y siniestros ambientales o antropogénicos, incluidos en el capítulo 4000 “Transferencias, asignaciones, subsidios y otras ayudas”, conforme a lo previsto en el artículo 9 de la Ley de Disciplina Financiera. </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 xml:space="preserve">La Coordinación General de Protección Civil deberá remitir a la Secretaría, la información relativa al ejercicio del gasto y la situación financiera correspondiente, para su integración a la Cuenta Pública, en los términos que establezca la legislación aplicable. </w:t>
      </w:r>
    </w:p>
    <w:p w:rsidR="00A26CD3" w:rsidRPr="008C1A33" w:rsidRDefault="00A26CD3" w:rsidP="00A26CD3">
      <w:pPr>
        <w:spacing w:after="0" w:line="240" w:lineRule="auto"/>
        <w:jc w:val="both"/>
        <w:rPr>
          <w:rFonts w:ascii="Times New Roman" w:eastAsia="Bookman Old Style" w:hAnsi="Times New Roman" w:cs="Times New Roman"/>
          <w:b/>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Sección VIII</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Contingencias derivadas de desastres naturales o antropogénicos</w:t>
      </w:r>
    </w:p>
    <w:p w:rsidR="00A26CD3" w:rsidRPr="008C1A33" w:rsidRDefault="00A26CD3" w:rsidP="00A26CD3">
      <w:pPr>
        <w:spacing w:after="0" w:line="240" w:lineRule="auto"/>
        <w:jc w:val="both"/>
        <w:rPr>
          <w:rFonts w:ascii="Times New Roman" w:eastAsia="Bookman Old Style" w:hAnsi="Times New Roman" w:cs="Times New Roman"/>
          <w:b/>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b/>
          <w:sz w:val="24"/>
          <w:szCs w:val="24"/>
        </w:rPr>
        <w:t xml:space="preserve">Artículo 42. </w:t>
      </w:r>
      <w:r w:rsidRPr="008C1A33">
        <w:rPr>
          <w:rFonts w:ascii="Times New Roman" w:eastAsia="Bookman Old Style" w:hAnsi="Times New Roman" w:cs="Times New Roman"/>
          <w:sz w:val="24"/>
          <w:szCs w:val="24"/>
        </w:rPr>
        <w:t>En caso de presentarse contingencias derivadas por desastres naturales o antropogénicos durante el ejercicio fiscal 2026 que requieran la asignación inmediata de recursos adicionales a los aprobados en el Presupuesto de Egresos, el Ejecutivo del Estado, a través de la Secretaría podrá realizar las adecuaciones presupuestales necesarias para garantizar la atención inmediata de la emergencia e informará a la Legislatura del Estado, en un plazo no mayor a 15 días hábiles, contados a partir de la fecha en que se adopten las medidas extraordinarias.</w:t>
      </w:r>
    </w:p>
    <w:p w:rsidR="00A26CD3" w:rsidRPr="008C1A33" w:rsidRDefault="00A26CD3" w:rsidP="00A26CD3">
      <w:pPr>
        <w:spacing w:after="0" w:line="240" w:lineRule="auto"/>
        <w:jc w:val="both"/>
        <w:rPr>
          <w:rFonts w:ascii="Times New Roman" w:eastAsia="Bookman Old Style" w:hAnsi="Times New Roman" w:cs="Times New Roman"/>
          <w:sz w:val="24"/>
          <w:szCs w:val="24"/>
        </w:rPr>
      </w:pPr>
    </w:p>
    <w:p w:rsidR="00A26CD3" w:rsidRPr="008C1A33" w:rsidRDefault="00A26CD3" w:rsidP="00A26CD3">
      <w:pPr>
        <w:spacing w:after="0" w:line="240" w:lineRule="auto"/>
        <w:jc w:val="both"/>
        <w:rPr>
          <w:rFonts w:ascii="Times New Roman" w:eastAsia="Bookman Old Style" w:hAnsi="Times New Roman" w:cs="Times New Roman"/>
          <w:sz w:val="24"/>
          <w:szCs w:val="24"/>
        </w:rPr>
      </w:pPr>
      <w:r w:rsidRPr="008C1A33">
        <w:rPr>
          <w:rFonts w:ascii="Times New Roman" w:eastAsia="Bookman Old Style" w:hAnsi="Times New Roman" w:cs="Times New Roman"/>
          <w:sz w:val="24"/>
          <w:szCs w:val="24"/>
        </w:rPr>
        <w:t xml:space="preserve">Las Dependencias y Entidades Públicas que reciban recursos para la atención de desastres naturales o antropogénicos, serán responsables del uso y destino de los mismos y del seguimiento y evaluación de las acciones implementadas.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CAPÍTULO VI</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 xml:space="preserve">Participaciones y Aportaciones Federales a municipios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43.</w:t>
      </w:r>
      <w:r w:rsidRPr="008C1A33">
        <w:rPr>
          <w:rFonts w:ascii="Times New Roman" w:eastAsia="Calibri" w:hAnsi="Times New Roman" w:cs="Times New Roman"/>
          <w:sz w:val="24"/>
          <w:szCs w:val="24"/>
        </w:rPr>
        <w:t xml:space="preserve"> Las participaciones estimadas a distribuirse entre los municipios del Estado de México por concepto de ingresos estatales y federales ascienden a </w:t>
      </w:r>
      <w:r w:rsidRPr="008C1A33">
        <w:rPr>
          <w:rFonts w:ascii="Times New Roman" w:eastAsia="Calibri" w:hAnsi="Times New Roman" w:cs="Times New Roman"/>
          <w:b/>
          <w:bCs/>
          <w:sz w:val="24"/>
          <w:szCs w:val="24"/>
        </w:rPr>
        <w:t xml:space="preserve">$42,835,352,123 </w:t>
      </w:r>
      <w:r w:rsidRPr="008C1A33">
        <w:rPr>
          <w:rFonts w:ascii="Times New Roman" w:eastAsia="Calibri" w:hAnsi="Times New Roman" w:cs="Times New Roman"/>
          <w:sz w:val="24"/>
          <w:szCs w:val="24"/>
        </w:rPr>
        <w:t>condicionadas a la existencia de ingresos estatales y participaciones federales, así como a las variaciones en los incentivos económicos que se reciban en el Ejercicio Fiscal, conforme a la Ley de Coordinación Fiscal.</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La distribución de participaciones se realizará en los términos del Título Séptimo del Código y deberán enterarse a los municipios, según el calendario que publique la Secretaría.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En caso de retraso en el entero de los recursos, la Secretaría deberá cubrir el pago conjuntamente con los intereses correspondientes a la fecha de cumplimiento establecida.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Los municipios serán responsables del uso, destino y ejercicio de los recursos que se les transfieran, así como del control, registro y comprobación correspondientes conforme a la normativa aplicable.</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El monto estimado de participaciones de cada Municipio del Estado de México se incluye en el </w:t>
      </w:r>
      <w:r w:rsidRPr="008C1A33">
        <w:rPr>
          <w:rFonts w:ascii="Times New Roman" w:eastAsia="Calibri" w:hAnsi="Times New Roman" w:cs="Times New Roman"/>
          <w:b/>
          <w:bCs/>
          <w:sz w:val="24"/>
          <w:szCs w:val="24"/>
        </w:rPr>
        <w:t xml:space="preserve">“Anexo VII Monto estimado de participaciones de cada Municipio del Estado de México para el ejercicio fiscal 2026” </w:t>
      </w:r>
      <w:r w:rsidRPr="008C1A33">
        <w:rPr>
          <w:rFonts w:ascii="Times New Roman" w:eastAsia="Bookman Old Style" w:hAnsi="Times New Roman" w:cs="Times New Roman"/>
          <w:bCs/>
          <w:sz w:val="24"/>
          <w:szCs w:val="24"/>
        </w:rPr>
        <w:t>del presente Decreto</w:t>
      </w:r>
      <w:r w:rsidRPr="008C1A33">
        <w:rPr>
          <w:rFonts w:ascii="Times New Roman" w:eastAsia="Calibri" w:hAnsi="Times New Roman" w:cs="Times New Roman"/>
          <w:sz w:val="24"/>
          <w:szCs w:val="24"/>
        </w:rPr>
        <w:t>.</w:t>
      </w:r>
    </w:p>
    <w:p w:rsidR="00A26CD3" w:rsidRPr="008C1A33" w:rsidRDefault="00A26CD3" w:rsidP="00A26CD3">
      <w:pPr>
        <w:spacing w:after="0" w:line="240" w:lineRule="auto"/>
        <w:jc w:val="both"/>
        <w:rPr>
          <w:rFonts w:ascii="Times New Roman" w:eastAsia="Calibri" w:hAnsi="Times New Roman" w:cs="Times New Roman"/>
          <w:b/>
          <w:bCs/>
          <w:sz w:val="24"/>
          <w:szCs w:val="24"/>
        </w:rPr>
      </w:pPr>
    </w:p>
    <w:p w:rsidR="00A26CD3" w:rsidRPr="008C1A33" w:rsidRDefault="00A26CD3" w:rsidP="00A26CD3">
      <w:pPr>
        <w:spacing w:after="0" w:line="240" w:lineRule="auto"/>
        <w:jc w:val="both"/>
        <w:rPr>
          <w:rFonts w:ascii="Times New Roman" w:eastAsia="Calibri" w:hAnsi="Times New Roman" w:cs="Times New Roman"/>
          <w:b/>
          <w:bCs/>
          <w:sz w:val="24"/>
          <w:szCs w:val="24"/>
        </w:rPr>
      </w:pPr>
      <w:r w:rsidRPr="008C1A33">
        <w:rPr>
          <w:rFonts w:ascii="Times New Roman" w:eastAsia="Calibri" w:hAnsi="Times New Roman" w:cs="Times New Roman"/>
          <w:b/>
          <w:bCs/>
          <w:sz w:val="24"/>
          <w:szCs w:val="24"/>
        </w:rPr>
        <w:lastRenderedPageBreak/>
        <w:t>Artículo 44.</w:t>
      </w:r>
      <w:r w:rsidRPr="008C1A33">
        <w:rPr>
          <w:rFonts w:ascii="Times New Roman" w:eastAsia="Calibri" w:hAnsi="Times New Roman" w:cs="Times New Roman"/>
          <w:sz w:val="24"/>
          <w:szCs w:val="24"/>
        </w:rPr>
        <w:t xml:space="preserve"> Con el propósito de fortalecer las Administraciones Públicas Municipales, se estiman recursos a distribuirse entre los Municipios por concepto de Aportaciones Federales por un monto de </w:t>
      </w:r>
      <w:r w:rsidRPr="008C1A33">
        <w:rPr>
          <w:rFonts w:ascii="Times New Roman" w:eastAsia="Calibri" w:hAnsi="Times New Roman" w:cs="Times New Roman"/>
          <w:b/>
          <w:bCs/>
          <w:sz w:val="24"/>
          <w:szCs w:val="24"/>
        </w:rPr>
        <w:t>$26,013,243,470.</w:t>
      </w:r>
    </w:p>
    <w:p w:rsidR="00A26CD3" w:rsidRPr="008C1A33" w:rsidRDefault="00A26CD3" w:rsidP="00A26CD3">
      <w:pPr>
        <w:spacing w:after="0" w:line="240" w:lineRule="auto"/>
        <w:jc w:val="both"/>
        <w:rPr>
          <w:rFonts w:ascii="Times New Roman" w:eastAsia="Calibri" w:hAnsi="Times New Roman" w:cs="Times New Roman"/>
          <w:b/>
          <w:bCs/>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De esta cantidad, </w:t>
      </w:r>
      <w:r w:rsidRPr="008C1A33">
        <w:rPr>
          <w:rFonts w:ascii="Times New Roman" w:eastAsia="Calibri" w:hAnsi="Times New Roman" w:cs="Times New Roman"/>
          <w:b/>
          <w:bCs/>
          <w:sz w:val="24"/>
          <w:szCs w:val="24"/>
        </w:rPr>
        <w:t xml:space="preserve">$7,641,302,858 </w:t>
      </w:r>
      <w:r w:rsidRPr="008C1A33">
        <w:rPr>
          <w:rFonts w:ascii="Times New Roman" w:eastAsia="Calibri" w:hAnsi="Times New Roman" w:cs="Times New Roman"/>
          <w:sz w:val="24"/>
          <w:szCs w:val="24"/>
        </w:rPr>
        <w:t>corresponden al Fondo de Aportaciones para la Infraestructura Social Municipal y de las Demarcaciones Territoriales del Distrito Federal y $</w:t>
      </w:r>
      <w:r w:rsidRPr="008C1A33">
        <w:rPr>
          <w:rFonts w:ascii="Times New Roman" w:eastAsia="Calibri" w:hAnsi="Times New Roman" w:cs="Times New Roman"/>
          <w:b/>
          <w:bCs/>
          <w:sz w:val="24"/>
          <w:szCs w:val="24"/>
        </w:rPr>
        <w:t xml:space="preserve">18,371,940,612 </w:t>
      </w:r>
      <w:r w:rsidRPr="008C1A33">
        <w:rPr>
          <w:rFonts w:ascii="Times New Roman" w:eastAsia="Calibri" w:hAnsi="Times New Roman" w:cs="Times New Roman"/>
          <w:sz w:val="24"/>
          <w:szCs w:val="24"/>
        </w:rPr>
        <w:t xml:space="preserve">al Fondo de Aportaciones para el Fortalecimiento de los Municipios y de las Demarcaciones Territoriales del Distrito Federal.    </w:t>
      </w:r>
    </w:p>
    <w:p w:rsidR="00A26CD3" w:rsidRPr="008C1A33" w:rsidRDefault="00A26CD3" w:rsidP="00A26CD3">
      <w:pPr>
        <w:spacing w:after="0" w:line="240" w:lineRule="auto"/>
        <w:jc w:val="both"/>
        <w:rPr>
          <w:rFonts w:ascii="Times New Roman" w:eastAsia="Calibri" w:hAnsi="Times New Roman" w:cs="Times New Roman"/>
          <w:b/>
          <w:bCs/>
          <w:sz w:val="24"/>
          <w:szCs w:val="24"/>
        </w:rPr>
      </w:pP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TÍTULO TERCERO</w:t>
      </w:r>
    </w:p>
    <w:p w:rsidR="00A26CD3" w:rsidRPr="008C1A33" w:rsidRDefault="00A26CD3" w:rsidP="00A26CD3">
      <w:pPr>
        <w:spacing w:after="0" w:line="240" w:lineRule="auto"/>
        <w:jc w:val="center"/>
        <w:rPr>
          <w:rFonts w:ascii="Times New Roman" w:eastAsia="Calibri" w:hAnsi="Times New Roman" w:cs="Times New Roman"/>
          <w:b/>
          <w:sz w:val="24"/>
          <w:szCs w:val="24"/>
        </w:rPr>
      </w:pPr>
      <w:r w:rsidRPr="008C1A33">
        <w:rPr>
          <w:rFonts w:ascii="Times New Roman" w:eastAsia="Calibri" w:hAnsi="Times New Roman" w:cs="Times New Roman"/>
          <w:b/>
          <w:sz w:val="24"/>
          <w:szCs w:val="24"/>
        </w:rPr>
        <w:t>DE LA DEUDA PÚBLICA DEL GEM</w:t>
      </w:r>
    </w:p>
    <w:p w:rsidR="00A26CD3" w:rsidRPr="008C1A33" w:rsidRDefault="00A26CD3" w:rsidP="00A26CD3">
      <w:pPr>
        <w:spacing w:after="0" w:line="240" w:lineRule="auto"/>
        <w:jc w:val="both"/>
        <w:rPr>
          <w:rFonts w:ascii="Times New Roman" w:eastAsia="Calibri" w:hAnsi="Times New Roman" w:cs="Times New Roman"/>
          <w:b/>
          <w:bCs/>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b/>
          <w:bCs/>
          <w:sz w:val="24"/>
          <w:szCs w:val="24"/>
        </w:rPr>
        <w:t>Artículo 45.</w:t>
      </w:r>
      <w:r w:rsidRPr="008C1A33">
        <w:rPr>
          <w:rFonts w:ascii="Times New Roman" w:eastAsia="Calibri" w:hAnsi="Times New Roman" w:cs="Times New Roman"/>
          <w:sz w:val="24"/>
          <w:szCs w:val="24"/>
        </w:rPr>
        <w:t xml:space="preserve">  Las erogaciones previstas para cubrir el pago del servicio de la Deuda Pública del GEM, ascienden a la cantidad de </w:t>
      </w:r>
      <w:r w:rsidRPr="008C1A33">
        <w:rPr>
          <w:rFonts w:ascii="Times New Roman" w:eastAsia="Calibri" w:hAnsi="Times New Roman" w:cs="Times New Roman"/>
          <w:b/>
          <w:bCs/>
          <w:sz w:val="24"/>
          <w:szCs w:val="24"/>
        </w:rPr>
        <w:t>$7,138,259,635</w:t>
      </w:r>
      <w:r w:rsidRPr="008C1A33">
        <w:rPr>
          <w:rFonts w:ascii="Times New Roman" w:eastAsia="Calibri" w:hAnsi="Times New Roman" w:cs="Times New Roman"/>
          <w:sz w:val="24"/>
          <w:szCs w:val="24"/>
        </w:rPr>
        <w:t xml:space="preserve">.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Dicha cantidad incluye el pago de intereses, comisiones, coberturas y demás gastos relacionados con la Deuda Pública, de acuerdo con la composición siguiente: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ind w:left="426"/>
        <w:rPr>
          <w:rFonts w:ascii="Times New Roman" w:eastAsia="Calibri" w:hAnsi="Times New Roman" w:cs="Times New Roman"/>
          <w:bCs/>
          <w:sz w:val="24"/>
          <w:szCs w:val="24"/>
        </w:rPr>
      </w:pPr>
      <w:r w:rsidRPr="008C1A33">
        <w:rPr>
          <w:rFonts w:ascii="Times New Roman" w:eastAsia="Calibri" w:hAnsi="Times New Roman" w:cs="Times New Roman"/>
          <w:bCs/>
          <w:sz w:val="24"/>
          <w:szCs w:val="24"/>
        </w:rPr>
        <w:t xml:space="preserve">Tabla 18. Analítico de Deuda Pública, composición del monto que se asignará al capítulo de gasto 9000 “Deuda pública” </w:t>
      </w:r>
    </w:p>
    <w:p w:rsidR="00A26CD3" w:rsidRPr="008C1A33" w:rsidRDefault="00A26CD3" w:rsidP="00A26CD3">
      <w:pPr>
        <w:spacing w:after="0" w:line="240" w:lineRule="auto"/>
        <w:jc w:val="center"/>
        <w:rPr>
          <w:rFonts w:ascii="Times New Roman" w:eastAsia="Calibri" w:hAnsi="Times New Roman" w:cs="Times New Roman"/>
          <w:sz w:val="24"/>
          <w:szCs w:val="24"/>
        </w:rPr>
      </w:pPr>
    </w:p>
    <w:tbl>
      <w:tblPr>
        <w:tblW w:w="8217" w:type="dxa"/>
        <w:jc w:val="center"/>
        <w:tblLayout w:type="fixed"/>
        <w:tblCellMar>
          <w:left w:w="70" w:type="dxa"/>
          <w:right w:w="70" w:type="dxa"/>
        </w:tblCellMar>
        <w:tblLook w:val="04A0" w:firstRow="1" w:lastRow="0" w:firstColumn="1" w:lastColumn="0" w:noHBand="0" w:noVBand="1"/>
      </w:tblPr>
      <w:tblGrid>
        <w:gridCol w:w="1413"/>
        <w:gridCol w:w="4918"/>
        <w:gridCol w:w="1886"/>
      </w:tblGrid>
      <w:tr w:rsidR="00A26CD3" w:rsidRPr="008C1A33" w:rsidTr="00A26CD3">
        <w:trPr>
          <w:trHeight w:val="283"/>
          <w:tblHeader/>
          <w:jc w:val="center"/>
        </w:trPr>
        <w:tc>
          <w:tcPr>
            <w:tcW w:w="1413" w:type="dxa"/>
            <w:tcBorders>
              <w:top w:val="single" w:sz="4" w:space="0" w:color="auto"/>
              <w:left w:val="single" w:sz="4" w:space="0" w:color="auto"/>
              <w:bottom w:val="single" w:sz="4" w:space="0" w:color="auto"/>
              <w:right w:val="single" w:sz="4" w:space="0" w:color="auto"/>
            </w:tcBorders>
            <w:shd w:val="clear" w:color="000000" w:fill="C2C2C2"/>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Capítulo</w:t>
            </w:r>
          </w:p>
        </w:tc>
        <w:tc>
          <w:tcPr>
            <w:tcW w:w="4918" w:type="dxa"/>
            <w:tcBorders>
              <w:top w:val="single" w:sz="4" w:space="0" w:color="auto"/>
              <w:left w:val="nil"/>
              <w:bottom w:val="single" w:sz="4" w:space="0" w:color="auto"/>
              <w:right w:val="single" w:sz="4" w:space="0" w:color="auto"/>
            </w:tcBorders>
            <w:shd w:val="clear" w:color="000000" w:fill="C2C2C2"/>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Concepto</w:t>
            </w:r>
          </w:p>
        </w:tc>
        <w:tc>
          <w:tcPr>
            <w:tcW w:w="1886" w:type="dxa"/>
            <w:tcBorders>
              <w:top w:val="single" w:sz="4" w:space="0" w:color="auto"/>
              <w:left w:val="nil"/>
              <w:bottom w:val="single" w:sz="4" w:space="0" w:color="auto"/>
              <w:right w:val="single" w:sz="4" w:space="0" w:color="auto"/>
            </w:tcBorders>
            <w:shd w:val="clear" w:color="000000" w:fill="C2C2C2"/>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 xml:space="preserve">Monto </w:t>
            </w:r>
            <w:r w:rsidRPr="008C1A33">
              <w:rPr>
                <w:rFonts w:ascii="Times New Roman" w:eastAsia="Calibri" w:hAnsi="Times New Roman" w:cs="Times New Roman"/>
                <w:bCs/>
                <w:sz w:val="24"/>
                <w:szCs w:val="24"/>
              </w:rPr>
              <w:t>(pesos)</w:t>
            </w:r>
          </w:p>
        </w:tc>
      </w:tr>
      <w:tr w:rsidR="00A26CD3" w:rsidRPr="008C1A33" w:rsidTr="00A26CD3">
        <w:trPr>
          <w:trHeight w:val="340"/>
          <w:jc w:val="center"/>
        </w:trPr>
        <w:tc>
          <w:tcPr>
            <w:tcW w:w="1413" w:type="dxa"/>
            <w:tcBorders>
              <w:top w:val="nil"/>
              <w:left w:val="single" w:sz="4" w:space="0" w:color="auto"/>
              <w:bottom w:val="single" w:sz="4" w:space="0" w:color="auto"/>
              <w:right w:val="single" w:sz="4" w:space="0" w:color="auto"/>
            </w:tcBorders>
            <w:vAlign w:val="center"/>
            <w:hideMark/>
          </w:tcPr>
          <w:p w:rsidR="00A26CD3" w:rsidRPr="008C1A33" w:rsidRDefault="00A26CD3" w:rsidP="00A26CD3">
            <w:pPr>
              <w:spacing w:after="0" w:line="240" w:lineRule="auto"/>
              <w:jc w:val="center"/>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9000</w:t>
            </w:r>
          </w:p>
        </w:tc>
        <w:tc>
          <w:tcPr>
            <w:tcW w:w="4918"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both"/>
              <w:rPr>
                <w:rFonts w:ascii="Times New Roman" w:eastAsia="Times New Roman" w:hAnsi="Times New Roman" w:cs="Times New Roman"/>
                <w:b/>
                <w:bCs/>
                <w:color w:val="000000"/>
                <w:sz w:val="24"/>
                <w:szCs w:val="24"/>
              </w:rPr>
            </w:pPr>
            <w:r w:rsidRPr="008C1A33">
              <w:rPr>
                <w:rFonts w:ascii="Times New Roman" w:eastAsia="Times New Roman" w:hAnsi="Times New Roman" w:cs="Times New Roman"/>
                <w:b/>
                <w:bCs/>
                <w:color w:val="000000"/>
                <w:sz w:val="24"/>
                <w:szCs w:val="24"/>
              </w:rPr>
              <w:t>Deuda pública</w:t>
            </w:r>
          </w:p>
        </w:tc>
        <w:tc>
          <w:tcPr>
            <w:tcW w:w="1886"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right"/>
              <w:rPr>
                <w:rFonts w:ascii="Times New Roman" w:eastAsia="Times New Roman" w:hAnsi="Times New Roman" w:cs="Times New Roman"/>
                <w:b/>
                <w:bCs/>
                <w:color w:val="000000"/>
                <w:sz w:val="24"/>
                <w:szCs w:val="24"/>
              </w:rPr>
            </w:pPr>
            <w:r w:rsidRPr="008C1A33">
              <w:rPr>
                <w:rFonts w:ascii="Times New Roman" w:eastAsia="Calibri" w:hAnsi="Times New Roman" w:cs="Times New Roman"/>
                <w:b/>
                <w:bCs/>
                <w:color w:val="000000"/>
                <w:kern w:val="2"/>
                <w:sz w:val="24"/>
                <w:szCs w:val="24"/>
              </w:rPr>
              <w:t>15,747,941,821</w:t>
            </w:r>
          </w:p>
        </w:tc>
      </w:tr>
      <w:tr w:rsidR="00A26CD3" w:rsidRPr="008C1A33" w:rsidTr="00A26CD3">
        <w:trPr>
          <w:trHeight w:val="340"/>
          <w:jc w:val="center"/>
        </w:trPr>
        <w:tc>
          <w:tcPr>
            <w:tcW w:w="1413" w:type="dxa"/>
            <w:tcBorders>
              <w:top w:val="nil"/>
              <w:left w:val="single" w:sz="4" w:space="0" w:color="auto"/>
              <w:bottom w:val="single" w:sz="4" w:space="0" w:color="auto"/>
              <w:right w:val="single" w:sz="4" w:space="0" w:color="auto"/>
            </w:tcBorders>
            <w:vAlign w:val="center"/>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9100</w:t>
            </w:r>
          </w:p>
        </w:tc>
        <w:tc>
          <w:tcPr>
            <w:tcW w:w="4918"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both"/>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Amortización de la deuda pública</w:t>
            </w:r>
          </w:p>
        </w:tc>
        <w:tc>
          <w:tcPr>
            <w:tcW w:w="1886"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Calibri" w:hAnsi="Times New Roman" w:cs="Times New Roman"/>
                <w:color w:val="000000"/>
                <w:kern w:val="2"/>
                <w:sz w:val="24"/>
                <w:szCs w:val="24"/>
              </w:rPr>
              <w:t>2,193,684,639</w:t>
            </w:r>
          </w:p>
        </w:tc>
      </w:tr>
      <w:tr w:rsidR="00A26CD3" w:rsidRPr="008C1A33" w:rsidTr="00A26CD3">
        <w:trPr>
          <w:trHeight w:val="340"/>
          <w:jc w:val="center"/>
        </w:trPr>
        <w:tc>
          <w:tcPr>
            <w:tcW w:w="1413" w:type="dxa"/>
            <w:tcBorders>
              <w:top w:val="nil"/>
              <w:left w:val="single" w:sz="4" w:space="0" w:color="auto"/>
              <w:bottom w:val="single" w:sz="4" w:space="0" w:color="auto"/>
              <w:right w:val="single" w:sz="4" w:space="0" w:color="auto"/>
            </w:tcBorders>
            <w:vAlign w:val="center"/>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9200</w:t>
            </w:r>
          </w:p>
        </w:tc>
        <w:tc>
          <w:tcPr>
            <w:tcW w:w="4918"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both"/>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Intereses de la deuda pública</w:t>
            </w:r>
          </w:p>
        </w:tc>
        <w:tc>
          <w:tcPr>
            <w:tcW w:w="1886"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Calibri" w:hAnsi="Times New Roman" w:cs="Times New Roman"/>
                <w:color w:val="000000"/>
                <w:kern w:val="2"/>
                <w:sz w:val="24"/>
                <w:szCs w:val="24"/>
              </w:rPr>
              <w:t>6,097,798,499</w:t>
            </w:r>
          </w:p>
        </w:tc>
      </w:tr>
      <w:tr w:rsidR="00A26CD3" w:rsidRPr="008C1A33" w:rsidTr="00A26CD3">
        <w:trPr>
          <w:trHeight w:val="340"/>
          <w:jc w:val="center"/>
        </w:trPr>
        <w:tc>
          <w:tcPr>
            <w:tcW w:w="1413" w:type="dxa"/>
            <w:tcBorders>
              <w:top w:val="nil"/>
              <w:left w:val="single" w:sz="4" w:space="0" w:color="auto"/>
              <w:bottom w:val="single" w:sz="4" w:space="0" w:color="auto"/>
              <w:right w:val="single" w:sz="4" w:space="0" w:color="auto"/>
            </w:tcBorders>
            <w:vAlign w:val="center"/>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9300</w:t>
            </w:r>
          </w:p>
        </w:tc>
        <w:tc>
          <w:tcPr>
            <w:tcW w:w="4918"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both"/>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Comisiones de la deuda pública</w:t>
            </w:r>
          </w:p>
        </w:tc>
        <w:tc>
          <w:tcPr>
            <w:tcW w:w="1886"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Calibri" w:hAnsi="Times New Roman" w:cs="Times New Roman"/>
                <w:color w:val="000000"/>
                <w:kern w:val="2"/>
                <w:sz w:val="24"/>
                <w:szCs w:val="24"/>
              </w:rPr>
              <w:t>3,099,741</w:t>
            </w:r>
          </w:p>
        </w:tc>
      </w:tr>
      <w:tr w:rsidR="00A26CD3" w:rsidRPr="008C1A33" w:rsidTr="00A26CD3">
        <w:trPr>
          <w:trHeight w:val="340"/>
          <w:jc w:val="center"/>
        </w:trPr>
        <w:tc>
          <w:tcPr>
            <w:tcW w:w="1413" w:type="dxa"/>
            <w:tcBorders>
              <w:top w:val="nil"/>
              <w:left w:val="single" w:sz="4" w:space="0" w:color="auto"/>
              <w:bottom w:val="single" w:sz="4" w:space="0" w:color="auto"/>
              <w:right w:val="single" w:sz="4" w:space="0" w:color="auto"/>
            </w:tcBorders>
            <w:vAlign w:val="center"/>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9400</w:t>
            </w:r>
          </w:p>
        </w:tc>
        <w:tc>
          <w:tcPr>
            <w:tcW w:w="4918"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both"/>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Gastos de la deuda pública</w:t>
            </w:r>
          </w:p>
        </w:tc>
        <w:tc>
          <w:tcPr>
            <w:tcW w:w="1886"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Calibri" w:hAnsi="Times New Roman" w:cs="Times New Roman"/>
                <w:color w:val="000000"/>
                <w:kern w:val="2"/>
                <w:sz w:val="24"/>
                <w:szCs w:val="24"/>
              </w:rPr>
              <w:t>50,000,000</w:t>
            </w:r>
          </w:p>
        </w:tc>
      </w:tr>
      <w:tr w:rsidR="00A26CD3" w:rsidRPr="008C1A33" w:rsidTr="00A26CD3">
        <w:trPr>
          <w:trHeight w:val="340"/>
          <w:jc w:val="center"/>
        </w:trPr>
        <w:tc>
          <w:tcPr>
            <w:tcW w:w="1413" w:type="dxa"/>
            <w:tcBorders>
              <w:top w:val="nil"/>
              <w:left w:val="single" w:sz="4" w:space="0" w:color="auto"/>
              <w:bottom w:val="single" w:sz="4" w:space="0" w:color="auto"/>
              <w:right w:val="single" w:sz="4" w:space="0" w:color="auto"/>
            </w:tcBorders>
            <w:vAlign w:val="center"/>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9500</w:t>
            </w:r>
          </w:p>
        </w:tc>
        <w:tc>
          <w:tcPr>
            <w:tcW w:w="4918"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both"/>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Costo por coberturas</w:t>
            </w:r>
          </w:p>
        </w:tc>
        <w:tc>
          <w:tcPr>
            <w:tcW w:w="1886"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Calibri" w:hAnsi="Times New Roman" w:cs="Times New Roman"/>
                <w:color w:val="000000"/>
                <w:kern w:val="2"/>
                <w:sz w:val="24"/>
                <w:szCs w:val="24"/>
              </w:rPr>
              <w:t>142,559,872</w:t>
            </w:r>
          </w:p>
        </w:tc>
      </w:tr>
      <w:tr w:rsidR="00A26CD3" w:rsidRPr="008C1A33" w:rsidTr="00A26CD3">
        <w:trPr>
          <w:trHeight w:val="340"/>
          <w:jc w:val="center"/>
        </w:trPr>
        <w:tc>
          <w:tcPr>
            <w:tcW w:w="1413" w:type="dxa"/>
            <w:tcBorders>
              <w:top w:val="nil"/>
              <w:left w:val="single" w:sz="4" w:space="0" w:color="auto"/>
              <w:bottom w:val="single" w:sz="4" w:space="0" w:color="auto"/>
              <w:right w:val="single" w:sz="4" w:space="0" w:color="auto"/>
            </w:tcBorders>
            <w:vAlign w:val="center"/>
            <w:hideMark/>
          </w:tcPr>
          <w:p w:rsidR="00A26CD3" w:rsidRPr="008C1A33" w:rsidRDefault="00A26CD3" w:rsidP="00A26CD3">
            <w:pPr>
              <w:spacing w:after="0" w:line="240" w:lineRule="auto"/>
              <w:jc w:val="center"/>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9900</w:t>
            </w:r>
          </w:p>
        </w:tc>
        <w:tc>
          <w:tcPr>
            <w:tcW w:w="4918"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both"/>
              <w:rPr>
                <w:rFonts w:ascii="Times New Roman" w:eastAsia="Times New Roman" w:hAnsi="Times New Roman" w:cs="Times New Roman"/>
                <w:color w:val="000000"/>
                <w:sz w:val="24"/>
                <w:szCs w:val="24"/>
              </w:rPr>
            </w:pPr>
            <w:r w:rsidRPr="008C1A33">
              <w:rPr>
                <w:rFonts w:ascii="Times New Roman" w:eastAsia="Times New Roman" w:hAnsi="Times New Roman" w:cs="Times New Roman"/>
                <w:color w:val="000000"/>
                <w:sz w:val="24"/>
                <w:szCs w:val="24"/>
              </w:rPr>
              <w:t>Adeudos de ejercicios fiscales anteriores (ADEFAS)</w:t>
            </w:r>
          </w:p>
        </w:tc>
        <w:tc>
          <w:tcPr>
            <w:tcW w:w="1886" w:type="dxa"/>
            <w:tcBorders>
              <w:top w:val="nil"/>
              <w:left w:val="nil"/>
              <w:bottom w:val="single" w:sz="4" w:space="0" w:color="auto"/>
              <w:right w:val="single" w:sz="4" w:space="0" w:color="auto"/>
            </w:tcBorders>
            <w:vAlign w:val="center"/>
            <w:hideMark/>
          </w:tcPr>
          <w:p w:rsidR="00A26CD3" w:rsidRPr="008C1A33" w:rsidRDefault="00A26CD3" w:rsidP="00A26CD3">
            <w:pPr>
              <w:spacing w:after="0" w:line="240" w:lineRule="auto"/>
              <w:jc w:val="right"/>
              <w:rPr>
                <w:rFonts w:ascii="Times New Roman" w:eastAsia="Times New Roman" w:hAnsi="Times New Roman" w:cs="Times New Roman"/>
                <w:color w:val="000000"/>
                <w:sz w:val="24"/>
                <w:szCs w:val="24"/>
              </w:rPr>
            </w:pPr>
            <w:r w:rsidRPr="008C1A33">
              <w:rPr>
                <w:rFonts w:ascii="Times New Roman" w:eastAsia="Calibri" w:hAnsi="Times New Roman" w:cs="Times New Roman"/>
                <w:color w:val="000000"/>
                <w:kern w:val="2"/>
                <w:sz w:val="24"/>
                <w:szCs w:val="24"/>
              </w:rPr>
              <w:t>7,260,799,070</w:t>
            </w:r>
          </w:p>
        </w:tc>
      </w:tr>
    </w:tbl>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Dichas previsiones presupuestales, serán flexibles en función del comportamiento que presenten las tasas de interés y los niveles inflacionarios durante el Ejercicio Fiscal, así como las condiciones de mercado, las operaciones de renegociación o reestructuración de Deuda Pública y de los Proyectos de Prestación de Servicios (PPS), de las Asociaciones Público Privadas (APPS) u otras operaciones financieras que pudieran efectuarse en beneficio de las finanzas públicas del GEM.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De conformidad con lo dispuesto en el artículo 263, fracción XI del Código, el Ejecutivo del Estado por conducto de la Secretaría, informará trimestralmente a la Legislatura del Estado, sobre las operaciones de deuda pública y su aplicación.</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El monto estimado para cubrir el pago de los pasivos derivados de erogaciones devengadas y pendientes de liquidar al cierre del Ejercicio Fiscal 2025 de las Dependencias y Entidades Públicas, se estima en </w:t>
      </w:r>
      <w:r w:rsidRPr="008C1A33">
        <w:rPr>
          <w:rFonts w:ascii="Times New Roman" w:eastAsia="Calibri" w:hAnsi="Times New Roman" w:cs="Times New Roman"/>
          <w:b/>
          <w:bCs/>
          <w:sz w:val="24"/>
          <w:szCs w:val="24"/>
        </w:rPr>
        <w:t>$7,260,799,070</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 xml:space="preserve">Los recursos destinados al pago de Deuda Pública, así como otras obligaciones derivadas de la operación se describen en el </w:t>
      </w:r>
      <w:r w:rsidRPr="008C1A33">
        <w:rPr>
          <w:rFonts w:ascii="Times New Roman" w:eastAsia="Calibri" w:hAnsi="Times New Roman" w:cs="Times New Roman"/>
          <w:b/>
          <w:sz w:val="24"/>
          <w:szCs w:val="24"/>
        </w:rPr>
        <w:t xml:space="preserve">“Anexo VIII (a) Costo financiero de la deuda y otras obligaciones” </w:t>
      </w:r>
      <w:r w:rsidRPr="008C1A33">
        <w:rPr>
          <w:rFonts w:ascii="Times New Roman" w:eastAsia="Calibri" w:hAnsi="Times New Roman" w:cs="Times New Roman"/>
          <w:sz w:val="24"/>
          <w:szCs w:val="24"/>
        </w:rPr>
        <w:lastRenderedPageBreak/>
        <w:t xml:space="preserve">del presente Decreto. Las condiciones del financiamiento que comprenden tipo de garantía o fuente de pago, identificador en el registro estatal, instrumento de contratación, institución bancaria, tasas y plazos de contratación y destino de los recursos, se detallan en el </w:t>
      </w:r>
      <w:r w:rsidRPr="008C1A33">
        <w:rPr>
          <w:rFonts w:ascii="Times New Roman" w:eastAsia="Calibri" w:hAnsi="Times New Roman" w:cs="Times New Roman"/>
          <w:b/>
          <w:bCs/>
          <w:sz w:val="24"/>
          <w:szCs w:val="24"/>
        </w:rPr>
        <w:t xml:space="preserve">“Anexo VIII (b) Composición de la deuda pública” </w:t>
      </w:r>
      <w:r w:rsidRPr="008C1A33">
        <w:rPr>
          <w:rFonts w:ascii="Times New Roman" w:eastAsia="Calibri" w:hAnsi="Times New Roman" w:cs="Times New Roman"/>
          <w:sz w:val="24"/>
          <w:szCs w:val="24"/>
        </w:rPr>
        <w:t xml:space="preserve">del mismo. </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8C1A33" w:rsidRDefault="00A26CD3" w:rsidP="00A26CD3">
      <w:pPr>
        <w:spacing w:after="0" w:line="240" w:lineRule="auto"/>
        <w:jc w:val="both"/>
        <w:rPr>
          <w:rFonts w:ascii="Times New Roman" w:eastAsia="Calibri" w:hAnsi="Times New Roman" w:cs="Times New Roman"/>
          <w:sz w:val="24"/>
          <w:szCs w:val="24"/>
        </w:rPr>
      </w:pPr>
      <w:r w:rsidRPr="008C1A33">
        <w:rPr>
          <w:rFonts w:ascii="Times New Roman" w:eastAsia="Calibri" w:hAnsi="Times New Roman" w:cs="Times New Roman"/>
          <w:sz w:val="24"/>
          <w:szCs w:val="24"/>
        </w:rPr>
        <w:t>Los ahorros presupuestarios y economías presupuestarias producto del costo financiero de la Deuda Pública, se destinarán al fortalecimiento de los programas prioritarios, los cuales se encuentran descritos en el “</w:t>
      </w:r>
      <w:r w:rsidRPr="008C1A33">
        <w:rPr>
          <w:rFonts w:ascii="Times New Roman" w:eastAsia="Calibri" w:hAnsi="Times New Roman" w:cs="Times New Roman"/>
          <w:b/>
          <w:sz w:val="24"/>
          <w:szCs w:val="24"/>
        </w:rPr>
        <w:t>Anexo IX Programas prioritarios 2026”</w:t>
      </w:r>
      <w:r w:rsidRPr="008C1A33">
        <w:rPr>
          <w:rFonts w:ascii="Times New Roman" w:eastAsia="Calibri" w:hAnsi="Times New Roman" w:cs="Times New Roman"/>
          <w:b/>
          <w:bCs/>
          <w:sz w:val="24"/>
          <w:szCs w:val="24"/>
        </w:rPr>
        <w:t xml:space="preserve"> </w:t>
      </w:r>
      <w:r w:rsidRPr="008C1A33">
        <w:rPr>
          <w:rFonts w:ascii="Times New Roman" w:eastAsia="Calibri" w:hAnsi="Times New Roman" w:cs="Times New Roman"/>
          <w:sz w:val="24"/>
          <w:szCs w:val="24"/>
        </w:rPr>
        <w:t>del presente Decreto.</w:t>
      </w:r>
    </w:p>
    <w:p w:rsidR="00A26CD3" w:rsidRPr="008C1A33" w:rsidRDefault="00A26CD3" w:rsidP="00A26CD3">
      <w:pPr>
        <w:spacing w:after="0" w:line="240" w:lineRule="auto"/>
        <w:jc w:val="both"/>
        <w:rPr>
          <w:rFonts w:ascii="Times New Roman" w:eastAsia="Calibri" w:hAnsi="Times New Roman" w:cs="Times New Roman"/>
          <w:sz w:val="24"/>
          <w:szCs w:val="24"/>
        </w:rPr>
      </w:pPr>
    </w:p>
    <w:p w:rsidR="00A26CD3" w:rsidRPr="00A26CD3" w:rsidRDefault="00A26CD3" w:rsidP="00A26CD3">
      <w:pPr>
        <w:spacing w:after="0" w:line="240" w:lineRule="auto"/>
        <w:jc w:val="center"/>
        <w:rPr>
          <w:rFonts w:ascii="Times New Roman" w:eastAsia="Bookman Old Style" w:hAnsi="Times New Roman" w:cs="Times New Roman"/>
          <w:b/>
          <w:sz w:val="20"/>
          <w:szCs w:val="20"/>
        </w:rPr>
      </w:pPr>
      <w:r w:rsidRPr="00A26CD3">
        <w:rPr>
          <w:rFonts w:ascii="Times New Roman" w:eastAsia="Bookman Old Style" w:hAnsi="Times New Roman" w:cs="Times New Roman"/>
          <w:b/>
          <w:sz w:val="20"/>
          <w:szCs w:val="20"/>
        </w:rPr>
        <w:t>TÍTULO CUARTO</w:t>
      </w:r>
    </w:p>
    <w:p w:rsidR="00A26CD3" w:rsidRPr="00A26CD3" w:rsidRDefault="00A26CD3" w:rsidP="00A26CD3">
      <w:pPr>
        <w:spacing w:after="0" w:line="240" w:lineRule="auto"/>
        <w:jc w:val="center"/>
        <w:rPr>
          <w:rFonts w:ascii="Times New Roman" w:eastAsia="Bookman Old Style" w:hAnsi="Times New Roman" w:cs="Times New Roman"/>
          <w:b/>
          <w:sz w:val="20"/>
          <w:szCs w:val="20"/>
        </w:rPr>
      </w:pPr>
      <w:r w:rsidRPr="00A26CD3">
        <w:rPr>
          <w:rFonts w:ascii="Times New Roman" w:eastAsia="Bookman Old Style" w:hAnsi="Times New Roman" w:cs="Times New Roman"/>
          <w:b/>
          <w:sz w:val="20"/>
          <w:szCs w:val="20"/>
        </w:rPr>
        <w:t>DEL EJERCICIO, CONTROL Y EVALUACIÓN DEL PRESUPUESTO</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CAPÍTULO I</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Ejercicio y Control del Presupuesto</w:t>
      </w:r>
    </w:p>
    <w:p w:rsidR="00A26CD3" w:rsidRPr="00792EC4" w:rsidRDefault="00A26CD3" w:rsidP="00A26CD3">
      <w:pPr>
        <w:spacing w:after="0" w:line="240" w:lineRule="auto"/>
        <w:jc w:val="both"/>
        <w:rPr>
          <w:rFonts w:ascii="Times New Roman" w:eastAsia="Bookman Old Style" w:hAnsi="Times New Roman" w:cs="Times New Roman"/>
          <w:b/>
          <w:sz w:val="24"/>
          <w:szCs w:val="24"/>
        </w:rPr>
      </w:pPr>
    </w:p>
    <w:p w:rsidR="00A26CD3" w:rsidRPr="00A44852" w:rsidRDefault="00A26CD3" w:rsidP="00A26CD3">
      <w:pPr>
        <w:spacing w:after="0" w:line="240" w:lineRule="auto"/>
        <w:jc w:val="both"/>
        <w:rPr>
          <w:rFonts w:ascii="Times New Roman" w:eastAsia="Bookman Old Style" w:hAnsi="Times New Roman" w:cs="Times New Roman"/>
          <w:sz w:val="24"/>
          <w:szCs w:val="24"/>
        </w:rPr>
      </w:pPr>
      <w:r w:rsidRPr="00A44852">
        <w:rPr>
          <w:rFonts w:ascii="Times New Roman" w:eastAsia="Bookman Old Style" w:hAnsi="Times New Roman" w:cs="Times New Roman"/>
          <w:b/>
          <w:sz w:val="24"/>
          <w:szCs w:val="24"/>
        </w:rPr>
        <w:t>Artículo 46.</w:t>
      </w:r>
      <w:r w:rsidRPr="00A44852">
        <w:rPr>
          <w:rFonts w:ascii="Times New Roman" w:eastAsia="Bookman Old Style" w:hAnsi="Times New Roman" w:cs="Times New Roman"/>
          <w:sz w:val="24"/>
          <w:szCs w:val="24"/>
        </w:rPr>
        <w:t xml:space="preserve"> Con el propósito de determinar la liquidez en la Administración Pública Estatal, para operar la compensación de fondos, las Dependencias y Entidades Públicas, informarán mensualmente a la Secretaría, sobre los depósitos en moneda nacional, valores u otro tipo de operaciones financieras o bancarias que realicen. Esta información formará parte de los informes que se presenten a la Legislatura Estatal, de conformidad con las disposiciones aplicables.</w:t>
      </w:r>
    </w:p>
    <w:p w:rsidR="00A26CD3" w:rsidRPr="00A44852"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A44852">
        <w:rPr>
          <w:rFonts w:ascii="Times New Roman" w:eastAsia="Bookman Old Style" w:hAnsi="Times New Roman" w:cs="Times New Roman"/>
          <w:sz w:val="24"/>
          <w:szCs w:val="24"/>
        </w:rPr>
        <w:t>Los Entes Públicos, de acuerdo con su naturaleza y según corresponda, deberán registrar, contabilizar y publicar el ejercicio de los recursos que tengan asignados y su información financiera, conforme a la Ley General de Contabilidad Gubernamental y las normas emitidas por el CONAC, a fin de lograr la compatibilización de la información en el registro de las operaciones contables y financieras.</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 xml:space="preserve">Artículo 47. </w:t>
      </w:r>
      <w:r w:rsidRPr="00792EC4">
        <w:rPr>
          <w:rFonts w:ascii="Times New Roman" w:eastAsia="Bookman Old Style" w:hAnsi="Times New Roman" w:cs="Times New Roman"/>
          <w:sz w:val="24"/>
          <w:szCs w:val="24"/>
        </w:rPr>
        <w:t>El Ejecutivo Estatal, por conducto de la Secretaría, podrá realizar las reconducciones de recursos, de conformidad con la normativa aplicable, así como las reducciones en el gasto, en el caso de que, durante el Ejercicio Fiscal, disminuyan los ingresos previstos en la</w:t>
      </w:r>
      <w:r w:rsidRPr="00792EC4">
        <w:rPr>
          <w:rFonts w:ascii="Times New Roman" w:eastAsia="Bookman Old Style" w:hAnsi="Times New Roman" w:cs="Times New Roman"/>
          <w:b/>
          <w:color w:val="000000"/>
          <w:sz w:val="24"/>
          <w:szCs w:val="24"/>
        </w:rPr>
        <w:t xml:space="preserve"> </w:t>
      </w:r>
      <w:r w:rsidRPr="00792EC4">
        <w:rPr>
          <w:rFonts w:ascii="Times New Roman" w:eastAsia="Bookman Old Style" w:hAnsi="Times New Roman" w:cs="Times New Roman"/>
          <w:bCs/>
          <w:color w:val="000000"/>
          <w:sz w:val="24"/>
          <w:szCs w:val="24"/>
        </w:rPr>
        <w:t>LIEM</w:t>
      </w:r>
      <w:r w:rsidRPr="00792EC4">
        <w:rPr>
          <w:rFonts w:ascii="Times New Roman" w:eastAsia="Bookman Old Style" w:hAnsi="Times New Roman" w:cs="Times New Roman"/>
          <w:sz w:val="24"/>
          <w:szCs w:val="24"/>
        </w:rPr>
        <w:t>, con el objetivo de mantener un Balance Presupuestario Sostenible.</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 xml:space="preserve">Asimismo, podrá realizar las erogaciones adicionales con cargo a recursos etiquetados que perciban los Entes Públicos, de acuerdo con su naturaleza y según corresponda, para su aplicación conforme a lo dispuesto en la Ley de Disciplina Financiera, el Código y las disposiciones establecidas en el presente Decreto. </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 xml:space="preserve">Artículo 48. </w:t>
      </w:r>
      <w:r w:rsidRPr="00792EC4">
        <w:rPr>
          <w:rFonts w:ascii="Times New Roman" w:eastAsia="Bookman Old Style" w:hAnsi="Times New Roman" w:cs="Times New Roman"/>
          <w:sz w:val="24"/>
          <w:szCs w:val="24"/>
        </w:rPr>
        <w:t>Para la celebración de convenios de transferencia de recursos entre Entidades Públicas de la Administración Pública Federal y Dependencias, éstas últimas deberán solicitar previa autorización a la Secretaría e informar si dichos recursos están supeditados a una aportación estatal financiada con los recursos asignados en este Decreto a la Dependencia o Entidad Pública de que se trate, los cuales no podrán aplicarse a fines distintos a los establecidos en los convenios, reglas de operación o documentos que se formalicen para su transferencia, en apego a la normativa aplicable.</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En ningún caso las transferencias podrán generar duplicidad en el gasto, ni comprometer recursos adicionales a los definidos en el presente Decreto</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lastRenderedPageBreak/>
        <w:t xml:space="preserve">Artículo 49. </w:t>
      </w:r>
      <w:r w:rsidRPr="00792EC4">
        <w:rPr>
          <w:rFonts w:ascii="Times New Roman" w:eastAsia="Bookman Old Style" w:hAnsi="Times New Roman" w:cs="Times New Roman"/>
          <w:sz w:val="24"/>
          <w:szCs w:val="24"/>
        </w:rPr>
        <w:t>Las entidades públicas podrán celebrar convenios de colaboración con la Secretaría, de conformidad con lo previsto en artículo 3 de la LIEM.  El entero de los recursos recaudados por la Secretaría derivado de dichos convenios, se registrará como recurso fiscal (sin modificarse el monto total del presupuesto establecido para cada organismo en el presente Decreto), afectando solamente el costo de las comisiones de transferencia.</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bookmarkStart w:id="19" w:name="_heading=h.3dy6vkm" w:colFirst="0" w:colLast="0"/>
      <w:bookmarkEnd w:id="19"/>
      <w:r w:rsidRPr="00792EC4">
        <w:rPr>
          <w:rFonts w:ascii="Times New Roman" w:eastAsia="Bookman Old Style" w:hAnsi="Times New Roman" w:cs="Times New Roman"/>
          <w:b/>
          <w:sz w:val="24"/>
          <w:szCs w:val="24"/>
        </w:rPr>
        <w:t>Artículo 50.</w:t>
      </w:r>
      <w:r w:rsidRPr="00792EC4">
        <w:rPr>
          <w:rFonts w:ascii="Times New Roman" w:eastAsia="Bookman Old Style" w:hAnsi="Times New Roman" w:cs="Times New Roman"/>
          <w:sz w:val="24"/>
          <w:szCs w:val="24"/>
        </w:rPr>
        <w:t xml:space="preserve"> Se podrán realizar erogaciones adicionales a las aprobadas en el Presupuesto de Egresos, cuando se trate de Ingresos Excedentes, los cuales deberán destinarse exclusivamente a los fines establecidos en la Ley de Disciplina Financiera.</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 xml:space="preserve">Artículo 51. </w:t>
      </w:r>
      <w:r w:rsidRPr="00792EC4">
        <w:rPr>
          <w:rFonts w:ascii="Times New Roman" w:eastAsia="Bookman Old Style" w:hAnsi="Times New Roman" w:cs="Times New Roman"/>
          <w:sz w:val="24"/>
          <w:szCs w:val="24"/>
        </w:rPr>
        <w:t>El pago de ADEFAS se hará con cargo a los recursos de las partidas correspondientes, considerando lo establecido en la Ley de Disciplina Financiera.</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Los Entes Públicos, de acuerdo con su naturaleza jurídica y según corresponda deberán aplicar los mismos criterios y obligaciones establecidas en el párrafo artículo.</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CAPÍTULO II</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Medidas de contención y responsabilidad hacendaria</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Sección I</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Disposiciones Generales</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52.</w:t>
      </w:r>
      <w:r w:rsidRPr="00792EC4">
        <w:rPr>
          <w:rFonts w:ascii="Times New Roman" w:eastAsia="Bookman Old Style" w:hAnsi="Times New Roman" w:cs="Times New Roman"/>
          <w:sz w:val="24"/>
          <w:szCs w:val="24"/>
        </w:rPr>
        <w:t xml:space="preserve"> Sin perjuicio de lo que se establece en el presente Presupuesto de Egresos y la normativa aplicable, las personas titulares de los Entes Públicos, que ejerzan recursos aprobados para el Ejercicio Fiscal 2026, no podrán realizar erogaciones que no se encuentren debidamente devengadas y registradas en su contabilidad al 31 de diciembre de 2026, debiendo apegarse a los principios de racionalidad, austeridad, transparencia y disciplina presupuestaria. </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El incumplimiento de esta disposición será causa de responsabilidad en los términos de la legislación aplicable, por lo cual, la Secretaría y la Contraloría, tendrán a su cargo, el seguimiento, control y verificación de la observancia a lo dispuesto en este artículo, en el ámbito de sus respectivas competencias.</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 xml:space="preserve">Artículo 53. </w:t>
      </w:r>
      <w:r w:rsidRPr="00792EC4">
        <w:rPr>
          <w:rFonts w:ascii="Times New Roman" w:eastAsia="Bookman Old Style" w:hAnsi="Times New Roman" w:cs="Times New Roman"/>
          <w:sz w:val="24"/>
          <w:szCs w:val="24"/>
        </w:rPr>
        <w:t>Una vez aprobado el Presupuesto de Egresos, el Ejecutivo Estatal, dará continuidad a las medidas</w:t>
      </w:r>
      <w:r w:rsidRPr="00792EC4">
        <w:rPr>
          <w:rFonts w:ascii="Times New Roman" w:eastAsia="Bookman Old Style" w:hAnsi="Times New Roman" w:cs="Times New Roman"/>
          <w:b/>
          <w:sz w:val="24"/>
          <w:szCs w:val="24"/>
        </w:rPr>
        <w:t xml:space="preserve"> </w:t>
      </w:r>
      <w:r w:rsidRPr="00792EC4">
        <w:rPr>
          <w:rFonts w:ascii="Times New Roman" w:eastAsia="Bookman Old Style" w:hAnsi="Times New Roman" w:cs="Times New Roman"/>
          <w:sz w:val="24"/>
          <w:szCs w:val="24"/>
        </w:rPr>
        <w:t>de austeridad y disciplina presupuestaria aplicables, que contemplen la revisión integral de la situación de la Administración Pública con el propósito de fortalecer su eficiencia y eficacia en el cumplimiento del PDEM y los programas que de él deriven, las cuales deberán ser observadas por las Dependencias y Entidades Públicas.</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Las Dependencias y Entidades Públicas del Poder Ejecutivo, así como los poderes Legislativo y Judicial y Organismos Autónomos, deberán implementar medidas en materia de ahorro y contención del gasto, que permitan ejercer sus recursos bajo criterios de racionalidad, austeridad, transparencia y disciplina presupuestaria</w:t>
      </w:r>
      <w:r w:rsidRPr="00792EC4">
        <w:rPr>
          <w:rFonts w:ascii="Times New Roman" w:eastAsia="Bookman Old Style" w:hAnsi="Times New Roman" w:cs="Times New Roman"/>
          <w:kern w:val="2"/>
          <w:sz w:val="24"/>
          <w:szCs w:val="24"/>
        </w:rPr>
        <w:t xml:space="preserve">, que </w:t>
      </w:r>
      <w:r w:rsidRPr="00792EC4">
        <w:rPr>
          <w:rFonts w:ascii="Times New Roman" w:eastAsia="Bookman Old Style" w:hAnsi="Times New Roman" w:cs="Times New Roman"/>
          <w:sz w:val="24"/>
          <w:szCs w:val="24"/>
        </w:rPr>
        <w:t>deberán ser publicadas durante el primer trimestre del Ejercicio Fiscal.</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54.</w:t>
      </w:r>
      <w:r w:rsidRPr="00792EC4">
        <w:rPr>
          <w:rFonts w:ascii="Times New Roman" w:eastAsia="Bookman Old Style" w:hAnsi="Times New Roman" w:cs="Times New Roman"/>
          <w:sz w:val="24"/>
          <w:szCs w:val="24"/>
        </w:rPr>
        <w:t xml:space="preserve"> Las personas Titulares de las Dependencias, Entidades Públicas y de las Unidades Ejecutoras, serán responsables de la ejecución, registro y control del gasto, asegurando su aplicación oportuna y eficiente, conforme a los programas y objetivos autorizados a su cargo.</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lastRenderedPageBreak/>
        <w:t xml:space="preserve">Artículo 55. </w:t>
      </w:r>
      <w:r w:rsidRPr="00792EC4">
        <w:rPr>
          <w:rFonts w:ascii="Times New Roman" w:eastAsia="Bookman Old Style" w:hAnsi="Times New Roman" w:cs="Times New Roman"/>
          <w:sz w:val="24"/>
          <w:szCs w:val="24"/>
        </w:rPr>
        <w:t xml:space="preserve">Durante el ejercicio del gasto, todo aquel recurso que no sea ejercido en su totalidad de acuerdo con el calendario aprobado podrá ser considerado un ahorro o economía presupuestario, en apego al uso eficiente de los recursos, bajo criterios de racionalidad, austeridad, transparencia y disciplina presupuestaria, por lo que, deberán destinarse a los fines y límites estipulados en la Ley de Disciplina Financiera el Código y demás normativa aplicable. </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56.</w:t>
      </w:r>
      <w:r w:rsidRPr="00792EC4">
        <w:rPr>
          <w:rFonts w:ascii="Times New Roman" w:eastAsia="Bookman Old Style" w:hAnsi="Times New Roman" w:cs="Times New Roman"/>
          <w:sz w:val="24"/>
          <w:szCs w:val="24"/>
        </w:rPr>
        <w:t xml:space="preserve"> Las personas Titulares de las Dependencias y de las Entidades Públicas, deberán promover acciones concretas y verificar que se cumplan las disposiciones normativas en materia de racionalidad, austeridad y disciplina presupuestaria, que emita la persona Titular del Ejecutivo, para reducir las erogaciones en los conceptos siguientes:</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ind w:left="567" w:hanging="425"/>
        <w:jc w:val="both"/>
        <w:rPr>
          <w:rFonts w:ascii="Times New Roman" w:eastAsia="Bookman Old Style" w:hAnsi="Times New Roman" w:cs="Times New Roman"/>
          <w:sz w:val="24"/>
          <w:szCs w:val="24"/>
          <w:lang w:val="es-ES"/>
        </w:rPr>
      </w:pPr>
      <w:r w:rsidRPr="00792EC4">
        <w:rPr>
          <w:rFonts w:ascii="Times New Roman" w:eastAsia="Bookman Old Style" w:hAnsi="Times New Roman" w:cs="Times New Roman"/>
          <w:b/>
          <w:bCs/>
          <w:sz w:val="24"/>
          <w:szCs w:val="24"/>
          <w:lang w:val="es-ES"/>
        </w:rPr>
        <w:t>I.</w:t>
      </w:r>
      <w:r w:rsidRPr="00792EC4">
        <w:rPr>
          <w:rFonts w:ascii="Times New Roman" w:eastAsia="Bookman Old Style" w:hAnsi="Times New Roman" w:cs="Times New Roman"/>
          <w:sz w:val="24"/>
          <w:szCs w:val="24"/>
          <w:lang w:val="es-ES"/>
        </w:rPr>
        <w:t xml:space="preserve">   </w:t>
      </w:r>
      <w:r w:rsidRPr="00792EC4">
        <w:rPr>
          <w:rFonts w:ascii="Times New Roman" w:eastAsia="Bookman Old Style" w:hAnsi="Times New Roman" w:cs="Times New Roman"/>
          <w:sz w:val="24"/>
          <w:szCs w:val="24"/>
          <w:lang w:val="es-ES"/>
        </w:rPr>
        <w:tab/>
        <w:t>Gastos de servicios menores, de ceremonial y de orden social, comisiones de personal al extranjero, congresos, convenciones, ferias, festivales, desfiles, espectáculos cívicos-artísticos, exposiciones o presentaciones con gráficos y audiovisuales, impresos o publicaciones oficiales.</w:t>
      </w:r>
    </w:p>
    <w:p w:rsidR="00A26CD3" w:rsidRPr="00792EC4" w:rsidRDefault="00A26CD3" w:rsidP="00A26CD3">
      <w:pPr>
        <w:spacing w:after="0" w:line="240" w:lineRule="auto"/>
        <w:ind w:left="567" w:hanging="425"/>
        <w:jc w:val="both"/>
        <w:rPr>
          <w:rFonts w:ascii="Times New Roman" w:eastAsia="Bookman Old Style" w:hAnsi="Times New Roman" w:cs="Times New Roman"/>
          <w:sz w:val="24"/>
          <w:szCs w:val="24"/>
          <w:lang w:val="es-ES"/>
        </w:rPr>
      </w:pPr>
    </w:p>
    <w:p w:rsidR="00A26CD3" w:rsidRPr="00792EC4" w:rsidRDefault="00A26CD3" w:rsidP="00A26CD3">
      <w:pPr>
        <w:spacing w:after="0" w:line="240" w:lineRule="auto"/>
        <w:ind w:left="567" w:hanging="425"/>
        <w:jc w:val="both"/>
        <w:rPr>
          <w:rFonts w:ascii="Times New Roman" w:eastAsia="Bookman Old Style" w:hAnsi="Times New Roman" w:cs="Times New Roman"/>
          <w:sz w:val="24"/>
          <w:szCs w:val="24"/>
          <w:lang w:val="es-ES" w:eastAsia="es-MX"/>
        </w:rPr>
      </w:pPr>
      <w:r w:rsidRPr="00792EC4">
        <w:rPr>
          <w:rFonts w:ascii="Times New Roman" w:eastAsia="Bookman Old Style" w:hAnsi="Times New Roman" w:cs="Times New Roman"/>
          <w:b/>
          <w:sz w:val="24"/>
          <w:szCs w:val="24"/>
        </w:rPr>
        <w:t>II.</w:t>
      </w:r>
      <w:r w:rsidRPr="00792EC4">
        <w:rPr>
          <w:rFonts w:ascii="Times New Roman" w:eastAsia="Bookman Old Style" w:hAnsi="Times New Roman" w:cs="Times New Roman"/>
          <w:sz w:val="24"/>
          <w:szCs w:val="24"/>
        </w:rPr>
        <w:t xml:space="preserve"> </w:t>
      </w:r>
      <w:r w:rsidRPr="00792EC4">
        <w:rPr>
          <w:rFonts w:ascii="Times New Roman" w:eastAsia="Bookman Old Style" w:hAnsi="Times New Roman" w:cs="Times New Roman"/>
          <w:sz w:val="24"/>
          <w:szCs w:val="24"/>
        </w:rPr>
        <w:tab/>
      </w:r>
      <w:r w:rsidRPr="00792EC4">
        <w:rPr>
          <w:rFonts w:ascii="Times New Roman" w:eastAsia="Bookman Old Style" w:hAnsi="Times New Roman" w:cs="Times New Roman"/>
          <w:sz w:val="24"/>
          <w:szCs w:val="24"/>
          <w:lang w:val="es-ES" w:eastAsia="es-MX"/>
        </w:rPr>
        <w:t>Mobiliario, equipo de oficina, equipos de comunicaciones y telecomunicaciones, vehículos terrestres y aéreos; salvo cuando estos últimos resulten necesarios para salvaguardar la seguridad pública, la procuración de justicia, servicios de salud o servicios educativos.</w:t>
      </w:r>
    </w:p>
    <w:p w:rsidR="00A26CD3" w:rsidRPr="00792EC4" w:rsidRDefault="00A26CD3" w:rsidP="00A26CD3">
      <w:pPr>
        <w:spacing w:after="0" w:line="240" w:lineRule="auto"/>
        <w:ind w:left="567" w:hanging="425"/>
        <w:jc w:val="both"/>
        <w:rPr>
          <w:rFonts w:ascii="Times New Roman" w:eastAsia="Bookman Old Style" w:hAnsi="Times New Roman" w:cs="Times New Roman"/>
          <w:sz w:val="24"/>
          <w:szCs w:val="24"/>
        </w:rPr>
      </w:pPr>
    </w:p>
    <w:p w:rsidR="00A26CD3" w:rsidRPr="00792EC4" w:rsidRDefault="00A26CD3" w:rsidP="00A26CD3">
      <w:pPr>
        <w:spacing w:after="0" w:line="240" w:lineRule="auto"/>
        <w:ind w:left="567" w:hanging="425"/>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 xml:space="preserve">III. </w:t>
      </w:r>
      <w:r w:rsidRPr="00792EC4">
        <w:rPr>
          <w:rFonts w:ascii="Times New Roman" w:eastAsia="Bookman Old Style" w:hAnsi="Times New Roman" w:cs="Times New Roman"/>
          <w:b/>
          <w:sz w:val="24"/>
          <w:szCs w:val="24"/>
        </w:rPr>
        <w:tab/>
      </w:r>
      <w:r w:rsidRPr="00792EC4">
        <w:rPr>
          <w:rFonts w:ascii="Times New Roman" w:eastAsia="Bookman Old Style" w:hAnsi="Times New Roman" w:cs="Times New Roman"/>
          <w:sz w:val="24"/>
          <w:szCs w:val="24"/>
        </w:rPr>
        <w:t>Bienes inmuebles para oficinas públicas o la celebración de contratos de arrendamientos nuevos, salvo en los casos que sean estrictamente indispensables para la operación de las Dependencias y Entidades Públicas.</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Los procesos de adquisiciones, arrendamientos y contratación de servicios que efectúen los Entes Públicos de acuerdo a su naturaleza y según corresponda, deberán realizarse con estricto apego a lo dispuesto en la Ley de Contratación Pública del Estado de México y Municipios y demás normativa aplicable.</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Las contrataciones públicas deberán realizarse preferentemente de manera consolidada y privilegiando las licitaciones públicas, cuando se asegure la obtención de las mejores condiciones de calidad, precio y oportunidad disponibles para el Estado.</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En el caso de los poderes Legislativo y Judicial, así como los Organismos Autónomos, serán sus respectivas instancias administrativas y órganos de control los responsables de dar cumplimiento a lo establecido en el presente artículo.</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La Secretaría, la Oficialía y la Contraloría, vigilarán el cumplimiento de estas disposiciones, dentro del ámbito de sus respectivas competencias, conforme a la normativa aplicable.</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Sección II</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En materia de Comunicación Social</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57.</w:t>
      </w:r>
      <w:r w:rsidRPr="00792EC4">
        <w:rPr>
          <w:rFonts w:ascii="Times New Roman" w:eastAsia="Bookman Old Style" w:hAnsi="Times New Roman" w:cs="Times New Roman"/>
          <w:sz w:val="24"/>
          <w:szCs w:val="24"/>
        </w:rPr>
        <w:t xml:space="preserve"> Las Dependencias y Entidades Públicas, en la ejecución de sus presupuestos aprobados para el Ejercicio Fiscal 2026,</w:t>
      </w:r>
      <w:r w:rsidRPr="00792EC4">
        <w:rPr>
          <w:rFonts w:ascii="Times New Roman" w:eastAsia="Bookman Old Style" w:hAnsi="Times New Roman" w:cs="Times New Roman"/>
          <w:b/>
          <w:sz w:val="24"/>
          <w:szCs w:val="24"/>
        </w:rPr>
        <w:t xml:space="preserve"> </w:t>
      </w:r>
      <w:r w:rsidRPr="00792EC4">
        <w:rPr>
          <w:rFonts w:ascii="Times New Roman" w:eastAsia="Bookman Old Style" w:hAnsi="Times New Roman" w:cs="Times New Roman"/>
          <w:sz w:val="24"/>
          <w:szCs w:val="24"/>
        </w:rPr>
        <w:t>no podrán efectuar directamente gastos de publicidad o comunicación social.</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lastRenderedPageBreak/>
        <w:t>Toda acción de esa naturaleza, deberá realizarse a través de la Coordinación General de Comunicación Social, las cuales establecen las normas y políticas en la materia, a fin de optimizar los recursos destinados a este rubro.</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 xml:space="preserve">Los Entes Públicos promoverán, de acuerdo con su naturaleza y según corresponda, el uso de medios electrónicos y plataformas digitales al interior de sus Unidades Administrativas, en términos de la Ley de Gobierno Digital del Estado de México y Municipios, para fortalecer la comunicación gubernamental y la difusión de programas y acciones gubernamentales. Asimismo, las Entidades Públicas requerirán la autorización previa de sus órganos de gobierno que pretendan erogar recursos por este concepto. </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color w:val="ED7D31" w:themeColor="accent2"/>
          <w:sz w:val="24"/>
          <w:szCs w:val="24"/>
        </w:rPr>
      </w:pPr>
      <w:r w:rsidRPr="00792EC4">
        <w:rPr>
          <w:rFonts w:ascii="Times New Roman" w:eastAsia="Bookman Old Style" w:hAnsi="Times New Roman" w:cs="Times New Roman"/>
          <w:sz w:val="24"/>
          <w:szCs w:val="24"/>
        </w:rPr>
        <w:t>Respecto a la emisión de publicaciones oficiales, las Dependencias y Organismos Auxiliares, deberán obtener, sin excepción, la autorización del Consejo Editorial de la Administración Pública Estatal, conforme a los procedimientos y ordenamientos aplicables.</w:t>
      </w:r>
    </w:p>
    <w:p w:rsidR="00A26CD3" w:rsidRPr="00792EC4" w:rsidRDefault="00A26CD3" w:rsidP="00A26CD3">
      <w:pPr>
        <w:spacing w:after="0" w:line="240" w:lineRule="auto"/>
        <w:jc w:val="both"/>
        <w:rPr>
          <w:rFonts w:ascii="Times New Roman" w:eastAsia="Bookman Old Style" w:hAnsi="Times New Roman" w:cs="Times New Roman"/>
          <w:b/>
          <w:sz w:val="24"/>
          <w:szCs w:val="24"/>
        </w:rPr>
      </w:pP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Sección III</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r w:rsidRPr="00792EC4">
        <w:rPr>
          <w:rFonts w:ascii="Times New Roman" w:eastAsia="Bookman Old Style" w:hAnsi="Times New Roman" w:cs="Times New Roman"/>
          <w:b/>
          <w:sz w:val="24"/>
          <w:szCs w:val="24"/>
        </w:rPr>
        <w:t>En materia de Servicios Personales</w:t>
      </w:r>
      <w:r w:rsidRPr="00792EC4" w:rsidDel="002A33F1">
        <w:rPr>
          <w:rFonts w:ascii="Times New Roman" w:eastAsia="Bookman Old Style" w:hAnsi="Times New Roman" w:cs="Times New Roman"/>
          <w:b/>
          <w:sz w:val="24"/>
          <w:szCs w:val="24"/>
        </w:rPr>
        <w:t xml:space="preserve"> </w:t>
      </w:r>
    </w:p>
    <w:p w:rsidR="00A26CD3" w:rsidRPr="00792EC4" w:rsidRDefault="00A26CD3" w:rsidP="00A26CD3">
      <w:pPr>
        <w:spacing w:after="0" w:line="240" w:lineRule="auto"/>
        <w:jc w:val="center"/>
        <w:rPr>
          <w:rFonts w:ascii="Times New Roman" w:eastAsia="Bookman Old Style" w:hAnsi="Times New Roman" w:cs="Times New Roman"/>
          <w:b/>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58.</w:t>
      </w:r>
      <w:r w:rsidRPr="00792EC4">
        <w:rPr>
          <w:rFonts w:ascii="Times New Roman" w:eastAsia="Bookman Old Style" w:hAnsi="Times New Roman" w:cs="Times New Roman"/>
          <w:sz w:val="24"/>
          <w:szCs w:val="24"/>
        </w:rPr>
        <w:t xml:space="preserve"> Las Dependencias y Entidades Públicas se abstendrán de efectuar propuestas de reestructuración administrativa que impliquen erogaciones adicionales, debiendo operar conforme a los organigramas autorizados, procurando que las plazas correspondientes a las personas servidoras públicas de mandos superiores y medios de estructura, se ajusten a sus respectivos presupuestos, así como con los tabuladores de sueldo y plantillas de plazas de personal aprobadas, sin que por ello se demerite la productividad y eficiencia en el ejercicio de sus funciones. </w:t>
      </w:r>
    </w:p>
    <w:p w:rsidR="00A26CD3" w:rsidRPr="00792EC4" w:rsidRDefault="00A26CD3" w:rsidP="00A26CD3">
      <w:pPr>
        <w:spacing w:after="0" w:line="240" w:lineRule="auto"/>
        <w:jc w:val="both"/>
        <w:rPr>
          <w:rFonts w:ascii="Times New Roman" w:eastAsia="Bookman Old Style" w:hAnsi="Times New Roman" w:cs="Times New Roman"/>
          <w:sz w:val="24"/>
          <w:szCs w:val="24"/>
          <w:u w:val="single"/>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Las Dependencias y Entidades Públicas podrán realizar adecuaciones a las estructuras orgánicas, sin que ello, implique aprobación de recursos adicionales en los términos del presente artículo.</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Cuando las dependencias soliciten alguna reestructuración que implique la creación de órganos administrativos desconcentrados, se deberá justificar la necesidad de dicha modificación, en términos de eficiencia y productividad en el cumplimiento de sus funciones, ante la Oficialía, la cual habrá de analizar la propuesta y solicitar opinión de suficiencia presupuestal a la Secretaría, a fin de emitir el dictamen de viabilidad organizacional correspondiente. En caso de que la solicitud resulte procedente, la Dependencia deberá gestionar ante la Secretaría, los ajustes presupuestales necesarios y ante la Oficialía los movimientos de plazas implicados para su correcta ejecución, de acuerdo a la normativa aplicable.</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Los Ejecutores del Gasto que lleven a cabo reestructuras en la Administración Pública Estatal derivadas de reformas legales u ordenamientos de carácter administrativo, en las cuales se reasignen, reduzcan, creen o eliminen plazas, deberán solicitar a la Oficialía el dictamen de viabilidad organizacional y a la Secretaría las adecuaciones necesarias para transferir los recursos presupuestales, en apego a las disposiciones que le dan origen a la reestructura y de acuerdo a la disponibilidad presupuestal con la que se cuente.</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 xml:space="preserve">Adicional a ello, no podrán ser mayores a la asignación global de recursos para servicios personales que se apruebe en el Presupuesto con base en los tabuladores de sueldo presentados en el </w:t>
      </w:r>
      <w:r w:rsidRPr="00792EC4">
        <w:rPr>
          <w:rFonts w:ascii="Times New Roman" w:eastAsia="Bookman Old Style" w:hAnsi="Times New Roman" w:cs="Times New Roman"/>
          <w:b/>
          <w:bCs/>
          <w:sz w:val="24"/>
          <w:szCs w:val="24"/>
        </w:rPr>
        <w:t>“Anexo VI Plantilla de plazas de personal y tabuladores del Gobierno del Estado de México”</w:t>
      </w:r>
      <w:r w:rsidRPr="00792EC4">
        <w:rPr>
          <w:rFonts w:ascii="Times New Roman" w:eastAsia="Bookman Old Style" w:hAnsi="Times New Roman" w:cs="Times New Roman"/>
          <w:sz w:val="24"/>
          <w:szCs w:val="24"/>
        </w:rPr>
        <w:t xml:space="preserve"> del presente Decreto, que para tal efecto tendrán las Dependencias y Entidades Públicas que realizar las adecuaciones propias y considerar las deducciones aplicables vigentes, que se señalen en la </w:t>
      </w:r>
      <w:r w:rsidRPr="00792EC4">
        <w:rPr>
          <w:rFonts w:ascii="Times New Roman" w:eastAsia="Bookman Old Style" w:hAnsi="Times New Roman" w:cs="Times New Roman"/>
          <w:sz w:val="24"/>
          <w:szCs w:val="24"/>
        </w:rPr>
        <w:lastRenderedPageBreak/>
        <w:t>normatividad de la entidad y demás disposiciones federales, sin comprometer el equilibrio presupuestal, dando certidumbre de las remuneraciones que recibirán las personas servidoras públicas por el desempeño de su empleo, cargo o comisión de conformidad con su puesto, nivel y rango salarial a fin de que exista congruencia con las políticas salariales; para lo que la Oficialía Mayor ajustará los tabuladores de sueldo que permitan a la Secretaria de Finanzas poder determinar los impactos presupuestarios.</w:t>
      </w:r>
    </w:p>
    <w:p w:rsidR="00A26CD3" w:rsidRPr="00792EC4" w:rsidRDefault="00A26CD3" w:rsidP="00A26CD3">
      <w:pPr>
        <w:spacing w:after="0" w:line="240" w:lineRule="auto"/>
        <w:jc w:val="both"/>
        <w:rPr>
          <w:rFonts w:ascii="Times New Roman" w:eastAsia="Calibri"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En el caso de los poderes Legislativo y Judicial, así como los Organismos Autónomos, serán sus respectivas instancias administrativas y órganos de control los responsables de atender lo establecido en el presente artículo, en términos de la normativa aplicable.</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59.</w:t>
      </w:r>
      <w:r w:rsidRPr="00792EC4">
        <w:rPr>
          <w:rFonts w:ascii="Times New Roman" w:eastAsia="Bookman Old Style" w:hAnsi="Times New Roman" w:cs="Times New Roman"/>
          <w:sz w:val="24"/>
          <w:szCs w:val="24"/>
        </w:rPr>
        <w:t xml:space="preserve"> Será responsabilidad de los Entes Públicos implementar las medidas necesarias a efecto de que el monto global del Presupuesto autorizado por concepto de servicios personales, no se incremente durante el Ejercicio Fiscal 2026, observando estrictamente lo dispuesto en la Ley de Disciplina Financiera y demás normativa aplicable. </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60.</w:t>
      </w:r>
      <w:r w:rsidRPr="00792EC4">
        <w:rPr>
          <w:rFonts w:ascii="Times New Roman" w:eastAsia="Bookman Old Style" w:hAnsi="Times New Roman" w:cs="Times New Roman"/>
          <w:sz w:val="24"/>
          <w:szCs w:val="24"/>
        </w:rPr>
        <w:t xml:space="preserve"> Las Dependencias y Entidades Públicas no podrán crear nuevas plazas durante el Ejercicio Fiscal 2026, salvo aquellas derivadas de convenios sindicales, en su caso, así como en los casos señalados en el artículo 58 de este documento, promoviendo la racionalización de recursos humanos, reubicaciones internas y fortalecimiento de capacidades de personal existente, privilegiando el aprovechamiento óptimo de la plantilla laboral existente, sin perjuicio de los derechos laborales de las personas servidoras públicas. </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61.</w:t>
      </w:r>
      <w:r w:rsidRPr="00792EC4">
        <w:rPr>
          <w:rFonts w:ascii="Times New Roman" w:eastAsia="Bookman Old Style" w:hAnsi="Times New Roman" w:cs="Times New Roman"/>
          <w:sz w:val="24"/>
          <w:szCs w:val="24"/>
        </w:rPr>
        <w:t xml:space="preserve"> Las Dependencias y Entidades Públicas en el ejercicio de sus asignaciones presupuestarias, por concepto de servicios personales, deberán atender lo siguiente:</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r w:rsidRPr="00792EC4">
        <w:rPr>
          <w:rFonts w:ascii="Times New Roman" w:eastAsia="Bookman Old Style" w:hAnsi="Times New Roman" w:cs="Times New Roman"/>
          <w:b/>
          <w:bCs/>
          <w:sz w:val="24"/>
          <w:szCs w:val="24"/>
        </w:rPr>
        <w:t>I</w:t>
      </w:r>
      <w:r w:rsidRPr="00792EC4">
        <w:rPr>
          <w:rFonts w:ascii="Times New Roman" w:eastAsia="Bookman Old Style" w:hAnsi="Times New Roman" w:cs="Times New Roman"/>
          <w:sz w:val="24"/>
          <w:szCs w:val="24"/>
        </w:rPr>
        <w:t xml:space="preserve">. </w:t>
      </w:r>
      <w:r w:rsidRPr="00792EC4">
        <w:rPr>
          <w:rFonts w:ascii="Times New Roman" w:eastAsia="Bookman Old Style" w:hAnsi="Times New Roman" w:cs="Times New Roman"/>
          <w:sz w:val="24"/>
          <w:szCs w:val="24"/>
        </w:rPr>
        <w:tab/>
        <w:t xml:space="preserve">Aplicar estrictamente los tabuladores de sueldo aprobados, en apego a la normatividad estatal aplicable y a las disposiciones federales en materia de deducciones y a lo dispuesto en </w:t>
      </w:r>
      <w:r w:rsidRPr="00792EC4">
        <w:rPr>
          <w:rFonts w:ascii="Times New Roman" w:eastAsia="Bookman Old Style" w:hAnsi="Times New Roman" w:cs="Times New Roman"/>
          <w:kern w:val="2"/>
          <w:sz w:val="24"/>
          <w:szCs w:val="24"/>
        </w:rPr>
        <w:t xml:space="preserve">la normativa que en materia </w:t>
      </w:r>
      <w:r w:rsidRPr="00792EC4">
        <w:rPr>
          <w:rFonts w:ascii="Times New Roman" w:eastAsia="Bookman Old Style" w:hAnsi="Times New Roman" w:cs="Times New Roman"/>
          <w:sz w:val="24"/>
          <w:szCs w:val="24"/>
        </w:rPr>
        <w:t xml:space="preserve">de compatibilidad de plazas y demás asignaciones autorizadas, </w:t>
      </w:r>
      <w:r w:rsidRPr="00792EC4">
        <w:rPr>
          <w:rFonts w:ascii="Times New Roman" w:eastAsia="Bookman Old Style" w:hAnsi="Times New Roman" w:cs="Times New Roman"/>
          <w:kern w:val="2"/>
          <w:sz w:val="24"/>
          <w:szCs w:val="24"/>
        </w:rPr>
        <w:t xml:space="preserve">se encuentre vigente, </w:t>
      </w:r>
      <w:r w:rsidRPr="00792EC4">
        <w:rPr>
          <w:rFonts w:ascii="Times New Roman" w:eastAsia="Bookman Old Style" w:hAnsi="Times New Roman" w:cs="Times New Roman"/>
          <w:sz w:val="24"/>
          <w:szCs w:val="24"/>
        </w:rPr>
        <w:t>evitando adicionar otras prestaciones o conceptos para conformar las remuneraciones de las personas servidoras públicas a excepción de lo señalado en el artículo 82 de la Ley del Trabajo de los Servidores Públicos del Estado y Municipios; en el caso de las Dependencias y Entidades Públicas que reciban subsidio federal para el pago de servicios personales, se ajustarán los tabuladores de sueldo que autorice la Federación previa revisión y autorización de la Entidad y sin comprometer el equilibrio presupuestal,</w:t>
      </w:r>
      <w:r w:rsidRPr="00792EC4">
        <w:rPr>
          <w:rFonts w:ascii="Times New Roman" w:eastAsia="Calibri" w:hAnsi="Times New Roman" w:cs="Times New Roman"/>
          <w:kern w:val="2"/>
          <w:sz w:val="24"/>
          <w:szCs w:val="24"/>
        </w:rPr>
        <w:t xml:space="preserve"> </w:t>
      </w:r>
      <w:r w:rsidRPr="00792EC4">
        <w:rPr>
          <w:rFonts w:ascii="Times New Roman" w:eastAsia="Bookman Old Style" w:hAnsi="Times New Roman" w:cs="Times New Roman"/>
          <w:sz w:val="24"/>
          <w:szCs w:val="24"/>
        </w:rPr>
        <w:t>se ajustarán los tabuladores de sueldo que autorice la Federación para tal efecto.</w:t>
      </w: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r w:rsidRPr="00792EC4">
        <w:rPr>
          <w:rFonts w:ascii="Times New Roman" w:eastAsia="Bookman Old Style" w:hAnsi="Times New Roman" w:cs="Times New Roman"/>
          <w:b/>
          <w:bCs/>
          <w:sz w:val="24"/>
          <w:szCs w:val="24"/>
        </w:rPr>
        <w:t>II.</w:t>
      </w:r>
      <w:r w:rsidRPr="00792EC4">
        <w:rPr>
          <w:rFonts w:ascii="Times New Roman" w:eastAsia="Bookman Old Style" w:hAnsi="Times New Roman" w:cs="Times New Roman"/>
          <w:sz w:val="24"/>
          <w:szCs w:val="24"/>
        </w:rPr>
        <w:tab/>
        <w:t>No podrán autorizar, gratificaciones, estímulos extraordinarios o premios si no cuentan con la autorización de la Oficialía y siempre y cuando obtenga la suficiencia presupuestal por la Secretaría.</w:t>
      </w: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r w:rsidRPr="00792EC4">
        <w:rPr>
          <w:rFonts w:ascii="Times New Roman" w:eastAsia="Bookman Old Style" w:hAnsi="Times New Roman" w:cs="Times New Roman"/>
          <w:b/>
          <w:bCs/>
          <w:sz w:val="24"/>
          <w:szCs w:val="24"/>
        </w:rPr>
        <w:t>III.</w:t>
      </w:r>
      <w:r w:rsidRPr="00792EC4">
        <w:rPr>
          <w:rFonts w:ascii="Times New Roman" w:eastAsia="Bookman Old Style" w:hAnsi="Times New Roman" w:cs="Times New Roman"/>
          <w:sz w:val="24"/>
          <w:szCs w:val="24"/>
        </w:rPr>
        <w:t xml:space="preserve"> </w:t>
      </w:r>
      <w:r w:rsidRPr="00792EC4">
        <w:rPr>
          <w:rFonts w:ascii="Times New Roman" w:eastAsia="Bookman Old Style" w:hAnsi="Times New Roman" w:cs="Times New Roman"/>
          <w:sz w:val="24"/>
          <w:szCs w:val="24"/>
        </w:rPr>
        <w:tab/>
        <w:t>Ajustarse a las disposiciones que emita la Oficialía, en la determinación de las remuneraciones adicionales por jornadas u horas extraordinarias, los estímulos por eficiencia, gratificación en la actuación u otras prestaciones. Tratándose de remuneraciones adicionales por jornadas u horas extraordinarias y otras prestaciones del personal que labora en las Entidades Públicas, que se rijan por convenios de trabajo, los pagos se efectuarán conforme a lo estipulado en estos.</w:t>
      </w: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r w:rsidRPr="00792EC4">
        <w:rPr>
          <w:rFonts w:ascii="Times New Roman" w:eastAsia="Bookman Old Style" w:hAnsi="Times New Roman" w:cs="Times New Roman"/>
          <w:b/>
          <w:bCs/>
          <w:sz w:val="24"/>
          <w:szCs w:val="24"/>
        </w:rPr>
        <w:lastRenderedPageBreak/>
        <w:t>IV.</w:t>
      </w:r>
      <w:r w:rsidRPr="00792EC4">
        <w:rPr>
          <w:rFonts w:ascii="Times New Roman" w:eastAsia="Bookman Old Style" w:hAnsi="Times New Roman" w:cs="Times New Roman"/>
          <w:sz w:val="24"/>
          <w:szCs w:val="24"/>
        </w:rPr>
        <w:t xml:space="preserve"> </w:t>
      </w:r>
      <w:r w:rsidRPr="00792EC4">
        <w:rPr>
          <w:rFonts w:ascii="Times New Roman" w:eastAsia="Bookman Old Style" w:hAnsi="Times New Roman" w:cs="Times New Roman"/>
          <w:sz w:val="24"/>
          <w:szCs w:val="24"/>
        </w:rPr>
        <w:tab/>
        <w:t>Sujetarse a la normativa que emita la Oficialía relativa a la autorización expresa de gastos de alimentación, gastos de viaje, viáticos fijos, viáticos eventuales y de las erogaciones necesarias para el desempeño de comisiones oficiales, en su caso.</w:t>
      </w: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p>
    <w:p w:rsidR="00A26CD3" w:rsidRPr="00792EC4" w:rsidRDefault="00A26CD3" w:rsidP="00A26CD3">
      <w:pPr>
        <w:spacing w:after="0" w:line="240" w:lineRule="auto"/>
        <w:ind w:left="567" w:hanging="567"/>
        <w:jc w:val="both"/>
        <w:rPr>
          <w:rFonts w:ascii="Times New Roman" w:eastAsia="Bookman Old Style" w:hAnsi="Times New Roman" w:cs="Times New Roman"/>
          <w:sz w:val="24"/>
          <w:szCs w:val="24"/>
        </w:rPr>
      </w:pPr>
      <w:r w:rsidRPr="00792EC4">
        <w:rPr>
          <w:rFonts w:ascii="Times New Roman" w:eastAsia="Bookman Old Style" w:hAnsi="Times New Roman" w:cs="Times New Roman"/>
          <w:b/>
          <w:bCs/>
          <w:sz w:val="24"/>
          <w:szCs w:val="24"/>
        </w:rPr>
        <w:t>V.</w:t>
      </w:r>
      <w:r w:rsidRPr="00792EC4">
        <w:rPr>
          <w:rFonts w:ascii="Times New Roman" w:eastAsia="Bookman Old Style" w:hAnsi="Times New Roman" w:cs="Times New Roman"/>
          <w:sz w:val="24"/>
          <w:szCs w:val="24"/>
        </w:rPr>
        <w:t xml:space="preserve">  </w:t>
      </w:r>
      <w:r w:rsidRPr="00792EC4">
        <w:rPr>
          <w:rFonts w:ascii="Times New Roman" w:eastAsia="Bookman Old Style" w:hAnsi="Times New Roman" w:cs="Times New Roman"/>
          <w:sz w:val="24"/>
          <w:szCs w:val="24"/>
        </w:rPr>
        <w:tab/>
        <w:t>Promover el buen desempeño colectivo y la capacitación de personal, así como estimular el establecimiento de sistemas de gestión la calidad en la Administración Pública Estatal. La</w:t>
      </w:r>
      <w:r w:rsidRPr="00792EC4" w:rsidDel="008A77CD">
        <w:rPr>
          <w:rFonts w:ascii="Times New Roman" w:eastAsia="Bookman Old Style" w:hAnsi="Times New Roman" w:cs="Times New Roman"/>
          <w:sz w:val="24"/>
          <w:szCs w:val="24"/>
        </w:rPr>
        <w:t xml:space="preserve"> </w:t>
      </w:r>
      <w:r w:rsidRPr="00792EC4">
        <w:rPr>
          <w:rFonts w:ascii="Times New Roman" w:eastAsia="Bookman Old Style" w:hAnsi="Times New Roman" w:cs="Times New Roman"/>
          <w:sz w:val="24"/>
          <w:szCs w:val="24"/>
        </w:rPr>
        <w:t>Oficialía, podrá autorizar reconocimientos, por concepto al desempeño de las personas servidoras públicas de las Dependencias y Entidades Públicas del Poder Ejecutivo Estatal.</w:t>
      </w:r>
    </w:p>
    <w:p w:rsidR="00A26CD3" w:rsidRPr="00792EC4" w:rsidRDefault="00A26CD3" w:rsidP="00A26CD3">
      <w:pPr>
        <w:spacing w:after="0" w:line="240" w:lineRule="auto"/>
        <w:ind w:left="567" w:hanging="567"/>
        <w:jc w:val="both"/>
        <w:rPr>
          <w:rFonts w:ascii="Times New Roman" w:eastAsia="Bookman Old Style" w:hAnsi="Times New Roman" w:cs="Times New Roman"/>
          <w:b/>
          <w:bCs/>
          <w:sz w:val="24"/>
          <w:szCs w:val="24"/>
        </w:rPr>
      </w:pPr>
    </w:p>
    <w:p w:rsidR="00A26CD3" w:rsidRPr="00792EC4" w:rsidRDefault="00A26CD3" w:rsidP="00A26CD3">
      <w:pPr>
        <w:spacing w:after="0" w:line="240" w:lineRule="auto"/>
        <w:jc w:val="center"/>
        <w:rPr>
          <w:rFonts w:ascii="Times New Roman" w:eastAsia="Bookman Old Style" w:hAnsi="Times New Roman" w:cs="Times New Roman"/>
          <w:b/>
          <w:bCs/>
          <w:sz w:val="24"/>
          <w:szCs w:val="24"/>
        </w:rPr>
      </w:pPr>
      <w:r w:rsidRPr="00792EC4">
        <w:rPr>
          <w:rFonts w:ascii="Times New Roman" w:eastAsia="Bookman Old Style" w:hAnsi="Times New Roman" w:cs="Times New Roman"/>
          <w:b/>
          <w:bCs/>
          <w:sz w:val="24"/>
          <w:szCs w:val="24"/>
        </w:rPr>
        <w:t>Sección IV</w:t>
      </w:r>
    </w:p>
    <w:p w:rsidR="00A26CD3" w:rsidRPr="00792EC4" w:rsidRDefault="00A26CD3" w:rsidP="00A26CD3">
      <w:pPr>
        <w:spacing w:after="0" w:line="240" w:lineRule="auto"/>
        <w:jc w:val="center"/>
        <w:rPr>
          <w:rFonts w:ascii="Times New Roman" w:eastAsia="Bookman Old Style" w:hAnsi="Times New Roman" w:cs="Times New Roman"/>
          <w:b/>
          <w:bCs/>
          <w:sz w:val="24"/>
          <w:szCs w:val="24"/>
        </w:rPr>
      </w:pPr>
      <w:r w:rsidRPr="00792EC4">
        <w:rPr>
          <w:rFonts w:ascii="Times New Roman" w:eastAsia="Bookman Old Style" w:hAnsi="Times New Roman" w:cs="Times New Roman"/>
          <w:b/>
          <w:bCs/>
          <w:sz w:val="24"/>
          <w:szCs w:val="24"/>
        </w:rPr>
        <w:t>En materia de adquisición de bienes y servicios</w:t>
      </w:r>
    </w:p>
    <w:p w:rsidR="00A26CD3" w:rsidRPr="00792EC4" w:rsidRDefault="00A26CD3" w:rsidP="00A26CD3">
      <w:pPr>
        <w:spacing w:after="0" w:line="240" w:lineRule="auto"/>
        <w:jc w:val="both"/>
        <w:rPr>
          <w:rFonts w:ascii="Times New Roman" w:eastAsia="Bookman Old Style" w:hAnsi="Times New Roman" w:cs="Times New Roman"/>
          <w:b/>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b/>
          <w:sz w:val="24"/>
          <w:szCs w:val="24"/>
        </w:rPr>
        <w:t>Artículo 62.</w:t>
      </w:r>
      <w:r w:rsidRPr="00792EC4">
        <w:rPr>
          <w:rFonts w:ascii="Times New Roman" w:eastAsia="Bookman Old Style" w:hAnsi="Times New Roman" w:cs="Times New Roman"/>
          <w:sz w:val="24"/>
          <w:szCs w:val="24"/>
        </w:rPr>
        <w:t xml:space="preserve"> Las Dependencias y Entidades Públicas en sus procesos adquisitivos, deberán observar lo establecido en la Ley de Contratación Pública del Estado de México y Municipios. </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Los montos máximos de adjudicación directa, mediante concurso y por invitación restringida, aplicable a la adquisición o arrendamiento de bienes y la contratación de servicios durante el Ejercicio Fiscal 2026, serán los siguientes:</w:t>
      </w:r>
    </w:p>
    <w:p w:rsidR="00A26CD3" w:rsidRPr="00792EC4" w:rsidRDefault="00A26CD3" w:rsidP="00A26CD3">
      <w:pPr>
        <w:spacing w:after="0" w:line="240" w:lineRule="auto"/>
        <w:jc w:val="both"/>
        <w:rPr>
          <w:rFonts w:ascii="Times New Roman" w:eastAsia="Bookman Old Style" w:hAnsi="Times New Roman" w:cs="Times New Roman"/>
          <w:sz w:val="24"/>
          <w:szCs w:val="24"/>
        </w:rPr>
      </w:pPr>
    </w:p>
    <w:p w:rsidR="00A26CD3" w:rsidRPr="00792EC4" w:rsidRDefault="00A26CD3" w:rsidP="00A26CD3">
      <w:pPr>
        <w:spacing w:after="0" w:line="240" w:lineRule="auto"/>
        <w:ind w:left="284"/>
        <w:jc w:val="both"/>
        <w:rPr>
          <w:rFonts w:ascii="Times New Roman" w:eastAsia="Bookman Old Style" w:hAnsi="Times New Roman" w:cs="Times New Roman"/>
          <w:sz w:val="24"/>
          <w:szCs w:val="24"/>
        </w:rPr>
      </w:pPr>
      <w:r w:rsidRPr="00792EC4">
        <w:rPr>
          <w:rFonts w:ascii="Times New Roman" w:eastAsia="Bookman Old Style" w:hAnsi="Times New Roman" w:cs="Times New Roman"/>
          <w:sz w:val="24"/>
          <w:szCs w:val="24"/>
        </w:rPr>
        <w:t xml:space="preserve">  Tabla 19. Montos máximos de adjudicación directa e invitación restringida</w:t>
      </w:r>
    </w:p>
    <w:p w:rsidR="00A26CD3" w:rsidRPr="00792EC4" w:rsidRDefault="00A26CD3" w:rsidP="00A26CD3">
      <w:pPr>
        <w:spacing w:after="0" w:line="240" w:lineRule="auto"/>
        <w:ind w:left="284"/>
        <w:jc w:val="both"/>
        <w:rPr>
          <w:rFonts w:ascii="Times New Roman" w:eastAsia="Bookman Old Style" w:hAnsi="Times New Roman" w:cs="Times New Roman"/>
          <w:sz w:val="24"/>
          <w:szCs w:val="24"/>
        </w:rPr>
      </w:pPr>
    </w:p>
    <w:tbl>
      <w:tblPr>
        <w:tblW w:w="9164" w:type="dxa"/>
        <w:jc w:val="center"/>
        <w:tblCellMar>
          <w:left w:w="70" w:type="dxa"/>
          <w:right w:w="70" w:type="dxa"/>
        </w:tblCellMar>
        <w:tblLook w:val="04A0" w:firstRow="1" w:lastRow="0" w:firstColumn="1" w:lastColumn="0" w:noHBand="0" w:noVBand="1"/>
      </w:tblPr>
      <w:tblGrid>
        <w:gridCol w:w="2225"/>
        <w:gridCol w:w="2225"/>
        <w:gridCol w:w="2357"/>
        <w:gridCol w:w="2357"/>
      </w:tblGrid>
      <w:tr w:rsidR="00A26CD3" w:rsidRPr="00792EC4" w:rsidTr="00A26CD3">
        <w:trPr>
          <w:trHeight w:val="1125"/>
          <w:tblHeader/>
          <w:jc w:val="center"/>
        </w:trPr>
        <w:tc>
          <w:tcPr>
            <w:tcW w:w="445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A26CD3" w:rsidRPr="00792EC4" w:rsidRDefault="00A26CD3" w:rsidP="00A26CD3">
            <w:pPr>
              <w:spacing w:after="0" w:line="240" w:lineRule="auto"/>
              <w:jc w:val="center"/>
              <w:rPr>
                <w:rFonts w:ascii="Times New Roman" w:eastAsia="Times New Roman" w:hAnsi="Times New Roman" w:cs="Times New Roman"/>
                <w:b/>
                <w:bCs/>
                <w:sz w:val="24"/>
                <w:szCs w:val="24"/>
                <w:lang w:eastAsia="es-MX"/>
              </w:rPr>
            </w:pPr>
            <w:bookmarkStart w:id="20" w:name="_heading=h.1t3h5sf" w:colFirst="0" w:colLast="0"/>
            <w:bookmarkEnd w:id="20"/>
            <w:r w:rsidRPr="00792EC4">
              <w:rPr>
                <w:rFonts w:ascii="Times New Roman" w:eastAsia="Times New Roman" w:hAnsi="Times New Roman" w:cs="Times New Roman"/>
                <w:b/>
                <w:bCs/>
                <w:sz w:val="24"/>
                <w:szCs w:val="24"/>
                <w:lang w:eastAsia="es-MX"/>
              </w:rPr>
              <w:t>Presupuesto autorizado: de adquisiciones, arrendamientos y servicios a las Dependencias y Entidades Públicas</w:t>
            </w:r>
            <w:r w:rsidRPr="00792EC4">
              <w:rPr>
                <w:rFonts w:ascii="Times New Roman" w:eastAsia="Times New Roman" w:hAnsi="Times New Roman" w:cs="Times New Roman"/>
                <w:b/>
                <w:bCs/>
                <w:sz w:val="24"/>
                <w:szCs w:val="24"/>
                <w:lang w:eastAsia="es-MX"/>
              </w:rPr>
              <w:br/>
              <w:t xml:space="preserve"> (miles de pesos)</w:t>
            </w:r>
          </w:p>
        </w:tc>
        <w:tc>
          <w:tcPr>
            <w:tcW w:w="2357" w:type="dxa"/>
            <w:tcBorders>
              <w:top w:val="single" w:sz="4" w:space="0" w:color="auto"/>
              <w:left w:val="nil"/>
              <w:bottom w:val="single" w:sz="4" w:space="0" w:color="auto"/>
              <w:right w:val="single" w:sz="4" w:space="0" w:color="auto"/>
            </w:tcBorders>
            <w:shd w:val="clear" w:color="000000" w:fill="D9D9D9"/>
            <w:vAlign w:val="center"/>
            <w:hideMark/>
          </w:tcPr>
          <w:p w:rsidR="00A26CD3" w:rsidRPr="00792EC4" w:rsidRDefault="00A26CD3" w:rsidP="00A26CD3">
            <w:pPr>
              <w:spacing w:after="0" w:line="240" w:lineRule="auto"/>
              <w:jc w:val="center"/>
              <w:rPr>
                <w:rFonts w:ascii="Times New Roman" w:eastAsia="Times New Roman" w:hAnsi="Times New Roman" w:cs="Times New Roman"/>
                <w:b/>
                <w:bCs/>
                <w:sz w:val="24"/>
                <w:szCs w:val="24"/>
                <w:lang w:eastAsia="es-MX"/>
              </w:rPr>
            </w:pPr>
            <w:r w:rsidRPr="00792EC4">
              <w:rPr>
                <w:rFonts w:ascii="Times New Roman" w:eastAsia="Times New Roman" w:hAnsi="Times New Roman" w:cs="Times New Roman"/>
                <w:b/>
                <w:bCs/>
                <w:sz w:val="24"/>
                <w:szCs w:val="24"/>
                <w:lang w:eastAsia="es-MX"/>
              </w:rPr>
              <w:t>Monto máximo de cada operación que podrá realizarse por adjudicación directa (miles de pesos)</w:t>
            </w:r>
          </w:p>
        </w:tc>
        <w:tc>
          <w:tcPr>
            <w:tcW w:w="2357" w:type="dxa"/>
            <w:tcBorders>
              <w:top w:val="single" w:sz="4" w:space="0" w:color="auto"/>
              <w:left w:val="nil"/>
              <w:bottom w:val="single" w:sz="4" w:space="0" w:color="auto"/>
              <w:right w:val="single" w:sz="4" w:space="0" w:color="auto"/>
            </w:tcBorders>
            <w:shd w:val="clear" w:color="000000" w:fill="D9D9D9"/>
            <w:vAlign w:val="center"/>
            <w:hideMark/>
          </w:tcPr>
          <w:p w:rsidR="00A26CD3" w:rsidRPr="00792EC4" w:rsidRDefault="00A26CD3" w:rsidP="00A26CD3">
            <w:pPr>
              <w:spacing w:after="0" w:line="240" w:lineRule="auto"/>
              <w:jc w:val="center"/>
              <w:rPr>
                <w:rFonts w:ascii="Times New Roman" w:eastAsia="Times New Roman" w:hAnsi="Times New Roman" w:cs="Times New Roman"/>
                <w:b/>
                <w:bCs/>
                <w:sz w:val="24"/>
                <w:szCs w:val="24"/>
                <w:lang w:eastAsia="es-MX"/>
              </w:rPr>
            </w:pPr>
            <w:r w:rsidRPr="00792EC4">
              <w:rPr>
                <w:rFonts w:ascii="Times New Roman" w:eastAsia="Times New Roman" w:hAnsi="Times New Roman" w:cs="Times New Roman"/>
                <w:b/>
                <w:bCs/>
                <w:sz w:val="24"/>
                <w:szCs w:val="24"/>
                <w:lang w:eastAsia="es-MX"/>
              </w:rPr>
              <w:t>Monto máximo total de cada operación que podrá adjudicarse por invitación restringida (miles de pesos)</w:t>
            </w:r>
          </w:p>
        </w:tc>
      </w:tr>
      <w:tr w:rsidR="00A26CD3" w:rsidRPr="00792EC4" w:rsidTr="00A26CD3">
        <w:trPr>
          <w:trHeight w:val="286"/>
          <w:jc w:val="center"/>
        </w:trPr>
        <w:tc>
          <w:tcPr>
            <w:tcW w:w="2225" w:type="dxa"/>
            <w:tcBorders>
              <w:top w:val="nil"/>
              <w:left w:val="single" w:sz="4" w:space="0" w:color="auto"/>
              <w:bottom w:val="single" w:sz="4" w:space="0" w:color="auto"/>
              <w:right w:val="single" w:sz="4" w:space="0" w:color="auto"/>
            </w:tcBorders>
            <w:vAlign w:val="center"/>
            <w:hideMark/>
          </w:tcPr>
          <w:p w:rsidR="00A26CD3" w:rsidRPr="00792EC4" w:rsidRDefault="00A26CD3" w:rsidP="00A26CD3">
            <w:pPr>
              <w:spacing w:after="0" w:line="240" w:lineRule="auto"/>
              <w:jc w:val="center"/>
              <w:rPr>
                <w:rFonts w:ascii="Times New Roman" w:eastAsia="Times New Roman" w:hAnsi="Times New Roman" w:cs="Times New Roman"/>
                <w:b/>
                <w:bCs/>
                <w:sz w:val="24"/>
                <w:szCs w:val="24"/>
                <w:lang w:eastAsia="es-MX"/>
              </w:rPr>
            </w:pPr>
            <w:r w:rsidRPr="00792EC4">
              <w:rPr>
                <w:rFonts w:ascii="Times New Roman" w:eastAsia="Times New Roman" w:hAnsi="Times New Roman" w:cs="Times New Roman"/>
                <w:b/>
                <w:bCs/>
                <w:sz w:val="24"/>
                <w:szCs w:val="24"/>
                <w:lang w:eastAsia="es-MX"/>
              </w:rPr>
              <w:t xml:space="preserve">Mayor de </w:t>
            </w:r>
          </w:p>
        </w:tc>
        <w:tc>
          <w:tcPr>
            <w:tcW w:w="2225" w:type="dxa"/>
            <w:tcBorders>
              <w:top w:val="nil"/>
              <w:left w:val="nil"/>
              <w:bottom w:val="single" w:sz="4" w:space="0" w:color="auto"/>
              <w:right w:val="single" w:sz="4" w:space="0" w:color="auto"/>
            </w:tcBorders>
            <w:vAlign w:val="center"/>
            <w:hideMark/>
          </w:tcPr>
          <w:p w:rsidR="00A26CD3" w:rsidRPr="00792EC4" w:rsidRDefault="00A26CD3" w:rsidP="00A26CD3">
            <w:pPr>
              <w:spacing w:after="0" w:line="240" w:lineRule="auto"/>
              <w:jc w:val="center"/>
              <w:rPr>
                <w:rFonts w:ascii="Times New Roman" w:eastAsia="Times New Roman" w:hAnsi="Times New Roman" w:cs="Times New Roman"/>
                <w:b/>
                <w:bCs/>
                <w:sz w:val="24"/>
                <w:szCs w:val="24"/>
                <w:lang w:eastAsia="es-MX"/>
              </w:rPr>
            </w:pPr>
            <w:r w:rsidRPr="00792EC4">
              <w:rPr>
                <w:rFonts w:ascii="Times New Roman" w:eastAsia="Times New Roman" w:hAnsi="Times New Roman" w:cs="Times New Roman"/>
                <w:b/>
                <w:bCs/>
                <w:sz w:val="24"/>
                <w:szCs w:val="24"/>
                <w:lang w:eastAsia="es-MX"/>
              </w:rPr>
              <w:t>Hasta</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 </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 </w:t>
            </w:r>
          </w:p>
        </w:tc>
      </w:tr>
      <w:tr w:rsidR="00A26CD3" w:rsidRPr="00792EC4" w:rsidTr="00A26CD3">
        <w:trPr>
          <w:trHeight w:val="286"/>
          <w:jc w:val="center"/>
        </w:trPr>
        <w:tc>
          <w:tcPr>
            <w:tcW w:w="2225" w:type="dxa"/>
            <w:tcBorders>
              <w:top w:val="nil"/>
              <w:left w:val="single" w:sz="4" w:space="0" w:color="auto"/>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0</w:t>
            </w:r>
          </w:p>
        </w:tc>
        <w:tc>
          <w:tcPr>
            <w:tcW w:w="2225"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6,500</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150</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400</w:t>
            </w:r>
          </w:p>
        </w:tc>
      </w:tr>
      <w:tr w:rsidR="00A26CD3" w:rsidRPr="00792EC4" w:rsidTr="00A26CD3">
        <w:trPr>
          <w:trHeight w:val="286"/>
          <w:jc w:val="center"/>
        </w:trPr>
        <w:tc>
          <w:tcPr>
            <w:tcW w:w="2225" w:type="dxa"/>
            <w:tcBorders>
              <w:top w:val="nil"/>
              <w:left w:val="single" w:sz="4" w:space="0" w:color="auto"/>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6,500</w:t>
            </w:r>
          </w:p>
        </w:tc>
        <w:tc>
          <w:tcPr>
            <w:tcW w:w="2225"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13,000</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175</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600</w:t>
            </w:r>
          </w:p>
        </w:tc>
      </w:tr>
      <w:tr w:rsidR="00A26CD3" w:rsidRPr="00792EC4" w:rsidTr="00A26CD3">
        <w:trPr>
          <w:trHeight w:val="286"/>
          <w:jc w:val="center"/>
        </w:trPr>
        <w:tc>
          <w:tcPr>
            <w:tcW w:w="2225" w:type="dxa"/>
            <w:tcBorders>
              <w:top w:val="nil"/>
              <w:left w:val="single" w:sz="4" w:space="0" w:color="auto"/>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13,000</w:t>
            </w:r>
          </w:p>
        </w:tc>
        <w:tc>
          <w:tcPr>
            <w:tcW w:w="2225"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19,500</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200</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800</w:t>
            </w:r>
          </w:p>
        </w:tc>
      </w:tr>
      <w:tr w:rsidR="00A26CD3" w:rsidRPr="00792EC4" w:rsidTr="00A26CD3">
        <w:trPr>
          <w:trHeight w:val="286"/>
          <w:jc w:val="center"/>
        </w:trPr>
        <w:tc>
          <w:tcPr>
            <w:tcW w:w="2225" w:type="dxa"/>
            <w:tcBorders>
              <w:top w:val="nil"/>
              <w:left w:val="single" w:sz="4" w:space="0" w:color="auto"/>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19,500</w:t>
            </w:r>
          </w:p>
        </w:tc>
        <w:tc>
          <w:tcPr>
            <w:tcW w:w="2225"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26,000</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250</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1,000</w:t>
            </w:r>
          </w:p>
        </w:tc>
      </w:tr>
      <w:tr w:rsidR="00A26CD3" w:rsidRPr="00792EC4" w:rsidTr="00A26CD3">
        <w:trPr>
          <w:trHeight w:val="286"/>
          <w:jc w:val="center"/>
        </w:trPr>
        <w:tc>
          <w:tcPr>
            <w:tcW w:w="2225" w:type="dxa"/>
            <w:tcBorders>
              <w:top w:val="nil"/>
              <w:left w:val="single" w:sz="4" w:space="0" w:color="auto"/>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26,000</w:t>
            </w:r>
          </w:p>
        </w:tc>
        <w:tc>
          <w:tcPr>
            <w:tcW w:w="2225"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 </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500</w:t>
            </w:r>
          </w:p>
        </w:tc>
        <w:tc>
          <w:tcPr>
            <w:tcW w:w="2357" w:type="dxa"/>
            <w:tcBorders>
              <w:top w:val="nil"/>
              <w:left w:val="nil"/>
              <w:bottom w:val="single" w:sz="4" w:space="0" w:color="auto"/>
              <w:right w:val="single" w:sz="4" w:space="0" w:color="auto"/>
            </w:tcBorders>
            <w:noWrap/>
            <w:vAlign w:val="center"/>
            <w:hideMark/>
          </w:tcPr>
          <w:p w:rsidR="00A26CD3" w:rsidRPr="00792EC4" w:rsidRDefault="00A26CD3" w:rsidP="00A26CD3">
            <w:pPr>
              <w:spacing w:after="0" w:line="240" w:lineRule="auto"/>
              <w:jc w:val="center"/>
              <w:rPr>
                <w:rFonts w:ascii="Times New Roman" w:eastAsia="Times New Roman" w:hAnsi="Times New Roman" w:cs="Times New Roman"/>
                <w:sz w:val="24"/>
                <w:szCs w:val="24"/>
                <w:lang w:eastAsia="es-MX"/>
              </w:rPr>
            </w:pPr>
            <w:r w:rsidRPr="00792EC4">
              <w:rPr>
                <w:rFonts w:ascii="Times New Roman" w:eastAsia="Times New Roman" w:hAnsi="Times New Roman" w:cs="Times New Roman"/>
                <w:sz w:val="24"/>
                <w:szCs w:val="24"/>
                <w:lang w:eastAsia="es-MX"/>
              </w:rPr>
              <w:t>1,500</w:t>
            </w:r>
          </w:p>
        </w:tc>
      </w:tr>
    </w:tbl>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Las adquisiciones, arrendamientos de bienes o contratación de servicios, cuyo importe supere los montos máximos establecidos para adjudicación directa o invitación restringida, deberán realizarse privilegiando la licitación pública, los cuales deberán considerarse sin incluir el Impuesto al Valor Agregado, conforme a la tabla anterior.</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Las adjudicaciones directas, se substanciarán y resolverán de conformidad con la Ley de Contratación Pública del Estado de México y Municipios, y demás normativa aplicable.</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Las adjudicaciones directas se llevarán a cabo de conformidad con los casos y términos establecidos en los lineamientos que emita la Oficialía, debiendo en todo caso las Dependencias y Entidades Públicas, asegurarse, las mejores condiciones disponibles en cuanto a precio, calidad, financiamiento, oportunidad y demás circunstancias pertinentes para el GEM.</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lastRenderedPageBreak/>
        <w:t>Artículo 63.</w:t>
      </w:r>
      <w:r w:rsidRPr="00154310">
        <w:rPr>
          <w:rFonts w:ascii="Times New Roman" w:eastAsia="Bookman Old Style" w:hAnsi="Times New Roman" w:cs="Times New Roman"/>
          <w:sz w:val="24"/>
          <w:szCs w:val="24"/>
        </w:rPr>
        <w:t xml:space="preserve"> En el ejercicio de los recursos aprobados para las adquisiciones o arrendamientos de bienes y la contratación de servicios, las Dependencias y Entidades Públicas, deberán sujetarse a lo establecido en la Ley de Contratación Pública del Estado de México y Municipios y demás normativa aplicable, observando lo siguiente:</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ind w:left="567" w:hanging="567"/>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I.</w:t>
      </w:r>
      <w:r w:rsidRPr="00154310">
        <w:rPr>
          <w:rFonts w:ascii="Times New Roman" w:eastAsia="Bookman Old Style" w:hAnsi="Times New Roman" w:cs="Times New Roman"/>
          <w:sz w:val="24"/>
          <w:szCs w:val="24"/>
        </w:rPr>
        <w:t xml:space="preserve"> </w:t>
      </w:r>
      <w:r w:rsidRPr="00154310">
        <w:rPr>
          <w:rFonts w:ascii="Times New Roman" w:eastAsia="Bookman Old Style" w:hAnsi="Times New Roman" w:cs="Times New Roman"/>
          <w:sz w:val="24"/>
          <w:szCs w:val="24"/>
        </w:rPr>
        <w:tab/>
        <w:t>La adquisición de bienes muebles e inmuebles, arrendamientos y contratación de servicios, deberá alinearse a los programas presupuestarios y objetivos aprobados, cumpliendo con los lineamientos y políticas aplicables, por lo que no podrán afectarse compromisos que no hayan sido devengados al término del Ejercicio Fiscal correspondiente.</w:t>
      </w:r>
    </w:p>
    <w:p w:rsidR="00A26CD3" w:rsidRPr="00154310" w:rsidRDefault="00A26CD3" w:rsidP="00A26CD3">
      <w:pPr>
        <w:spacing w:after="0" w:line="240" w:lineRule="auto"/>
        <w:ind w:left="567" w:hanging="567"/>
        <w:jc w:val="both"/>
        <w:rPr>
          <w:rFonts w:ascii="Times New Roman" w:eastAsia="Bookman Old Style" w:hAnsi="Times New Roman" w:cs="Times New Roman"/>
          <w:sz w:val="24"/>
          <w:szCs w:val="24"/>
        </w:rPr>
      </w:pPr>
    </w:p>
    <w:p w:rsidR="00A26CD3" w:rsidRPr="00154310" w:rsidRDefault="00A26CD3" w:rsidP="00A26CD3">
      <w:pPr>
        <w:spacing w:after="0" w:line="240" w:lineRule="auto"/>
        <w:ind w:left="567" w:hanging="567"/>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ab/>
        <w:t>En apego a los principios de racionalidad, austeridad y disciplina presupuestaria en el ejercicio del gasto público, solo podrá contratarse, previa verificación de la existencia de bienes disponibles que sean susceptibles de aprovecharse por las áreas solicitantes; salvo en los casos estrictamente indispensables para la operación institucional, y únicamente cuando se cuente con la disponibilidad presupuestaria y la autorización previa de la Oficialía.</w:t>
      </w:r>
    </w:p>
    <w:p w:rsidR="00A26CD3" w:rsidRPr="00154310" w:rsidRDefault="00A26CD3" w:rsidP="00A26CD3">
      <w:pPr>
        <w:spacing w:after="0" w:line="240" w:lineRule="auto"/>
        <w:ind w:left="567" w:hanging="567"/>
        <w:jc w:val="both"/>
        <w:rPr>
          <w:rFonts w:ascii="Times New Roman" w:eastAsia="Bookman Old Style" w:hAnsi="Times New Roman" w:cs="Times New Roman"/>
          <w:sz w:val="24"/>
          <w:szCs w:val="24"/>
        </w:rPr>
      </w:pPr>
    </w:p>
    <w:p w:rsidR="00A26CD3" w:rsidRPr="00154310" w:rsidRDefault="00A26CD3" w:rsidP="00A26CD3">
      <w:pPr>
        <w:spacing w:after="0" w:line="240" w:lineRule="auto"/>
        <w:ind w:left="567" w:hanging="567"/>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II.</w:t>
      </w:r>
      <w:r w:rsidRPr="00154310">
        <w:rPr>
          <w:rFonts w:ascii="Times New Roman" w:eastAsia="Bookman Old Style" w:hAnsi="Times New Roman" w:cs="Times New Roman"/>
          <w:sz w:val="24"/>
          <w:szCs w:val="24"/>
        </w:rPr>
        <w:t xml:space="preserve"> </w:t>
      </w:r>
      <w:r w:rsidRPr="00154310">
        <w:rPr>
          <w:rFonts w:ascii="Times New Roman" w:eastAsia="Bookman Old Style" w:hAnsi="Times New Roman" w:cs="Times New Roman"/>
          <w:sz w:val="24"/>
          <w:szCs w:val="24"/>
        </w:rPr>
        <w:tab/>
        <w:t>La adquisición o arrendamiento de bienes de marcas específicas, la contratación de servicios y adquisiciones urgentes con personas físicas o jurídicas colectivas determinadas, serán excepcionales, debiendo estar justificadas y sujetarse la normatividad aplicable.</w:t>
      </w:r>
    </w:p>
    <w:p w:rsidR="00A26CD3" w:rsidRPr="00154310" w:rsidRDefault="00A26CD3" w:rsidP="00A26CD3">
      <w:pPr>
        <w:spacing w:after="0" w:line="240" w:lineRule="auto"/>
        <w:ind w:left="567" w:hanging="567"/>
        <w:jc w:val="both"/>
        <w:rPr>
          <w:rFonts w:ascii="Times New Roman" w:eastAsia="Bookman Old Style" w:hAnsi="Times New Roman" w:cs="Times New Roman"/>
          <w:b/>
          <w:sz w:val="24"/>
          <w:szCs w:val="24"/>
        </w:rPr>
      </w:pPr>
    </w:p>
    <w:p w:rsidR="00A26CD3" w:rsidRPr="00154310" w:rsidRDefault="00A26CD3" w:rsidP="00A26CD3">
      <w:pPr>
        <w:spacing w:after="0" w:line="240" w:lineRule="auto"/>
        <w:ind w:left="567" w:hanging="567"/>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III.</w:t>
      </w:r>
      <w:r w:rsidRPr="00154310">
        <w:rPr>
          <w:rFonts w:ascii="Times New Roman" w:eastAsia="Bookman Old Style" w:hAnsi="Times New Roman" w:cs="Times New Roman"/>
          <w:sz w:val="24"/>
          <w:szCs w:val="24"/>
        </w:rPr>
        <w:t xml:space="preserve"> </w:t>
      </w:r>
      <w:r w:rsidRPr="00154310">
        <w:rPr>
          <w:rFonts w:ascii="Times New Roman" w:eastAsia="Bookman Old Style" w:hAnsi="Times New Roman" w:cs="Times New Roman"/>
          <w:sz w:val="24"/>
          <w:szCs w:val="24"/>
        </w:rPr>
        <w:tab/>
        <w:t>La adquisición de mobiliario y equipo de oficina, bienes informáticos, maquinaria y equipo agropecuario, industrial o de comunicación para la operación de las Dependencias y Entidades Públicas, se reducirá a lo mínimo indispensable para el correcto ejercicio de las funciones que tienen encomendadas, en los siguientes casos: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F068E2">
      <w:pPr>
        <w:numPr>
          <w:ilvl w:val="0"/>
          <w:numId w:val="124"/>
        </w:numPr>
        <w:spacing w:after="0" w:line="240" w:lineRule="auto"/>
        <w:contextualSpacing/>
        <w:jc w:val="both"/>
        <w:rPr>
          <w:rFonts w:ascii="Times New Roman" w:eastAsia="Bookman Old Style" w:hAnsi="Times New Roman" w:cs="Times New Roman"/>
          <w:sz w:val="24"/>
          <w:szCs w:val="24"/>
          <w:lang w:val="es-ES_tradnl"/>
        </w:rPr>
      </w:pPr>
      <w:r w:rsidRPr="00154310">
        <w:rPr>
          <w:rFonts w:ascii="Times New Roman" w:eastAsia="Bookman Old Style" w:hAnsi="Times New Roman" w:cs="Times New Roman"/>
          <w:sz w:val="24"/>
          <w:szCs w:val="24"/>
          <w:lang w:val="es-ES_tradnl"/>
        </w:rPr>
        <w:t>Cuando se derive de las necesidades básicas de unidades administrativas de nueva creación.</w:t>
      </w:r>
    </w:p>
    <w:p w:rsidR="00A26CD3" w:rsidRPr="00154310" w:rsidRDefault="00A26CD3" w:rsidP="00A26CD3">
      <w:pPr>
        <w:spacing w:after="0" w:line="240" w:lineRule="auto"/>
        <w:ind w:left="993" w:hanging="426"/>
        <w:jc w:val="both"/>
        <w:rPr>
          <w:rFonts w:ascii="Times New Roman" w:eastAsia="Bookman Old Style" w:hAnsi="Times New Roman" w:cs="Times New Roman"/>
          <w:sz w:val="24"/>
          <w:szCs w:val="24"/>
        </w:rPr>
      </w:pPr>
    </w:p>
    <w:p w:rsidR="00A26CD3" w:rsidRPr="00154310" w:rsidRDefault="00A26CD3" w:rsidP="00F068E2">
      <w:pPr>
        <w:numPr>
          <w:ilvl w:val="0"/>
          <w:numId w:val="124"/>
        </w:numPr>
        <w:spacing w:after="0" w:line="240" w:lineRule="auto"/>
        <w:contextualSpacing/>
        <w:jc w:val="both"/>
        <w:rPr>
          <w:rFonts w:ascii="Times New Roman" w:eastAsia="Bookman Old Style" w:hAnsi="Times New Roman" w:cs="Times New Roman"/>
          <w:sz w:val="24"/>
          <w:szCs w:val="24"/>
          <w:lang w:val="es-ES_tradnl"/>
        </w:rPr>
      </w:pPr>
      <w:r w:rsidRPr="00154310">
        <w:rPr>
          <w:rFonts w:ascii="Times New Roman" w:eastAsia="Bookman Old Style" w:hAnsi="Times New Roman" w:cs="Times New Roman"/>
          <w:sz w:val="24"/>
          <w:szCs w:val="24"/>
          <w:lang w:val="es-ES_tradnl"/>
        </w:rPr>
        <w:t>Cuando se relacione directamente con las acciones de simplificación o modernización administrativa con la desconcentración de servicios, debiendo en este último caso, reasignarse los bienes muebles de la unidad administrativa desconcentrada respectiva.</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IV.</w:t>
      </w:r>
      <w:r w:rsidRPr="00154310">
        <w:rPr>
          <w:rFonts w:ascii="Times New Roman" w:eastAsia="Bookman Old Style" w:hAnsi="Times New Roman" w:cs="Times New Roman"/>
          <w:sz w:val="24"/>
          <w:szCs w:val="24"/>
        </w:rPr>
        <w:t xml:space="preserve"> </w:t>
      </w:r>
      <w:r w:rsidRPr="00154310">
        <w:rPr>
          <w:rFonts w:ascii="Times New Roman" w:eastAsia="Bookman Old Style" w:hAnsi="Times New Roman" w:cs="Times New Roman"/>
          <w:sz w:val="24"/>
          <w:szCs w:val="24"/>
        </w:rPr>
        <w:tab/>
        <w:t>La sustitución de vehículos, se autorizará únicamente por reposición de unidades dadas de baja o para la ampliación de servicios esenciales de seguridad pública, procuración de justicia y salud, previo dictamen de la Oficialía.</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V.</w:t>
      </w:r>
      <w:r w:rsidRPr="00154310">
        <w:rPr>
          <w:rFonts w:ascii="Times New Roman" w:eastAsia="Bookman Old Style" w:hAnsi="Times New Roman" w:cs="Times New Roman"/>
          <w:sz w:val="24"/>
          <w:szCs w:val="24"/>
        </w:rPr>
        <w:t xml:space="preserve"> </w:t>
      </w:r>
      <w:r w:rsidRPr="00154310">
        <w:rPr>
          <w:rFonts w:ascii="Times New Roman" w:eastAsia="Bookman Old Style" w:hAnsi="Times New Roman" w:cs="Times New Roman"/>
          <w:sz w:val="24"/>
          <w:szCs w:val="24"/>
        </w:rPr>
        <w:tab/>
        <w:t>La contratación de nuevos servicios, sólo podrá efectuarse únicamente cuando se justifique su necesidad, conforme al cumplimiento de objetivos y metas de los programas autorizados, emergentes o de atención a la ciudadanía, previo dictamen de la Oficialía.</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VI.</w:t>
      </w:r>
      <w:r w:rsidRPr="00154310">
        <w:rPr>
          <w:rFonts w:ascii="Times New Roman" w:eastAsia="Bookman Old Style" w:hAnsi="Times New Roman" w:cs="Times New Roman"/>
          <w:sz w:val="24"/>
          <w:szCs w:val="24"/>
        </w:rPr>
        <w:t xml:space="preserve"> </w:t>
      </w:r>
      <w:r w:rsidRPr="00154310">
        <w:rPr>
          <w:rFonts w:ascii="Times New Roman" w:eastAsia="Bookman Old Style" w:hAnsi="Times New Roman" w:cs="Times New Roman"/>
          <w:sz w:val="24"/>
          <w:szCs w:val="24"/>
        </w:rPr>
        <w:tab/>
        <w:t xml:space="preserve">Las Dependencias y Entidades Públicas podrán realizar trabajos de conservación, mantenimiento, reparación o adaptación de bienes inmuebles, destinados a la prestación de servicios públicos y oficinas gubernamentales, siempre que se acredite </w:t>
      </w:r>
      <w:r w:rsidRPr="00154310">
        <w:rPr>
          <w:rFonts w:ascii="Times New Roman" w:eastAsia="Bookman Old Style" w:hAnsi="Times New Roman" w:cs="Times New Roman"/>
          <w:sz w:val="24"/>
          <w:szCs w:val="24"/>
        </w:rPr>
        <w:tab/>
        <w:t xml:space="preserve">su necesidad para la optimización de la prestación de servicios públicos, la </w:t>
      </w:r>
      <w:r w:rsidRPr="00154310">
        <w:rPr>
          <w:rFonts w:ascii="Times New Roman" w:eastAsia="Bookman Old Style" w:hAnsi="Times New Roman" w:cs="Times New Roman"/>
          <w:sz w:val="24"/>
          <w:szCs w:val="24"/>
        </w:rPr>
        <w:tab/>
        <w:t xml:space="preserve">funcionalidad de oficinas gubernamentales, el aprovechamiento de espacios y en su caso, se evite el deterioro de los inmuebles, previa autorización de la Oficialía. </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 xml:space="preserve">Las adquisiciones de bienes, arrendamientos o contratación de servicios que realicen las Dependencias y Entidades Públicas, deberán contar con la certificación de disponibilidad </w:t>
      </w:r>
      <w:r w:rsidRPr="00154310">
        <w:rPr>
          <w:rFonts w:ascii="Times New Roman" w:eastAsia="Bookman Old Style" w:hAnsi="Times New Roman" w:cs="Times New Roman"/>
          <w:sz w:val="24"/>
          <w:szCs w:val="24"/>
        </w:rPr>
        <w:lastRenderedPageBreak/>
        <w:t>presupuestaria emitida por el sistema de control presupuestal respectivo, previo al inicio del trámite de contratación correspondiente.</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VII.</w:t>
      </w:r>
      <w:r w:rsidRPr="00154310">
        <w:rPr>
          <w:rFonts w:ascii="Times New Roman" w:eastAsia="Bookman Old Style" w:hAnsi="Times New Roman" w:cs="Times New Roman"/>
          <w:sz w:val="24"/>
          <w:szCs w:val="24"/>
        </w:rPr>
        <w:t xml:space="preserve"> </w:t>
      </w:r>
      <w:r w:rsidRPr="00154310">
        <w:rPr>
          <w:rFonts w:ascii="Times New Roman" w:eastAsia="Bookman Old Style" w:hAnsi="Times New Roman" w:cs="Times New Roman"/>
          <w:sz w:val="24"/>
          <w:szCs w:val="24"/>
        </w:rPr>
        <w:tab/>
        <w:t xml:space="preserve">El pago de los bienes y servicios deberá realizarse en moneda nacional. En los casos en </w:t>
      </w:r>
      <w:r w:rsidR="00C54B95">
        <w:rPr>
          <w:rFonts w:ascii="Times New Roman" w:eastAsia="Bookman Old Style" w:hAnsi="Times New Roman" w:cs="Times New Roman"/>
          <w:sz w:val="24"/>
          <w:szCs w:val="24"/>
        </w:rPr>
        <w:t xml:space="preserve"> </w:t>
      </w:r>
      <w:r w:rsidRPr="00154310">
        <w:rPr>
          <w:rFonts w:ascii="Times New Roman" w:eastAsia="Bookman Old Style" w:hAnsi="Times New Roman" w:cs="Times New Roman"/>
          <w:sz w:val="24"/>
          <w:szCs w:val="24"/>
        </w:rPr>
        <w:t>que, derivado de su naturaleza se contraigan obligaciones de pago en moneda extranjera, estas se sufragarán al equivalente en moneda nacional al tipo de cambio que rija en el lugar y fecha en que se haga el pago de conformidad con lo que disponga el Banco de México, publicado en el Diario Oficial de la Federación.</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CAPÍTULO III</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De los programas y proyectos de inversión y obra pública</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64.</w:t>
      </w:r>
      <w:r w:rsidRPr="00154310">
        <w:rPr>
          <w:rFonts w:ascii="Times New Roman" w:eastAsia="Bookman Old Style" w:hAnsi="Times New Roman" w:cs="Times New Roman"/>
          <w:sz w:val="24"/>
          <w:szCs w:val="24"/>
        </w:rPr>
        <w:t xml:space="preserve"> En el ejercicio de Programas y Proyectos de Inversión (PPI), las Dependencias y Entidades Públicas deberán cumplir con las disposiciones establecidas en la normativa aplicable, así como con las Reglas de Operación que emita la Secretaría.</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65.</w:t>
      </w:r>
      <w:r w:rsidRPr="00154310">
        <w:rPr>
          <w:rFonts w:ascii="Times New Roman" w:eastAsia="Bookman Old Style" w:hAnsi="Times New Roman" w:cs="Times New Roman"/>
          <w:sz w:val="24"/>
          <w:szCs w:val="24"/>
        </w:rPr>
        <w:t xml:space="preserve"> Los montos máximos para la ejecución de obra pública y de servicios relacionados con la misma, así como las modalidades de adjudicación directa o por invitación restringida que realicen las Dependencias y Entidades Públicas, durante el Ejercicio Fiscal 2026, serán los siguientes: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Tabla 20. Montos máximos para ejecución de obra</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tbl>
      <w:tblPr>
        <w:tblW w:w="0" w:type="auto"/>
        <w:tblInd w:w="-5" w:type="dxa"/>
        <w:tblCellMar>
          <w:left w:w="70" w:type="dxa"/>
          <w:right w:w="70" w:type="dxa"/>
        </w:tblCellMar>
        <w:tblLook w:val="04A0" w:firstRow="1" w:lastRow="0" w:firstColumn="1" w:lastColumn="0" w:noHBand="0" w:noVBand="1"/>
      </w:tblPr>
      <w:tblGrid>
        <w:gridCol w:w="1845"/>
        <w:gridCol w:w="1015"/>
        <w:gridCol w:w="1630"/>
        <w:gridCol w:w="1576"/>
        <w:gridCol w:w="1684"/>
        <w:gridCol w:w="1650"/>
      </w:tblGrid>
      <w:tr w:rsidR="00A26CD3" w:rsidRPr="00154310" w:rsidTr="00A26CD3">
        <w:trPr>
          <w:trHeight w:val="28"/>
        </w:trPr>
        <w:tc>
          <w:tcPr>
            <w:tcW w:w="0" w:type="auto"/>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rsidR="00A26CD3" w:rsidRPr="00154310"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154310">
              <w:rPr>
                <w:rFonts w:ascii="Times New Roman" w:eastAsia="Times New Roman" w:hAnsi="Times New Roman" w:cs="Times New Roman"/>
                <w:b/>
                <w:bCs/>
                <w:color w:val="000000"/>
                <w:sz w:val="24"/>
                <w:szCs w:val="24"/>
                <w:lang w:eastAsia="es-MX"/>
              </w:rPr>
              <w:t>Inversión total estatal autorizada para obra pública o servicios relacionados con la misma, por cada una de las dependencias y entidades públicas (miles de pesos)</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rsidR="00A26CD3" w:rsidRPr="00154310"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154310">
              <w:rPr>
                <w:rFonts w:ascii="Times New Roman" w:eastAsia="Times New Roman" w:hAnsi="Times New Roman" w:cs="Times New Roman"/>
                <w:b/>
                <w:bCs/>
                <w:color w:val="000000"/>
                <w:sz w:val="24"/>
                <w:szCs w:val="24"/>
                <w:lang w:eastAsia="es-MX"/>
              </w:rPr>
              <w:t>Monto máximo total de cada obra que podrá adjudicarse directamente (miles de pesos)</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rsidR="00A26CD3" w:rsidRPr="00154310"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154310">
              <w:rPr>
                <w:rFonts w:ascii="Times New Roman" w:eastAsia="Times New Roman" w:hAnsi="Times New Roman" w:cs="Times New Roman"/>
                <w:b/>
                <w:bCs/>
                <w:color w:val="000000"/>
                <w:sz w:val="24"/>
                <w:szCs w:val="24"/>
                <w:lang w:eastAsia="es-MX"/>
              </w:rPr>
              <w:t>Monto máximo de cada obra que podrá adjudicarse mediante invitación restringida a cuando menos tres contratistas (miles de pesos)</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rsidR="00A26CD3" w:rsidRPr="00154310"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154310">
              <w:rPr>
                <w:rFonts w:ascii="Times New Roman" w:eastAsia="Times New Roman" w:hAnsi="Times New Roman" w:cs="Times New Roman"/>
                <w:b/>
                <w:bCs/>
                <w:color w:val="000000"/>
                <w:sz w:val="24"/>
                <w:szCs w:val="24"/>
                <w:lang w:eastAsia="es-MX"/>
              </w:rPr>
              <w:t>Monto máximo de cada servicio relacionado con obra pública que podrá adjudicarse directamente (miles de pesos)</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rsidR="00A26CD3" w:rsidRPr="00154310" w:rsidRDefault="00A26CD3" w:rsidP="00A26CD3">
            <w:pPr>
              <w:spacing w:after="0" w:line="240" w:lineRule="auto"/>
              <w:jc w:val="center"/>
              <w:rPr>
                <w:rFonts w:ascii="Times New Roman" w:eastAsia="Times New Roman" w:hAnsi="Times New Roman" w:cs="Times New Roman"/>
                <w:b/>
                <w:bCs/>
                <w:color w:val="000000"/>
                <w:sz w:val="24"/>
                <w:szCs w:val="24"/>
                <w:lang w:eastAsia="es-MX"/>
              </w:rPr>
            </w:pPr>
            <w:r w:rsidRPr="00154310">
              <w:rPr>
                <w:rFonts w:ascii="Times New Roman" w:eastAsia="Times New Roman" w:hAnsi="Times New Roman" w:cs="Times New Roman"/>
                <w:b/>
                <w:bCs/>
                <w:color w:val="000000"/>
                <w:sz w:val="24"/>
                <w:szCs w:val="24"/>
                <w:lang w:eastAsia="es-MX"/>
              </w:rPr>
              <w:t>Monto máximo total de cada servicio relacionado con obra pública que podrá adjudicarse mediante invitación restringida a cuando menos tres contratistas (miles de pesos)</w:t>
            </w: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Mayor de Hasta</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Hasta</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15,000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226</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2,006</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111</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1,559</w:t>
            </w: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15,000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278</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2,226</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142</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1,670</w:t>
            </w: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50,000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336</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2,562</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168</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2,006</w:t>
            </w: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50,000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100,000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389</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3,119</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194</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2,336</w:t>
            </w: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100,000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150,000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446</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3,675</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226</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2,783</w:t>
            </w: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150,000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250,000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504</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4,232</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252</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3,339</w:t>
            </w: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250,000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350,000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614</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4,904</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305</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3,675</w:t>
            </w:r>
          </w:p>
        </w:tc>
      </w:tr>
      <w:tr w:rsidR="00A26CD3" w:rsidRPr="00154310" w:rsidTr="00A26CD3">
        <w:trPr>
          <w:trHeight w:val="28"/>
        </w:trPr>
        <w:tc>
          <w:tcPr>
            <w:tcW w:w="0" w:type="auto"/>
            <w:tcBorders>
              <w:top w:val="nil"/>
              <w:left w:val="single" w:sz="4" w:space="0" w:color="auto"/>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lastRenderedPageBreak/>
              <w:t>350,000</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667</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5,345</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336</w:t>
            </w:r>
          </w:p>
        </w:tc>
        <w:tc>
          <w:tcPr>
            <w:tcW w:w="0" w:type="auto"/>
            <w:tcBorders>
              <w:top w:val="nil"/>
              <w:left w:val="nil"/>
              <w:bottom w:val="single" w:sz="4" w:space="0" w:color="auto"/>
              <w:right w:val="single" w:sz="4" w:space="0" w:color="auto"/>
            </w:tcBorders>
            <w:noWrap/>
            <w:vAlign w:val="center"/>
            <w:hideMark/>
          </w:tcPr>
          <w:p w:rsidR="00A26CD3" w:rsidRPr="00154310" w:rsidRDefault="00A26CD3" w:rsidP="00A26CD3">
            <w:pPr>
              <w:spacing w:after="0" w:line="240" w:lineRule="auto"/>
              <w:jc w:val="center"/>
              <w:rPr>
                <w:rFonts w:ascii="Times New Roman" w:eastAsia="Times New Roman" w:hAnsi="Times New Roman" w:cs="Times New Roman"/>
                <w:color w:val="000000"/>
                <w:sz w:val="24"/>
                <w:szCs w:val="24"/>
                <w:lang w:eastAsia="es-MX"/>
              </w:rPr>
            </w:pPr>
            <w:r w:rsidRPr="00154310">
              <w:rPr>
                <w:rFonts w:ascii="Times New Roman" w:eastAsia="Times New Roman" w:hAnsi="Times New Roman" w:cs="Times New Roman"/>
                <w:color w:val="000000"/>
                <w:sz w:val="24"/>
                <w:szCs w:val="24"/>
                <w:lang w:eastAsia="es-MX"/>
              </w:rPr>
              <w:t>4,006</w:t>
            </w:r>
          </w:p>
        </w:tc>
      </w:tr>
    </w:tbl>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Los montos señalados en este artículo deberán considerarse sin incluir el monto correspondiente por concepto de Impuesto al Valor Agregado.</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Para la aplicación de lo dispuesto en este artículo, cada obra pública y los servicios relacionados con la misma, deberán analizarse individualmente, a fin de determinar si se ubica dentro de los montos señalados. En ningún caso, el importe total de una obra puede ser fraccionado con el propósito de modificar la modalidad de adjudicación.</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66.</w:t>
      </w:r>
      <w:r w:rsidRPr="00154310">
        <w:rPr>
          <w:rFonts w:ascii="Times New Roman" w:eastAsia="Bookman Old Style" w:hAnsi="Times New Roman" w:cs="Times New Roman"/>
          <w:sz w:val="24"/>
          <w:szCs w:val="24"/>
        </w:rPr>
        <w:t xml:space="preserve"> Las Dependencias y Entidades Públicas deberán contar con el oficio de asignación de recursos emitido por la Secretaría, para poder convocar, adjudicar y formalizar contratos de obra pública y de servicios relacionados con la misma, con cargo a su presupuesto autorizado, de conformidad con la normativa aplicable.</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Los contratos de obra pública y/o equipamiento que se realicen con recursos estatales por las Dependencias, organismos auxiliares y municipios, podrán prever hasta el 1% para la difusión de dichas obras, de conformidad con el artículo 57 del presente Decreto y destinar hasta un 2% a los rubros de supervisión y evaluación de éstas.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CAPÍTULO IV</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Del FEFOM</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bCs/>
          <w:sz w:val="24"/>
          <w:szCs w:val="24"/>
        </w:rPr>
        <w:t>Artículo 67.</w:t>
      </w:r>
      <w:r w:rsidRPr="00154310">
        <w:rPr>
          <w:rFonts w:ascii="Times New Roman" w:eastAsia="Bookman Old Style" w:hAnsi="Times New Roman" w:cs="Times New Roman"/>
          <w:sz w:val="24"/>
          <w:szCs w:val="24"/>
        </w:rPr>
        <w:t xml:space="preserve"> El FEFOM tiene como objetivo fortalecer la inversión pública en los municipios para contribuir sustancialmente al desarrollo regional. Su asignación y distribución se realizará con base en criterios y porcentajes objetivos, considerando las siguientes variables: </w:t>
      </w:r>
    </w:p>
    <w:p w:rsidR="00A26CD3" w:rsidRPr="00154310" w:rsidRDefault="00A26CD3" w:rsidP="00A26CD3">
      <w:pPr>
        <w:spacing w:after="0" w:line="240" w:lineRule="auto"/>
        <w:jc w:val="both"/>
        <w:rPr>
          <w:rFonts w:ascii="Times New Roman" w:eastAsia="Bookman Old Style" w:hAnsi="Times New Roman" w:cs="Times New Roman"/>
          <w:strike/>
          <w:sz w:val="24"/>
          <w:szCs w:val="24"/>
        </w:rPr>
      </w:pPr>
    </w:p>
    <w:p w:rsidR="00A26CD3" w:rsidRPr="00154310" w:rsidRDefault="00A26CD3" w:rsidP="00A26CD3">
      <w:pPr>
        <w:spacing w:after="0" w:line="240" w:lineRule="auto"/>
        <w:ind w:left="714" w:hanging="357"/>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1. Población por Municipio.</w:t>
      </w:r>
    </w:p>
    <w:p w:rsidR="00A26CD3" w:rsidRPr="00154310" w:rsidRDefault="00A26CD3" w:rsidP="00A26CD3">
      <w:pPr>
        <w:spacing w:after="0" w:line="240" w:lineRule="auto"/>
        <w:ind w:left="714" w:hanging="357"/>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2. Marginalidad por Municipio.</w:t>
      </w:r>
    </w:p>
    <w:p w:rsidR="00A26CD3" w:rsidRPr="00154310" w:rsidRDefault="00A26CD3" w:rsidP="00A26CD3">
      <w:pPr>
        <w:spacing w:after="0" w:line="240" w:lineRule="auto"/>
        <w:ind w:left="714" w:hanging="357"/>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 xml:space="preserve">3. Inverso de la densidad poblacional por Municipio. </w:t>
      </w:r>
    </w:p>
    <w:p w:rsidR="00A26CD3" w:rsidRPr="00154310" w:rsidRDefault="00A26CD3" w:rsidP="00A26CD3">
      <w:pPr>
        <w:shd w:val="clear" w:color="auto" w:fill="FFFFFF"/>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68.</w:t>
      </w:r>
      <w:r w:rsidRPr="00154310">
        <w:rPr>
          <w:rFonts w:ascii="Times New Roman" w:eastAsia="Bookman Old Style" w:hAnsi="Times New Roman" w:cs="Times New Roman"/>
          <w:sz w:val="24"/>
          <w:szCs w:val="24"/>
        </w:rPr>
        <w:t xml:space="preserve"> La Secretaría deberá publicar, a más tardar el 16 de febrero de 2026, las fórmulas y variables que se utilizarán para determinar el monto asignado a cada municipio de los recursos del FEFOM; así como los lineamientos para su utilización y criterios de aplicación.</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Dichos lineamientos deberán especificar el importe de la retención provisional para los municipios que hubieren contratado créditos al amparo del “Programa Especial FEFOM” previsto en el artículo 73 del presente Decreto, el cual será de al menos el 50% de los recursos del FEFOM, y en su caso, servirá para el cumplimiento a los compromisos del Contrato de Fideicomiso Irrevocable de Administración y Fuente de Pago Número 1734.</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Asimismo, se podrá liberar la retención provisional de recursos del “Programa Especial FEFOM” para efectuar el pago a calificadoras, afectando al capítulo de gasto respectivo.</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 xml:space="preserve">Los recursos del FEFOM son recursos etiquetados para la ejecución de obras específicas y de beneficio colectivo, por lo que ninguna autoridad judicial, administrativa, laboral, fiscal o de cualquier otra materia, podrán emitir disposición para su embargo, y no pueden estar sujetos a ninguna retención, salvo aquéllas correspondientes al “Programa Especial FEFOM”. </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color w:val="7030A0"/>
          <w:sz w:val="24"/>
          <w:szCs w:val="24"/>
        </w:rPr>
      </w:pPr>
      <w:r w:rsidRPr="00154310">
        <w:rPr>
          <w:rFonts w:ascii="Times New Roman" w:eastAsia="Bookman Old Style" w:hAnsi="Times New Roman" w:cs="Times New Roman"/>
          <w:b/>
          <w:sz w:val="24"/>
          <w:szCs w:val="24"/>
        </w:rPr>
        <w:t>Artículo 69.</w:t>
      </w:r>
      <w:r w:rsidRPr="00154310">
        <w:rPr>
          <w:rFonts w:ascii="Times New Roman" w:eastAsia="Bookman Old Style" w:hAnsi="Times New Roman" w:cs="Times New Roman"/>
          <w:sz w:val="24"/>
          <w:szCs w:val="24"/>
        </w:rPr>
        <w:t xml:space="preserve"> Los recursos del FEFOM, se ministrarán a los municipios conforme al calendario señalado en los que emita la Secretaría, para su utilización y criterios de aplicación</w:t>
      </w:r>
      <w:r w:rsidRPr="00154310">
        <w:rPr>
          <w:rFonts w:ascii="Times New Roman" w:eastAsia="Bookman Old Style" w:hAnsi="Times New Roman" w:cs="Times New Roman"/>
          <w:color w:val="7030A0"/>
          <w:sz w:val="24"/>
          <w:szCs w:val="24"/>
        </w:rPr>
        <w:t xml:space="preserve">. </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 xml:space="preserve">Artículo 70. </w:t>
      </w:r>
      <w:r w:rsidRPr="00154310">
        <w:rPr>
          <w:rFonts w:ascii="Times New Roman" w:eastAsia="Bookman Old Style" w:hAnsi="Times New Roman" w:cs="Times New Roman"/>
          <w:sz w:val="24"/>
          <w:szCs w:val="24"/>
        </w:rPr>
        <w:t>Los municipios se asegurarán de que las obras, acciones y proyectos a ejecutarse con los recursos del FEFOM, estén alineados al cumplimiento de metas y objetivos del PDEM y del respectivo Plan de Desarrollo Municipal vigente, y en todos los casos, para su aplicación, deberán cumplir con los siguientes requisitos: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F068E2">
      <w:pPr>
        <w:numPr>
          <w:ilvl w:val="0"/>
          <w:numId w:val="125"/>
        </w:numPr>
        <w:spacing w:after="0" w:line="240" w:lineRule="auto"/>
        <w:ind w:left="714" w:hanging="357"/>
        <w:jc w:val="both"/>
        <w:rPr>
          <w:rFonts w:ascii="Times New Roman" w:eastAsia="Bookman Old Style" w:hAnsi="Times New Roman" w:cs="Times New Roman"/>
          <w:sz w:val="24"/>
          <w:szCs w:val="24"/>
          <w:lang w:val="es-ES_tradnl"/>
        </w:rPr>
      </w:pPr>
      <w:r w:rsidRPr="00154310">
        <w:rPr>
          <w:rFonts w:ascii="Times New Roman" w:eastAsia="Bookman Old Style" w:hAnsi="Times New Roman" w:cs="Times New Roman"/>
          <w:sz w:val="24"/>
          <w:szCs w:val="24"/>
          <w:lang w:val="es-ES_tradnl"/>
        </w:rPr>
        <w:t>Presentar el Dictamen de Rentabilidad Social de la obra a ejecutar.</w:t>
      </w:r>
    </w:p>
    <w:p w:rsidR="00A26CD3" w:rsidRPr="00154310" w:rsidRDefault="00A26CD3" w:rsidP="00F068E2">
      <w:pPr>
        <w:numPr>
          <w:ilvl w:val="0"/>
          <w:numId w:val="125"/>
        </w:numPr>
        <w:spacing w:after="0" w:line="240" w:lineRule="auto"/>
        <w:ind w:left="714" w:hanging="357"/>
        <w:jc w:val="both"/>
        <w:rPr>
          <w:rFonts w:ascii="Times New Roman" w:eastAsia="Bookman Old Style" w:hAnsi="Times New Roman" w:cs="Times New Roman"/>
          <w:sz w:val="24"/>
          <w:szCs w:val="24"/>
          <w:lang w:val="es-ES_tradnl"/>
        </w:rPr>
      </w:pPr>
      <w:r w:rsidRPr="00154310">
        <w:rPr>
          <w:rFonts w:ascii="Times New Roman" w:eastAsia="Bookman Old Style" w:hAnsi="Times New Roman" w:cs="Times New Roman"/>
          <w:sz w:val="24"/>
          <w:szCs w:val="24"/>
          <w:lang w:val="es-ES_tradnl"/>
        </w:rPr>
        <w:t>Firmar Convenio Marco de Ejecución con la Secretaría a través de la Subsecretaría, el cual deberá contener el anexo de obras propuestas.</w:t>
      </w:r>
    </w:p>
    <w:p w:rsidR="00A26CD3" w:rsidRPr="00154310" w:rsidRDefault="00A26CD3" w:rsidP="00F068E2">
      <w:pPr>
        <w:numPr>
          <w:ilvl w:val="0"/>
          <w:numId w:val="125"/>
        </w:numPr>
        <w:spacing w:after="0" w:line="240" w:lineRule="auto"/>
        <w:ind w:left="714" w:hanging="357"/>
        <w:jc w:val="both"/>
        <w:rPr>
          <w:rFonts w:ascii="Times New Roman" w:eastAsia="Bookman Old Style" w:hAnsi="Times New Roman" w:cs="Times New Roman"/>
          <w:b/>
          <w:sz w:val="24"/>
          <w:szCs w:val="24"/>
          <w:lang w:val="es-ES_tradnl"/>
        </w:rPr>
      </w:pPr>
      <w:r w:rsidRPr="00154310">
        <w:rPr>
          <w:rFonts w:ascii="Times New Roman" w:eastAsia="Bookman Old Style" w:hAnsi="Times New Roman" w:cs="Times New Roman"/>
          <w:sz w:val="24"/>
          <w:szCs w:val="24"/>
          <w:lang w:val="es-ES_tradnl"/>
        </w:rPr>
        <w:t>Cumplir con la normatividad aplicable para el ejercicio de recursos estatales.</w:t>
      </w:r>
    </w:p>
    <w:p w:rsidR="00A26CD3" w:rsidRPr="00154310" w:rsidRDefault="00A26CD3" w:rsidP="00A26CD3">
      <w:pPr>
        <w:spacing w:after="0" w:line="240" w:lineRule="auto"/>
        <w:jc w:val="both"/>
        <w:rPr>
          <w:rFonts w:ascii="Times New Roman" w:eastAsia="Bookman Old Style" w:hAnsi="Times New Roman" w:cs="Times New Roman"/>
          <w:b/>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71.</w:t>
      </w:r>
      <w:r w:rsidRPr="00154310">
        <w:rPr>
          <w:rFonts w:ascii="Times New Roman" w:eastAsia="Bookman Old Style" w:hAnsi="Times New Roman" w:cs="Times New Roman"/>
          <w:sz w:val="24"/>
          <w:szCs w:val="24"/>
        </w:rPr>
        <w:t xml:space="preserve"> Los recursos del FEFOM, deben constar en los registros de los ingresos y los egresos de los municipios, de acuerdo con los postulados básicos de contabilidad gubernamental y para efectos de la rendición de los informes y de la Cuenta Pública ante la Legislatura del Estado, de acuerdo con las disposiciones aplicables.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72.</w:t>
      </w:r>
      <w:r w:rsidRPr="00154310">
        <w:rPr>
          <w:rFonts w:ascii="Times New Roman" w:eastAsia="Bookman Old Style" w:hAnsi="Times New Roman" w:cs="Times New Roman"/>
          <w:sz w:val="24"/>
          <w:szCs w:val="24"/>
        </w:rPr>
        <w:t xml:space="preserve"> La responsabilidad del ejercicio y comprobación de los recursos del FEFOM, recae en los municipios, los cuales deberán sujetarse a los lineamientos para su utilización y criterios de aplicación, emitidos por la Secretaría y demás normativa aplicable.</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hd w:val="clear" w:color="auto" w:fill="FFFFFF"/>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 xml:space="preserve">Artículo 73. </w:t>
      </w:r>
      <w:r w:rsidRPr="00154310">
        <w:rPr>
          <w:rFonts w:ascii="Times New Roman" w:eastAsia="Bookman Old Style" w:hAnsi="Times New Roman" w:cs="Times New Roman"/>
          <w:sz w:val="24"/>
          <w:szCs w:val="24"/>
        </w:rPr>
        <w:t>Con la finalidad de dar cumplimiento al párrafo cuarto del artículo Noveno del “Decreto número 87.- Por el que se autoriza a los ayuntamientos adheridos al FEFOM a contratar créditos y/o financiamientos durante los ejercicios fiscales 2016–2018, hasta por un plazo de 25 años” publicado en el Periódico Oficial “Gaceta del Gobierno” del Estado de México el 01 de junio de 2016; en lo referente a la continuidad de las asignaciones de recursos y suficiencia de recursos derivados del “Programa Especial FEFOM”, éstas se mantendrán hasta en tanto se encuentren vigentes los créditos contratados por los municipios. El FEFOM contempla la asignación de recursos para aquellos municipios que se hubiesen adherido al Programa Especial FEFOM en ejercicios fiscales anteriores.</w:t>
      </w:r>
    </w:p>
    <w:p w:rsidR="00A26CD3" w:rsidRPr="00154310" w:rsidRDefault="00A26CD3" w:rsidP="00A26CD3">
      <w:pPr>
        <w:spacing w:after="0" w:line="240" w:lineRule="auto"/>
        <w:jc w:val="both"/>
        <w:rPr>
          <w:rFonts w:ascii="Times New Roman" w:eastAsia="Bookman Old Style" w:hAnsi="Times New Roman" w:cs="Times New Roman"/>
          <w:sz w:val="24"/>
          <w:szCs w:val="24"/>
        </w:rPr>
      </w:pPr>
      <w:bookmarkStart w:id="21" w:name="_heading=h.4d34og8" w:colFirst="0" w:colLast="0"/>
      <w:bookmarkEnd w:id="21"/>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TÍTULO QUINTO</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MODIFICACIONES Y REASIGNACIONES PRESUPUESTARIAS</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p>
    <w:p w:rsidR="00A26CD3" w:rsidRPr="00154310" w:rsidRDefault="00A26CD3" w:rsidP="00A26CD3">
      <w:pPr>
        <w:spacing w:after="0" w:line="240" w:lineRule="auto"/>
        <w:jc w:val="center"/>
        <w:rPr>
          <w:rFonts w:ascii="Times New Roman" w:eastAsia="Bookman Old Style" w:hAnsi="Times New Roman" w:cs="Times New Roman"/>
          <w:b/>
          <w:sz w:val="24"/>
          <w:szCs w:val="24"/>
        </w:rPr>
      </w:pP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CAPÍTULO I</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De las transferencias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74.</w:t>
      </w:r>
      <w:r w:rsidRPr="00154310">
        <w:rPr>
          <w:rFonts w:ascii="Times New Roman" w:eastAsia="Bookman Old Style" w:hAnsi="Times New Roman" w:cs="Times New Roman"/>
          <w:sz w:val="24"/>
          <w:szCs w:val="24"/>
        </w:rPr>
        <w:t xml:space="preserve"> Las transferencias estatales a los Entes Públicos, de acuerdo a su naturaleza y según corresponda, estarán sujetas a la disponibilidad financiera de la hacienda pública y a las disposiciones que emita la Secretaría en materia presupuestaria y financiera.</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75</w:t>
      </w:r>
      <w:r w:rsidRPr="00154310">
        <w:rPr>
          <w:rFonts w:ascii="Times New Roman" w:eastAsia="Bookman Old Style" w:hAnsi="Times New Roman" w:cs="Times New Roman"/>
          <w:sz w:val="24"/>
          <w:szCs w:val="24"/>
        </w:rPr>
        <w:t xml:space="preserve">. Los Entes Públicos, de acuerdo a su naturaleza y según corresponda, como complemento en sus ingresos propios, deberán buscar fuentes alternas de recursos autogenerados, a efecto de fortalecer sus ingresos no etiquetados, y así lograr en el mediano plazo, una mayor </w:t>
      </w:r>
      <w:r w:rsidRPr="00154310">
        <w:rPr>
          <w:rFonts w:ascii="Times New Roman" w:eastAsia="Bookman Old Style" w:hAnsi="Times New Roman" w:cs="Times New Roman"/>
          <w:sz w:val="24"/>
          <w:szCs w:val="24"/>
        </w:rPr>
        <w:lastRenderedPageBreak/>
        <w:t>autosuficiencia financiera y una disminución correlativa de los apoyos, con cargo a recursos estatales, de conformidad con la normativa aplicable.</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Las disponibilidades financieras que conserven las Entidades Públicas al final del Ejercicio Fiscal, deberán reintegrarse a la Hacienda Pública Estatal.</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76.</w:t>
      </w:r>
      <w:r w:rsidRPr="00154310">
        <w:rPr>
          <w:rFonts w:ascii="Times New Roman" w:eastAsia="Bookman Old Style" w:hAnsi="Times New Roman" w:cs="Times New Roman"/>
          <w:sz w:val="24"/>
          <w:szCs w:val="24"/>
        </w:rPr>
        <w:t xml:space="preserve"> Las Entidades Públicas</w:t>
      </w:r>
      <w:r w:rsidRPr="00154310">
        <w:rPr>
          <w:rFonts w:ascii="Times New Roman" w:eastAsia="Bookman Old Style" w:hAnsi="Times New Roman" w:cs="Times New Roman"/>
          <w:color w:val="70AD47" w:themeColor="accent6"/>
          <w:sz w:val="24"/>
          <w:szCs w:val="24"/>
        </w:rPr>
        <w:t xml:space="preserve"> </w:t>
      </w:r>
      <w:r w:rsidRPr="00154310">
        <w:rPr>
          <w:rFonts w:ascii="Times New Roman" w:eastAsia="Bookman Old Style" w:hAnsi="Times New Roman" w:cs="Times New Roman"/>
          <w:sz w:val="24"/>
          <w:szCs w:val="24"/>
        </w:rPr>
        <w:t>que reciban transferencias adicionales a las aprobadas en este Decreto, provenientes de recursos federales etiquetados, deberán solicitar a la Secretaría la autorización de la ampliación presupuestal correspondiente, para su aplicación en los programas y proyectos que operan. Las Unidades Ejecutoras del Gasto, tendrán la obligación de resguardar toda la documentación comprobatoria de dichos recursos que les sean autorizados para estar en posibilidad de acreditar su correcta aplicación.</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 xml:space="preserve">Asimismo, las Unidades Ejecutoras del Gasto, deberán reintegrar a la Dirección General de Tesorería de la Secretaría los remanentes de los recursos federales etiquetados que no hayan sido devengadas al 31 de diciembre de 2026, a más tardar el 12 de enero del Ejercicio Fiscal 2027, para que a su vez estos recursos se reintegren a la Tesorería de la Federación; o bien, de conformidad con el calendario de ejecución establecido en el convenio correspondiente, una vez cumplido el plazo referido. </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77.</w:t>
      </w:r>
      <w:r w:rsidRPr="00154310">
        <w:rPr>
          <w:rFonts w:ascii="Times New Roman" w:eastAsia="Bookman Old Style" w:hAnsi="Times New Roman" w:cs="Times New Roman"/>
          <w:sz w:val="24"/>
          <w:szCs w:val="24"/>
        </w:rPr>
        <w:t xml:space="preserve"> Es responsabilidad de los Entes Públicos como Unidades Ejecutoras del Gasto, informar a la Secretaría de Hacienda y Crédito Público, sobre el ejercicio, destino y los resultados obtenidos respecto de los recursos federales otorgados, con base en los programas presupuestarios aprobados en el Presupuesto de Egresos de la Federación, a través del “Sistema de Recursos Federales Transferidos” (SRFT) o el que defina la Secretaría de Hacienda y Crédito Público para tal fin, así como verificar que los documentos comprobatorios justifiquen el destino de los recursos para el cual fueron otorgados.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CAPÍTULO II</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De las adecuaciones presupuestarias</w:t>
      </w:r>
    </w:p>
    <w:p w:rsidR="00A26CD3" w:rsidRPr="00154310" w:rsidRDefault="00A26CD3" w:rsidP="00A26CD3">
      <w:pPr>
        <w:spacing w:after="0" w:line="240" w:lineRule="auto"/>
        <w:jc w:val="center"/>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78.</w:t>
      </w:r>
      <w:r w:rsidRPr="00154310">
        <w:rPr>
          <w:rFonts w:ascii="Times New Roman" w:eastAsia="Bookman Old Style" w:hAnsi="Times New Roman" w:cs="Times New Roman"/>
          <w:sz w:val="24"/>
          <w:szCs w:val="24"/>
        </w:rPr>
        <w:t xml:space="preserve"> Los traspasos presupuestarios internos al presupuesto autorizado que realicen los Entes Públicos deberán sujetarse a lo dispuesto por el artículo 317 del Código e informarse a la Secretaría a más tardar dentro de los primeros diez días hábiles posteriores al cierre del mes inmediato anterior, en que se hayan efectuado las adecuaciones respectivas.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79.</w:t>
      </w:r>
      <w:r w:rsidRPr="00154310">
        <w:rPr>
          <w:rFonts w:ascii="Times New Roman" w:eastAsia="Bookman Old Style" w:hAnsi="Times New Roman" w:cs="Times New Roman"/>
          <w:sz w:val="24"/>
          <w:szCs w:val="24"/>
        </w:rPr>
        <w:t xml:space="preserve"> Los traspasos presupuestarios externos al presupuesto autorizado que se realicen entre programas presupuestarios y/o capítulos de gasto requerirán la autorización de la Secretaría en cumplimiento al </w:t>
      </w:r>
      <w:bookmarkStart w:id="22" w:name="_Hlk183027224"/>
      <w:r w:rsidRPr="00154310">
        <w:rPr>
          <w:rFonts w:ascii="Times New Roman" w:eastAsia="Bookman Old Style" w:hAnsi="Times New Roman" w:cs="Times New Roman"/>
          <w:sz w:val="24"/>
          <w:szCs w:val="24"/>
        </w:rPr>
        <w:t>artículo 317 Bis del Código</w:t>
      </w:r>
      <w:bookmarkEnd w:id="22"/>
      <w:r w:rsidRPr="00154310">
        <w:rPr>
          <w:rFonts w:ascii="Times New Roman" w:eastAsia="Bookman Old Style" w:hAnsi="Times New Roman" w:cs="Times New Roman"/>
          <w:sz w:val="24"/>
          <w:szCs w:val="24"/>
        </w:rPr>
        <w:t>. Las unidades responsables deberán informarlo al OSFEM.</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 xml:space="preserve">Artículo 80. </w:t>
      </w:r>
      <w:r w:rsidRPr="00154310">
        <w:rPr>
          <w:rFonts w:ascii="Times New Roman" w:eastAsia="Bookman Old Style" w:hAnsi="Times New Roman" w:cs="Times New Roman"/>
          <w:sz w:val="24"/>
          <w:szCs w:val="24"/>
        </w:rPr>
        <w:t>Las Disponibilidades Presupuestarias que obtengan las Entes Públicos, de acuerdo con su naturaleza y según corresponda, deberán reintegrarse al final del Ejercicio Fiscal, atendiendo lo establecido en la normativa aplicable de acuerdo a la naturaleza del mismo.</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bCs/>
          <w:sz w:val="24"/>
          <w:szCs w:val="24"/>
        </w:rPr>
        <w:t>Artículo 81</w:t>
      </w:r>
      <w:r w:rsidRPr="00154310">
        <w:rPr>
          <w:rFonts w:ascii="Times New Roman" w:eastAsia="Bookman Old Style" w:hAnsi="Times New Roman" w:cs="Times New Roman"/>
          <w:sz w:val="24"/>
          <w:szCs w:val="24"/>
        </w:rPr>
        <w:t>. Los recursos provenientes de remanentes de fideicomisos públicos y los Ingresos Excedentes provenientes de aportaciones y cuotas de seguridad social, se considerarán recursos etiquetados, por lo tanto, sólo podrán destinarse para el financiamiento del recibo que corresponda, de conformidad con la Ley de Disciplina Financiera.</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TÍTULO SEXTO</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DE LA EVALUACIÓN Y RENDICIÓN DE CUENTAS</w:t>
      </w:r>
    </w:p>
    <w:p w:rsidR="00A26CD3" w:rsidRPr="00154310" w:rsidRDefault="00A26CD3" w:rsidP="00A26CD3">
      <w:pPr>
        <w:spacing w:after="0" w:line="240" w:lineRule="auto"/>
        <w:rPr>
          <w:rFonts w:ascii="Times New Roman" w:eastAsia="Bookman Old Style" w:hAnsi="Times New Roman" w:cs="Times New Roman"/>
          <w:b/>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 xml:space="preserve">Artículo 82. </w:t>
      </w:r>
      <w:r w:rsidRPr="00154310">
        <w:rPr>
          <w:rFonts w:ascii="Times New Roman" w:eastAsia="Bookman Old Style" w:hAnsi="Times New Roman" w:cs="Times New Roman"/>
          <w:sz w:val="24"/>
          <w:szCs w:val="24"/>
        </w:rPr>
        <w:t>La Secretaría y las Unidades de Información, Planeación, Programación y Evaluación o equivalentes, deberán dar seguimiento a los objetivos, metas e indicadores comprometidos en los Programas y proyectos presupuestarios.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La Secretaría de la Contraloría, por sí o a través sus</w:t>
      </w:r>
      <w:r w:rsidRPr="00154310">
        <w:rPr>
          <w:rFonts w:ascii="Times New Roman" w:eastAsia="Bookman Old Style" w:hAnsi="Times New Roman" w:cs="Times New Roman"/>
          <w:b/>
          <w:sz w:val="24"/>
          <w:szCs w:val="24"/>
        </w:rPr>
        <w:t xml:space="preserve"> </w:t>
      </w:r>
      <w:r w:rsidRPr="00154310">
        <w:rPr>
          <w:rFonts w:ascii="Times New Roman" w:eastAsia="Bookman Old Style" w:hAnsi="Times New Roman" w:cs="Times New Roman"/>
          <w:sz w:val="24"/>
          <w:szCs w:val="24"/>
        </w:rPr>
        <w:t>órganos internos de control, deberá establecer medidas para la correcta aplicación de normas, manuales, lineamientos y procedimientos administrativos, así como, realizar las auditorías, inspecciones y evaluaciones de desempeño que se requieran, a fin de transparentar, identificar y vincular el ejercicio eficiente del gasto público.</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 xml:space="preserve">Corresponde a las Unidades de Información, Planeación, Programación y Evaluación o equivalentes, la comprobación del cumplimiento, respecto de las obligaciones en materia de evaluación y rendición de cuentas de conformidad con la normativa aplicable. </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b/>
          <w:sz w:val="24"/>
          <w:szCs w:val="24"/>
        </w:rPr>
      </w:pPr>
      <w:r w:rsidRPr="00154310">
        <w:rPr>
          <w:rFonts w:ascii="Times New Roman" w:eastAsia="Bookman Old Style" w:hAnsi="Times New Roman" w:cs="Times New Roman"/>
          <w:b/>
          <w:sz w:val="24"/>
          <w:szCs w:val="24"/>
        </w:rPr>
        <w:t>Artículo 83</w:t>
      </w:r>
      <w:r w:rsidRPr="00154310">
        <w:rPr>
          <w:rFonts w:ascii="Times New Roman" w:eastAsia="Bookman Old Style" w:hAnsi="Times New Roman" w:cs="Times New Roman"/>
          <w:sz w:val="24"/>
          <w:szCs w:val="24"/>
        </w:rPr>
        <w:t>. En los informes programático-presupuestales trimestrales que el Ejecutivo presente a la Legislatura del Estado, se incluirá la información detallada sobre los avances físicos y financieros registrados de los programas presupuestarios autorizados en el Presupuesto de Egresos.</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Artículo 84.</w:t>
      </w:r>
      <w:r w:rsidRPr="00154310">
        <w:rPr>
          <w:rFonts w:ascii="Times New Roman" w:eastAsia="Bookman Old Style" w:hAnsi="Times New Roman" w:cs="Times New Roman"/>
          <w:sz w:val="24"/>
          <w:szCs w:val="24"/>
        </w:rPr>
        <w:t xml:space="preserve"> La evaluación del desempeño de los Programas Presupuestarios a cargo de las Dependencias y Entidades Públicas, se sujetará a lo establecido en el Código, los </w:t>
      </w:r>
      <w:r w:rsidRPr="00154310">
        <w:rPr>
          <w:rFonts w:ascii="Times New Roman" w:eastAsia="Bookman Old Style" w:hAnsi="Times New Roman" w:cs="Times New Roman"/>
          <w:color w:val="000000"/>
          <w:sz w:val="24"/>
          <w:szCs w:val="24"/>
        </w:rPr>
        <w:t>LGEPPEM</w:t>
      </w:r>
      <w:r w:rsidRPr="00154310">
        <w:rPr>
          <w:rFonts w:ascii="Times New Roman" w:eastAsia="Bookman Old Style" w:hAnsi="Times New Roman" w:cs="Times New Roman"/>
          <w:sz w:val="24"/>
          <w:szCs w:val="24"/>
        </w:rPr>
        <w:t>, emitidos por la Secretaría y a la normativa aplicable y se llevará a cabo en los términos del Programa Anual de Evaluación correspondiente.</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Las Dependencias y Entidades Públicas del Poder Ejecutivo, deberán ejecutar las evaluaciones establecidas en el PAE, con cargo a sus recursos previstos para este propósito, en términos de lo dispuesto en el artículo 327-A último párrafo del Código.</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La Secretaría podrá implementar mecanismos para innovar y modernizar los procesos de evaluación del ejercicio del presupuesto y gasto público con el objetivo de que la información obtenida del seguimiento y cumplimiento de las metas, evaluaciones realizadas a los programas, y seguimiento a los resultados de estas, se utilice en la toma de decisiones presupuestarias, con el fin de integrar la eficacia del gasto público.</w:t>
      </w:r>
    </w:p>
    <w:p w:rsidR="00A26CD3" w:rsidRPr="00154310" w:rsidRDefault="00A26CD3" w:rsidP="00A26CD3">
      <w:pPr>
        <w:spacing w:after="0" w:line="240" w:lineRule="auto"/>
        <w:rPr>
          <w:rFonts w:ascii="Times New Roman" w:eastAsia="Bookman Old Style" w:hAnsi="Times New Roman" w:cs="Times New Roman"/>
          <w:b/>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sz w:val="24"/>
          <w:szCs w:val="24"/>
        </w:rPr>
        <w:t>Los Poderes Legislativo y Judicial, así como los Organismos Autónomos, diseñarán, administrarán y operarán su respectivo Sistema de Evaluación del Desempeño, observando los principios rectores que refiere el artículo 134 de la Constitución Política de los Estados Unidos Mexicanos, la normativa aplicable en la materia y el Código, considerando las previsiones presupuestales necesarias para dar cumplimiento a estas disposiciones.</w:t>
      </w:r>
    </w:p>
    <w:p w:rsidR="00A26CD3" w:rsidRPr="00154310" w:rsidRDefault="00A26CD3" w:rsidP="00A26CD3">
      <w:pPr>
        <w:spacing w:after="0" w:line="240" w:lineRule="auto"/>
        <w:jc w:val="center"/>
        <w:rPr>
          <w:rFonts w:ascii="Times New Roman" w:eastAsia="Bookman Old Style" w:hAnsi="Times New Roman" w:cs="Times New Roman"/>
          <w:b/>
          <w:sz w:val="24"/>
          <w:szCs w:val="24"/>
        </w:rPr>
      </w:pPr>
    </w:p>
    <w:p w:rsidR="00A26CD3" w:rsidRPr="00154310" w:rsidRDefault="00A26CD3" w:rsidP="00A26CD3">
      <w:pPr>
        <w:spacing w:after="0" w:line="240" w:lineRule="auto"/>
        <w:jc w:val="center"/>
        <w:rPr>
          <w:rFonts w:ascii="Times New Roman" w:eastAsia="Bookman Old Style" w:hAnsi="Times New Roman" w:cs="Times New Roman"/>
          <w:b/>
          <w:sz w:val="24"/>
          <w:szCs w:val="24"/>
          <w:lang w:val="pt-PT"/>
        </w:rPr>
      </w:pPr>
      <w:r w:rsidRPr="00154310">
        <w:rPr>
          <w:rFonts w:ascii="Times New Roman" w:eastAsia="Bookman Old Style" w:hAnsi="Times New Roman" w:cs="Times New Roman"/>
          <w:b/>
          <w:sz w:val="24"/>
          <w:szCs w:val="24"/>
          <w:lang w:val="pt-PT"/>
        </w:rPr>
        <w:t>T R A N S I T O R I O S</w:t>
      </w:r>
    </w:p>
    <w:p w:rsidR="00A26CD3" w:rsidRPr="00154310" w:rsidRDefault="00A26CD3" w:rsidP="00A26CD3">
      <w:pPr>
        <w:spacing w:after="0" w:line="240" w:lineRule="auto"/>
        <w:rPr>
          <w:rFonts w:ascii="Times New Roman" w:eastAsia="Bookman Old Style" w:hAnsi="Times New Roman" w:cs="Times New Roman"/>
          <w:b/>
          <w:sz w:val="24"/>
          <w:szCs w:val="24"/>
          <w:lang w:val="pt-PT"/>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lang w:val="it-IT"/>
        </w:rPr>
        <w:t>PRIMERO.</w:t>
      </w:r>
      <w:r w:rsidRPr="00154310">
        <w:rPr>
          <w:rFonts w:ascii="Times New Roman" w:eastAsia="Bookman Old Style" w:hAnsi="Times New Roman" w:cs="Times New Roman"/>
          <w:sz w:val="24"/>
          <w:szCs w:val="24"/>
          <w:lang w:val="it-IT"/>
        </w:rPr>
        <w:t xml:space="preserve"> </w:t>
      </w:r>
      <w:r w:rsidRPr="00154310">
        <w:rPr>
          <w:rFonts w:ascii="Times New Roman" w:eastAsia="Bookman Old Style" w:hAnsi="Times New Roman" w:cs="Times New Roman"/>
          <w:sz w:val="24"/>
          <w:szCs w:val="24"/>
        </w:rPr>
        <w:t>Publíquese el presente Decreto en el Periódico Oficial “Gaceta del Gobierno”.</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SEGUNDO.</w:t>
      </w:r>
      <w:r w:rsidRPr="00154310">
        <w:rPr>
          <w:rFonts w:ascii="Times New Roman" w:eastAsia="Bookman Old Style" w:hAnsi="Times New Roman" w:cs="Times New Roman"/>
          <w:sz w:val="24"/>
          <w:szCs w:val="24"/>
        </w:rPr>
        <w:t xml:space="preserve"> El presente Decreto entrará en vigor a partir del día 1º de enero de 2026.  </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bCs/>
          <w:sz w:val="24"/>
          <w:szCs w:val="24"/>
        </w:rPr>
        <w:lastRenderedPageBreak/>
        <w:t>TERCERO</w:t>
      </w:r>
      <w:r w:rsidRPr="00154310">
        <w:rPr>
          <w:rFonts w:ascii="Times New Roman" w:eastAsia="Bookman Old Style" w:hAnsi="Times New Roman" w:cs="Times New Roman"/>
          <w:b/>
          <w:sz w:val="24"/>
          <w:szCs w:val="24"/>
        </w:rPr>
        <w:t xml:space="preserve">. </w:t>
      </w:r>
      <w:r w:rsidRPr="00154310">
        <w:rPr>
          <w:rFonts w:ascii="Times New Roman" w:eastAsia="Bookman Old Style" w:hAnsi="Times New Roman" w:cs="Times New Roman"/>
          <w:sz w:val="24"/>
          <w:szCs w:val="24"/>
        </w:rPr>
        <w:t xml:space="preserve">En la actualización de los anexos del Presupuesto de Egresos del GEM para el Ejercicio Fiscal 2026, la Secretaría presentará a la Legislatura del Estado, los ajustes a las metas de actividad de los proyectos observados durante la revisión del mismo, en términos del artículo 304 Bis del Código Financiero del Estado de México y Municipios; por lo que las Dependencias y Entidades Públicas, deberán comunicar a la Secretaría, a más tardar dentro de los 30 días hábiles posteriores a la publicación del presente Decreto, las actualizaciones programático-presupuestales derivadas de las disposiciones aprobadas en el mismo. </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bCs/>
          <w:sz w:val="24"/>
          <w:szCs w:val="24"/>
        </w:rPr>
        <w:t>CUARTO.</w:t>
      </w:r>
      <w:r w:rsidRPr="00154310">
        <w:rPr>
          <w:rFonts w:ascii="Times New Roman" w:eastAsia="Bookman Old Style" w:hAnsi="Times New Roman" w:cs="Times New Roman"/>
          <w:sz w:val="24"/>
          <w:szCs w:val="24"/>
        </w:rPr>
        <w:t xml:space="preserve"> De los recursos no etiquetados, asignados al Sector Salud, se podrán reasignar recursos, en caso de que se presenten situaciones extraordinarias en materia de salubridad general a efecto de atender epidemias de carácter grave, peligro de invasión de enfermedades transmisibles, situaciones de emergencia o catástrofe, desabasto de medicamentos y servicios, que afecten a la salud de la población del Estado; para lo cual la Secretaría de Salud con base en la Ley General de Salud, dictará inmediatamente las medidas indispensables para prevenir y combatir los daños a la salud, lo anterior, en apego a la normativa aplicable.</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sz w:val="24"/>
          <w:szCs w:val="24"/>
        </w:rPr>
        <w:t>QUINTO.</w:t>
      </w:r>
      <w:r w:rsidRPr="00154310">
        <w:rPr>
          <w:rFonts w:ascii="Times New Roman" w:eastAsia="Bookman Old Style" w:hAnsi="Times New Roman" w:cs="Times New Roman"/>
          <w:sz w:val="24"/>
          <w:szCs w:val="24"/>
        </w:rPr>
        <w:t xml:space="preserve"> En caso de que alguna disposición normativa federal sea modificada y esto implique la realización de adecuaciones que produzcan cambios sustanciales en la estructura del Presupuesto de Egresos para el ejercicio fiscal 2026, los Entes Públicos podrán realizar dichas adecuaciones sin que ello se considere dentro de los porcentajes establecidos en la normativa aplicable. </w:t>
      </w:r>
    </w:p>
    <w:p w:rsidR="00A26CD3" w:rsidRPr="00154310" w:rsidRDefault="00A26CD3" w:rsidP="00A26CD3">
      <w:pPr>
        <w:shd w:val="clear" w:color="auto" w:fill="FFFFFF"/>
        <w:spacing w:after="0" w:line="240" w:lineRule="auto"/>
        <w:jc w:val="both"/>
        <w:rPr>
          <w:rFonts w:ascii="Times New Roman" w:eastAsia="Bookman Old Style" w:hAnsi="Times New Roman" w:cs="Times New Roman"/>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bCs/>
          <w:sz w:val="24"/>
          <w:szCs w:val="24"/>
        </w:rPr>
        <w:t>SEXTO.</w:t>
      </w:r>
      <w:r w:rsidRPr="00154310">
        <w:rPr>
          <w:rFonts w:ascii="Times New Roman" w:eastAsia="Bookman Old Style" w:hAnsi="Times New Roman" w:cs="Times New Roman"/>
          <w:sz w:val="24"/>
          <w:szCs w:val="24"/>
        </w:rPr>
        <w:t xml:space="preserve"> Para el cumplimiento de lo señalado en los artículos 36 y 64 de este Decreto, la Secretaría deberá emitir en un plazo no mayor a 45 días hábiles posteriores a la publicación del presente Presupuesto, las Reglas de Operación en materia de Gasto de Inversión.</w:t>
      </w:r>
      <w:r w:rsidRPr="00154310">
        <w:rPr>
          <w:rFonts w:ascii="Times New Roman" w:eastAsia="Bookman Old Style" w:hAnsi="Times New Roman" w:cs="Times New Roman"/>
          <w:bCs/>
          <w:sz w:val="24"/>
          <w:szCs w:val="24"/>
        </w:rPr>
        <w:t xml:space="preserve"> </w:t>
      </w:r>
    </w:p>
    <w:p w:rsidR="00A26CD3" w:rsidRPr="00154310" w:rsidRDefault="00A26CD3" w:rsidP="00A26CD3">
      <w:pPr>
        <w:spacing w:after="0" w:line="240" w:lineRule="auto"/>
        <w:jc w:val="both"/>
        <w:rPr>
          <w:rFonts w:ascii="Times New Roman" w:eastAsia="Calibri" w:hAnsi="Times New Roman" w:cs="Times New Roman"/>
          <w:kern w:val="2"/>
          <w:sz w:val="24"/>
          <w:szCs w:val="24"/>
        </w:rPr>
      </w:pPr>
    </w:p>
    <w:p w:rsidR="00A26CD3" w:rsidRPr="00154310" w:rsidRDefault="00A26CD3" w:rsidP="00A26CD3">
      <w:pPr>
        <w:spacing w:after="0" w:line="240" w:lineRule="auto"/>
        <w:jc w:val="both"/>
        <w:rPr>
          <w:rFonts w:ascii="Times New Roman" w:eastAsia="Bookman Old Style" w:hAnsi="Times New Roman" w:cs="Times New Roman"/>
          <w:sz w:val="24"/>
          <w:szCs w:val="24"/>
        </w:rPr>
      </w:pPr>
      <w:r w:rsidRPr="00154310">
        <w:rPr>
          <w:rFonts w:ascii="Times New Roman" w:eastAsia="Bookman Old Style" w:hAnsi="Times New Roman" w:cs="Times New Roman"/>
          <w:b/>
          <w:bCs/>
          <w:sz w:val="24"/>
          <w:szCs w:val="24"/>
        </w:rPr>
        <w:t>SÉPTIMO</w:t>
      </w:r>
      <w:r w:rsidRPr="00154310">
        <w:rPr>
          <w:rFonts w:ascii="Times New Roman" w:eastAsia="Calibri" w:hAnsi="Times New Roman" w:cs="Times New Roman"/>
          <w:kern w:val="2"/>
          <w:sz w:val="24"/>
          <w:szCs w:val="24"/>
        </w:rPr>
        <w:t xml:space="preserve">. </w:t>
      </w:r>
      <w:r w:rsidRPr="00154310">
        <w:rPr>
          <w:rFonts w:ascii="Times New Roman" w:eastAsia="Bookman Old Style" w:hAnsi="Times New Roman" w:cs="Times New Roman"/>
          <w:sz w:val="24"/>
          <w:szCs w:val="24"/>
        </w:rPr>
        <w:t>El Instituto de Transparencia, Acceso a la Información Pública y Protección de Datos Personales del Estado de México y Municipios (INFOEM) ejercerá los recursos asignados en el presente instrumento, hasta en tanto se transfieran a los organismos, dependencias o instancias que asuman sus facultades y atribuciones, conforme a los términos, plazos y condiciones que mediante el Decreto respectivo se establezcan.</w:t>
      </w:r>
    </w:p>
    <w:p w:rsidR="00A26CD3" w:rsidRPr="00154310" w:rsidRDefault="00A26CD3" w:rsidP="00A26CD3">
      <w:pPr>
        <w:spacing w:after="0" w:line="240" w:lineRule="auto"/>
        <w:jc w:val="both"/>
        <w:rPr>
          <w:rFonts w:ascii="Times New Roman" w:eastAsia="Bookman Old Style" w:hAnsi="Times New Roman" w:cs="Times New Roman"/>
          <w:sz w:val="24"/>
          <w:szCs w:val="24"/>
        </w:rPr>
      </w:pPr>
    </w:p>
    <w:p w:rsidR="00A26CD3" w:rsidRPr="00154310" w:rsidRDefault="00A26CD3" w:rsidP="001F2DBB">
      <w:pPr>
        <w:spacing w:after="0" w:line="240" w:lineRule="auto"/>
        <w:ind w:left="3545"/>
        <w:jc w:val="both"/>
        <w:rPr>
          <w:rFonts w:ascii="Times New Roman" w:eastAsia="Arial Unicode MS" w:hAnsi="Times New Roman" w:cs="Times New Roman"/>
          <w:kern w:val="2"/>
          <w:sz w:val="24"/>
          <w:szCs w:val="24"/>
          <w:u w:color="000000"/>
          <w:lang w:val="es-ES_tradnl" w:eastAsia="es-MX"/>
        </w:rPr>
      </w:pPr>
      <w:r w:rsidRPr="00154310">
        <w:rPr>
          <w:rFonts w:ascii="Times New Roman" w:eastAsia="Calibri" w:hAnsi="Times New Roman" w:cs="Times New Roman"/>
          <w:kern w:val="2"/>
          <w:sz w:val="24"/>
          <w:szCs w:val="24"/>
          <w:lang w:val="es-ES_tradnl"/>
        </w:rPr>
        <w:t>HOJA DE FIRMA DE LA INICIATIVA DE DECRETO DE PRESUPUESTO DE EGRESOS DEL GOBIERNO DEL ESTADO DE M</w:t>
      </w:r>
      <w:r w:rsidRPr="00154310">
        <w:rPr>
          <w:rFonts w:ascii="Times New Roman" w:eastAsia="Calibri" w:hAnsi="Times New Roman" w:cs="Times New Roman" w:hint="eastAsia"/>
          <w:kern w:val="2"/>
          <w:sz w:val="24"/>
          <w:szCs w:val="24"/>
          <w:lang w:val="es-ES_tradnl"/>
        </w:rPr>
        <w:t>É</w:t>
      </w:r>
      <w:r w:rsidRPr="00154310">
        <w:rPr>
          <w:rFonts w:ascii="Times New Roman" w:eastAsia="Calibri" w:hAnsi="Times New Roman" w:cs="Times New Roman"/>
          <w:kern w:val="2"/>
          <w:sz w:val="24"/>
          <w:szCs w:val="24"/>
          <w:lang w:val="es-ES_tradnl"/>
        </w:rPr>
        <w:t>XICO PARA EL EJERCICIO FISCAL 2026.</w:t>
      </w:r>
    </w:p>
    <w:p w:rsidR="00A26CD3" w:rsidRPr="00154310" w:rsidRDefault="00A26CD3" w:rsidP="00A26CD3">
      <w:pPr>
        <w:spacing w:after="0" w:line="240" w:lineRule="auto"/>
        <w:jc w:val="both"/>
        <w:rPr>
          <w:rFonts w:ascii="Times New Roman" w:eastAsia="Arial Unicode MS" w:hAnsi="Times New Roman" w:cs="Times New Roman"/>
          <w:kern w:val="2"/>
          <w:sz w:val="24"/>
          <w:szCs w:val="24"/>
          <w:u w:color="000000"/>
          <w:lang w:val="es-ES_tradnl" w:eastAsia="es-MX"/>
        </w:rPr>
      </w:pPr>
    </w:p>
    <w:p w:rsidR="00A26CD3" w:rsidRPr="00154310" w:rsidRDefault="00A26CD3" w:rsidP="00A26CD3">
      <w:pPr>
        <w:spacing w:after="0" w:line="240" w:lineRule="auto"/>
        <w:jc w:val="both"/>
        <w:rPr>
          <w:rFonts w:ascii="Times New Roman" w:eastAsia="Arial Unicode MS" w:hAnsi="Times New Roman" w:cs="Times New Roman"/>
          <w:kern w:val="2"/>
          <w:sz w:val="24"/>
          <w:szCs w:val="24"/>
          <w:u w:color="000000"/>
          <w:lang w:val="es-ES_tradnl" w:eastAsia="es-MX"/>
        </w:rPr>
      </w:pPr>
      <w:r w:rsidRPr="00154310">
        <w:rPr>
          <w:rFonts w:ascii="Times New Roman" w:eastAsia="Arial Unicode MS" w:hAnsi="Times New Roman" w:cs="Times New Roman"/>
          <w:kern w:val="2"/>
          <w:sz w:val="24"/>
          <w:szCs w:val="24"/>
          <w:u w:color="000000"/>
          <w:lang w:val="es-ES_tradnl" w:eastAsia="es-MX"/>
        </w:rPr>
        <w:t>Reitero a usted, la seguridad de mi atenta y distinguida consideración.</w:t>
      </w:r>
    </w:p>
    <w:p w:rsidR="00A26CD3" w:rsidRPr="00154310" w:rsidRDefault="00A26CD3" w:rsidP="00A26CD3">
      <w:pPr>
        <w:spacing w:after="0" w:line="240" w:lineRule="auto"/>
        <w:jc w:val="center"/>
        <w:rPr>
          <w:rFonts w:ascii="Times New Roman" w:eastAsia="MS Mincho" w:hAnsi="Times New Roman" w:cs="Times New Roman"/>
          <w:b/>
          <w:kern w:val="2"/>
          <w:sz w:val="24"/>
          <w:szCs w:val="24"/>
          <w:lang w:val="es-ES_tradnl"/>
        </w:rPr>
      </w:pPr>
    </w:p>
    <w:p w:rsidR="00A26CD3" w:rsidRPr="00154310" w:rsidRDefault="00A26CD3" w:rsidP="00A26CD3">
      <w:pPr>
        <w:spacing w:after="0" w:line="240" w:lineRule="auto"/>
        <w:jc w:val="both"/>
        <w:rPr>
          <w:rFonts w:ascii="Times New Roman" w:eastAsia="MS Mincho" w:hAnsi="Times New Roman" w:cs="Times New Roman"/>
          <w:kern w:val="2"/>
          <w:sz w:val="24"/>
          <w:szCs w:val="24"/>
          <w:lang w:val="es-ES_tradnl"/>
        </w:rPr>
      </w:pPr>
      <w:r w:rsidRPr="00154310">
        <w:rPr>
          <w:rFonts w:ascii="Times New Roman" w:eastAsia="MS Mincho" w:hAnsi="Times New Roman" w:cs="Times New Roman"/>
          <w:kern w:val="2"/>
          <w:sz w:val="24"/>
          <w:szCs w:val="24"/>
          <w:lang w:val="es-ES_tradnl"/>
        </w:rPr>
        <w:t>Palacio del Poder Ejecutivo, en la Ciudad de Toluca de Lerdo, capital del Estado de México, a los 19 días del mes de noviembre del año 2025.</w:t>
      </w:r>
    </w:p>
    <w:p w:rsidR="00A26CD3" w:rsidRPr="00154310" w:rsidRDefault="00A26CD3" w:rsidP="00A26CD3">
      <w:pPr>
        <w:spacing w:after="0" w:line="240" w:lineRule="auto"/>
        <w:jc w:val="center"/>
        <w:rPr>
          <w:rFonts w:ascii="Times New Roman" w:eastAsia="MS Mincho" w:hAnsi="Times New Roman" w:cs="Times New Roman"/>
          <w:b/>
          <w:kern w:val="2"/>
          <w:sz w:val="24"/>
          <w:szCs w:val="24"/>
          <w:lang w:val="es-ES_tradnl"/>
        </w:rPr>
      </w:pPr>
    </w:p>
    <w:p w:rsidR="00A26CD3" w:rsidRPr="00154310" w:rsidRDefault="00A26CD3" w:rsidP="00A26CD3">
      <w:pPr>
        <w:spacing w:after="0" w:line="240" w:lineRule="auto"/>
        <w:jc w:val="center"/>
        <w:rPr>
          <w:rFonts w:ascii="Times New Roman" w:eastAsia="Calibri" w:hAnsi="Times New Roman" w:cs="Times New Roman"/>
          <w:b/>
          <w:kern w:val="2"/>
          <w:sz w:val="24"/>
          <w:szCs w:val="24"/>
          <w:lang w:val="es-ES_tradnl"/>
        </w:rPr>
      </w:pPr>
      <w:r w:rsidRPr="00154310">
        <w:rPr>
          <w:rFonts w:ascii="Times New Roman" w:eastAsia="Calibri" w:hAnsi="Times New Roman" w:cs="Times New Roman"/>
          <w:b/>
          <w:kern w:val="2"/>
          <w:sz w:val="24"/>
          <w:szCs w:val="24"/>
          <w:lang w:val="es-ES_tradnl"/>
        </w:rPr>
        <w:t>La Gobernadora Constitucional</w:t>
      </w:r>
    </w:p>
    <w:p w:rsidR="00A26CD3" w:rsidRPr="00154310" w:rsidRDefault="00A26CD3" w:rsidP="00A26CD3">
      <w:pPr>
        <w:spacing w:after="0" w:line="240" w:lineRule="auto"/>
        <w:jc w:val="center"/>
        <w:rPr>
          <w:rFonts w:ascii="Times New Roman" w:eastAsia="Calibri" w:hAnsi="Times New Roman" w:cs="Times New Roman"/>
          <w:b/>
          <w:kern w:val="2"/>
          <w:sz w:val="24"/>
          <w:szCs w:val="24"/>
          <w:lang w:val="es-ES_tradnl"/>
        </w:rPr>
      </w:pPr>
      <w:r w:rsidRPr="00154310">
        <w:rPr>
          <w:rFonts w:ascii="Times New Roman" w:eastAsia="Calibri" w:hAnsi="Times New Roman" w:cs="Times New Roman"/>
          <w:b/>
          <w:kern w:val="2"/>
          <w:sz w:val="24"/>
          <w:szCs w:val="24"/>
          <w:lang w:val="es-ES_tradnl"/>
        </w:rPr>
        <w:t>del Estado de México</w:t>
      </w:r>
    </w:p>
    <w:p w:rsidR="00A26CD3" w:rsidRPr="00154310" w:rsidRDefault="00A26CD3" w:rsidP="00A26CD3">
      <w:pPr>
        <w:spacing w:after="0" w:line="240" w:lineRule="auto"/>
        <w:jc w:val="center"/>
        <w:rPr>
          <w:rFonts w:ascii="Times New Roman" w:eastAsia="Calibri" w:hAnsi="Times New Roman" w:cs="Times New Roman"/>
          <w:b/>
          <w:kern w:val="2"/>
          <w:sz w:val="24"/>
          <w:szCs w:val="24"/>
          <w:lang w:val="es-ES_tradnl"/>
        </w:rPr>
      </w:pPr>
      <w:r w:rsidRPr="00154310">
        <w:rPr>
          <w:rFonts w:ascii="Times New Roman" w:eastAsia="Calibri" w:hAnsi="Times New Roman" w:cs="Times New Roman"/>
          <w:b/>
          <w:kern w:val="2"/>
          <w:sz w:val="24"/>
          <w:szCs w:val="24"/>
          <w:lang w:val="es-ES_tradnl"/>
        </w:rPr>
        <w:t>Mtra. Delfina Gómez Álvarez</w:t>
      </w:r>
    </w:p>
    <w:p w:rsidR="00A26CD3" w:rsidRPr="00154310" w:rsidRDefault="00A26CD3" w:rsidP="00A26CD3">
      <w:pPr>
        <w:widowControl w:val="0"/>
        <w:spacing w:after="0" w:line="240" w:lineRule="auto"/>
        <w:jc w:val="both"/>
        <w:rPr>
          <w:rFonts w:ascii="Times New Roman" w:eastAsia="Calibri" w:hAnsi="Times New Roman" w:cs="Times New Roman"/>
          <w:b/>
          <w:kern w:val="2"/>
          <w:sz w:val="24"/>
          <w:szCs w:val="24"/>
          <w:lang w:val="es-ES_tradnl"/>
        </w:rPr>
      </w:pPr>
    </w:p>
    <w:p w:rsidR="00A26CD3" w:rsidRPr="00154310" w:rsidRDefault="00A26CD3" w:rsidP="00A26CD3">
      <w:pPr>
        <w:spacing w:after="0" w:line="240" w:lineRule="auto"/>
        <w:ind w:right="7704"/>
        <w:jc w:val="center"/>
        <w:rPr>
          <w:rFonts w:ascii="Times New Roman" w:eastAsia="Calibri" w:hAnsi="Times New Roman" w:cs="Times New Roman"/>
          <w:b/>
          <w:bCs/>
          <w:kern w:val="2"/>
          <w:sz w:val="24"/>
          <w:szCs w:val="24"/>
          <w:lang w:val="es-ES_tradnl"/>
        </w:rPr>
      </w:pPr>
      <w:r w:rsidRPr="00154310">
        <w:rPr>
          <w:rFonts w:ascii="Times New Roman" w:eastAsia="Calibri" w:hAnsi="Times New Roman" w:cs="Times New Roman"/>
          <w:b/>
          <w:bCs/>
          <w:kern w:val="2"/>
          <w:sz w:val="24"/>
          <w:szCs w:val="24"/>
          <w:lang w:val="es-ES_tradnl"/>
        </w:rPr>
        <w:t>* OFJ</w:t>
      </w:r>
    </w:p>
    <w:p w:rsidR="00F6257A" w:rsidRPr="00154310" w:rsidRDefault="00F6257A" w:rsidP="00F6257A">
      <w:pPr>
        <w:spacing w:after="0" w:line="240" w:lineRule="auto"/>
        <w:jc w:val="center"/>
        <w:rPr>
          <w:rFonts w:ascii="Times New Roman" w:hAnsi="Times New Roman"/>
          <w:sz w:val="24"/>
          <w:szCs w:val="24"/>
        </w:rPr>
      </w:pPr>
    </w:p>
    <w:p w:rsidR="00F6257A" w:rsidRPr="00154310" w:rsidRDefault="00F6257A" w:rsidP="00F6257A">
      <w:pPr>
        <w:spacing w:after="0" w:line="240" w:lineRule="auto"/>
        <w:jc w:val="center"/>
        <w:rPr>
          <w:rFonts w:ascii="Times New Roman" w:hAnsi="Times New Roman"/>
          <w:i/>
          <w:sz w:val="24"/>
          <w:szCs w:val="24"/>
        </w:rPr>
      </w:pPr>
      <w:r w:rsidRPr="00154310">
        <w:rPr>
          <w:rFonts w:ascii="Times New Roman" w:hAnsi="Times New Roman"/>
          <w:i/>
          <w:sz w:val="24"/>
          <w:szCs w:val="24"/>
        </w:rPr>
        <w:t>(Fin del documento)</w:t>
      </w:r>
    </w:p>
    <w:p w:rsidR="00F6257A" w:rsidRPr="00154310" w:rsidRDefault="00F6257A" w:rsidP="00F6257A">
      <w:pPr>
        <w:spacing w:after="0" w:line="240" w:lineRule="auto"/>
        <w:jc w:val="center"/>
        <w:rPr>
          <w:rFonts w:ascii="Times New Roman" w:hAnsi="Times New Roman"/>
          <w:sz w:val="24"/>
          <w:szCs w:val="24"/>
        </w:rPr>
      </w:pPr>
    </w:p>
    <w:p w:rsidR="00E469F0" w:rsidRPr="00154310" w:rsidRDefault="00E469F0" w:rsidP="00B54AF5">
      <w:pPr>
        <w:spacing w:after="0" w:line="240" w:lineRule="auto"/>
        <w:jc w:val="both"/>
        <w:rPr>
          <w:rFonts w:ascii="Times New Roman" w:hAnsi="Times New Roman" w:cs="Times New Roman"/>
          <w:color w:val="000000" w:themeColor="text1"/>
          <w:sz w:val="24"/>
          <w:szCs w:val="24"/>
        </w:rPr>
      </w:pPr>
      <w:r w:rsidRPr="00154310">
        <w:rPr>
          <w:rFonts w:ascii="Times New Roman" w:hAnsi="Times New Roman" w:cs="Times New Roman"/>
          <w:color w:val="000000" w:themeColor="text1"/>
          <w:sz w:val="24"/>
          <w:szCs w:val="24"/>
        </w:rPr>
        <w:lastRenderedPageBreak/>
        <w:t>PRESIDENTA DIP. MARTHA AZUCENA CAMACHO REYNOSO. Gracias diputada Vicepresidenta Leticia Mejía García.</w:t>
      </w:r>
    </w:p>
    <w:p w:rsidR="00E469F0" w:rsidRPr="007A27A5"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BF8F00" w:themeColor="accent4" w:themeShade="BF"/>
          <w:sz w:val="24"/>
          <w:szCs w:val="24"/>
        </w:rPr>
        <w:tab/>
      </w:r>
      <w:r w:rsidRPr="007A27A5">
        <w:rPr>
          <w:rFonts w:ascii="Times New Roman" w:hAnsi="Times New Roman" w:cs="Times New Roman"/>
          <w:color w:val="000000" w:themeColor="text1"/>
          <w:sz w:val="24"/>
          <w:szCs w:val="24"/>
        </w:rPr>
        <w:t xml:space="preserve">Se registra la </w:t>
      </w:r>
      <w:r w:rsidR="000F369C" w:rsidRPr="007A27A5">
        <w:rPr>
          <w:rFonts w:ascii="Times New Roman" w:hAnsi="Times New Roman" w:cs="Times New Roman"/>
          <w:color w:val="000000" w:themeColor="text1"/>
          <w:sz w:val="24"/>
          <w:szCs w:val="24"/>
        </w:rPr>
        <w:t xml:space="preserve">Iniciativa </w:t>
      </w:r>
      <w:r w:rsidRPr="007A27A5">
        <w:rPr>
          <w:rFonts w:ascii="Times New Roman" w:hAnsi="Times New Roman" w:cs="Times New Roman"/>
          <w:color w:val="000000" w:themeColor="text1"/>
          <w:sz w:val="24"/>
          <w:szCs w:val="24"/>
        </w:rPr>
        <w:t xml:space="preserve">de </w:t>
      </w:r>
      <w:r w:rsidR="000F369C" w:rsidRPr="007A27A5">
        <w:rPr>
          <w:rFonts w:ascii="Times New Roman" w:hAnsi="Times New Roman" w:cs="Times New Roman"/>
          <w:color w:val="000000" w:themeColor="text1"/>
          <w:sz w:val="24"/>
          <w:szCs w:val="24"/>
        </w:rPr>
        <w:t xml:space="preserve">Decreto </w:t>
      </w:r>
      <w:r w:rsidRPr="007A27A5">
        <w:rPr>
          <w:rFonts w:ascii="Times New Roman" w:hAnsi="Times New Roman" w:cs="Times New Roman"/>
          <w:color w:val="000000" w:themeColor="text1"/>
          <w:sz w:val="24"/>
          <w:szCs w:val="24"/>
        </w:rPr>
        <w:t>y se remite su estudio a las Comisiones Legislativas de Planeación y Gasto Público, y de Finanzas Públicas, para su estudio y dictamen.</w:t>
      </w:r>
    </w:p>
    <w:p w:rsidR="00E469F0" w:rsidRPr="001F2DBB" w:rsidRDefault="00E469F0" w:rsidP="00B54AF5">
      <w:pPr>
        <w:spacing w:after="0" w:line="240" w:lineRule="auto"/>
        <w:jc w:val="both"/>
        <w:rPr>
          <w:rFonts w:ascii="Times New Roman" w:hAnsi="Times New Roman" w:cs="Times New Roman"/>
          <w:color w:val="000000" w:themeColor="text1"/>
          <w:sz w:val="24"/>
          <w:szCs w:val="24"/>
        </w:rPr>
      </w:pPr>
      <w:r w:rsidRPr="007A27A5">
        <w:rPr>
          <w:rFonts w:ascii="Times New Roman" w:hAnsi="Times New Roman" w:cs="Times New Roman"/>
          <w:color w:val="000000" w:themeColor="text1"/>
          <w:sz w:val="24"/>
          <w:szCs w:val="24"/>
        </w:rPr>
        <w:tab/>
        <w:t xml:space="preserve">En cuanto al punto 5.2, de la misma forma se registra la Iniciativa de Decreto y se envía a las </w:t>
      </w:r>
      <w:r w:rsidRPr="001F2DBB">
        <w:rPr>
          <w:rFonts w:ascii="Times New Roman" w:hAnsi="Times New Roman" w:cs="Times New Roman"/>
          <w:color w:val="000000" w:themeColor="text1"/>
          <w:sz w:val="24"/>
          <w:szCs w:val="24"/>
        </w:rPr>
        <w:t>Comisiones Legislativas de Planeación y Gasto Público, y de Finanzas Públicas, para su estudio y dictamen.</w:t>
      </w:r>
    </w:p>
    <w:p w:rsidR="00E469F0" w:rsidRPr="001F2DBB" w:rsidRDefault="00E469F0" w:rsidP="00B54AF5">
      <w:pPr>
        <w:spacing w:after="0" w:line="240" w:lineRule="auto"/>
        <w:jc w:val="both"/>
        <w:rPr>
          <w:rFonts w:ascii="Times New Roman" w:hAnsi="Times New Roman" w:cs="Times New Roman"/>
          <w:color w:val="000000" w:themeColor="text1"/>
          <w:sz w:val="24"/>
          <w:szCs w:val="24"/>
        </w:rPr>
      </w:pPr>
      <w:r w:rsidRPr="001F2DBB">
        <w:rPr>
          <w:rFonts w:ascii="Times New Roman" w:hAnsi="Times New Roman" w:cs="Times New Roman"/>
          <w:color w:val="000000" w:themeColor="text1"/>
          <w:sz w:val="24"/>
          <w:szCs w:val="24"/>
        </w:rPr>
        <w:tab/>
        <w:t>En cuanto al punto 5.4, la diputada Vicepresidenta Leticia Mejía García leerá la iniciativa de decreto por el cual se reforman, adicionan y derogan diversas disposiciones del Código Financiero del Estado de México y Municipios y otros ordenamientos.</w:t>
      </w:r>
    </w:p>
    <w:p w:rsidR="000A227D" w:rsidRPr="001F2DBB" w:rsidRDefault="00E469F0" w:rsidP="00702A8F">
      <w:pPr>
        <w:spacing w:after="0" w:line="240" w:lineRule="auto"/>
        <w:jc w:val="both"/>
        <w:rPr>
          <w:rFonts w:ascii="Times New Roman" w:hAnsi="Times New Roman" w:cs="Times New Roman"/>
          <w:color w:val="000000" w:themeColor="text1"/>
          <w:sz w:val="24"/>
          <w:szCs w:val="24"/>
        </w:rPr>
      </w:pPr>
      <w:r w:rsidRPr="001F2DBB">
        <w:rPr>
          <w:rFonts w:ascii="Times New Roman" w:hAnsi="Times New Roman" w:cs="Times New Roman"/>
          <w:color w:val="000000" w:themeColor="text1"/>
          <w:sz w:val="24"/>
          <w:szCs w:val="24"/>
        </w:rPr>
        <w:t>VICEPRESIDENTA DIP. LETICIA MEJÍA GARCÍA. Gracias</w:t>
      </w:r>
      <w:r w:rsidR="00552D3F" w:rsidRPr="001F2DBB">
        <w:rPr>
          <w:rFonts w:ascii="Times New Roman" w:hAnsi="Times New Roman" w:cs="Times New Roman"/>
          <w:color w:val="000000" w:themeColor="text1"/>
          <w:sz w:val="24"/>
          <w:szCs w:val="24"/>
        </w:rPr>
        <w:t xml:space="preserve"> Presidenta</w:t>
      </w:r>
      <w:r w:rsidR="00702A8F" w:rsidRPr="001F2DBB">
        <w:rPr>
          <w:rFonts w:ascii="Times New Roman" w:hAnsi="Times New Roman" w:cs="Times New Roman"/>
          <w:color w:val="000000" w:themeColor="text1"/>
          <w:sz w:val="24"/>
          <w:szCs w:val="24"/>
        </w:rPr>
        <w:t>, c</w:t>
      </w:r>
      <w:r w:rsidR="00552D3F" w:rsidRPr="001F2DBB">
        <w:rPr>
          <w:rFonts w:ascii="Times New Roman" w:hAnsi="Times New Roman" w:cs="Times New Roman"/>
          <w:color w:val="000000" w:themeColor="text1"/>
          <w:sz w:val="24"/>
          <w:szCs w:val="24"/>
        </w:rPr>
        <w:t>on el permiso de la mesa directiva</w:t>
      </w:r>
      <w:r w:rsidR="00702A8F" w:rsidRPr="001F2DBB">
        <w:rPr>
          <w:rFonts w:ascii="Times New Roman" w:hAnsi="Times New Roman" w:cs="Times New Roman"/>
          <w:color w:val="000000" w:themeColor="text1"/>
          <w:sz w:val="24"/>
          <w:szCs w:val="24"/>
        </w:rPr>
        <w:t>.</w:t>
      </w:r>
    </w:p>
    <w:p w:rsidR="000A227D" w:rsidRPr="007A27A5" w:rsidRDefault="000A227D" w:rsidP="00B54AF5">
      <w:pPr>
        <w:spacing w:after="0" w:line="240" w:lineRule="auto"/>
        <w:jc w:val="both"/>
        <w:rPr>
          <w:rFonts w:ascii="Times New Roman" w:eastAsia="Times New Roman" w:hAnsi="Times New Roman" w:cs="Times New Roman"/>
          <w:color w:val="000000" w:themeColor="text1"/>
          <w:sz w:val="24"/>
          <w:szCs w:val="24"/>
          <w:lang w:eastAsia="es-MX"/>
        </w:rPr>
      </w:pPr>
      <w:r w:rsidRPr="001F2DBB">
        <w:rPr>
          <w:rFonts w:ascii="Times New Roman" w:eastAsia="Times New Roman" w:hAnsi="Times New Roman" w:cs="Times New Roman"/>
          <w:color w:val="000000" w:themeColor="text1"/>
          <w:sz w:val="24"/>
          <w:szCs w:val="24"/>
          <w:lang w:eastAsia="es-MX"/>
        </w:rPr>
        <w:t>DIPUTADA MARTHA AZUCENA</w:t>
      </w:r>
      <w:r w:rsidRPr="007A27A5">
        <w:rPr>
          <w:rFonts w:ascii="Times New Roman" w:eastAsia="Times New Roman" w:hAnsi="Times New Roman" w:cs="Times New Roman"/>
          <w:color w:val="000000" w:themeColor="text1"/>
          <w:sz w:val="24"/>
          <w:szCs w:val="24"/>
          <w:lang w:eastAsia="es-MX"/>
        </w:rPr>
        <w:t xml:space="preserve"> CAMACHO REYNOSO, </w:t>
      </w:r>
    </w:p>
    <w:p w:rsidR="00552D3F" w:rsidRPr="007A27A5" w:rsidRDefault="000A227D" w:rsidP="00B54AF5">
      <w:pPr>
        <w:spacing w:after="0" w:line="240" w:lineRule="auto"/>
        <w:jc w:val="both"/>
        <w:rPr>
          <w:rFonts w:ascii="Times New Roman" w:hAnsi="Times New Roman" w:cs="Times New Roman"/>
          <w:color w:val="000000" w:themeColor="text1"/>
          <w:sz w:val="24"/>
          <w:szCs w:val="24"/>
        </w:rPr>
      </w:pPr>
      <w:r w:rsidRPr="007A27A5">
        <w:rPr>
          <w:rFonts w:ascii="Times New Roman" w:eastAsia="Times New Roman" w:hAnsi="Times New Roman" w:cs="Times New Roman"/>
          <w:color w:val="000000" w:themeColor="text1"/>
          <w:sz w:val="24"/>
          <w:szCs w:val="24"/>
          <w:lang w:eastAsia="es-MX"/>
        </w:rPr>
        <w:t>PRESIDENTE DE LA MESA DIRECTIVA DE LA LXII LEGISLATURA</w:t>
      </w:r>
    </w:p>
    <w:p w:rsidR="000A227D" w:rsidRPr="007A27A5" w:rsidRDefault="000A227D" w:rsidP="00B54AF5">
      <w:pPr>
        <w:pStyle w:val="Sinespaciado"/>
        <w:rPr>
          <w:rFonts w:eastAsia="Times New Roman"/>
          <w:color w:val="000000" w:themeColor="text1"/>
          <w:lang w:eastAsia="es-MX"/>
        </w:rPr>
      </w:pPr>
      <w:r w:rsidRPr="007A27A5">
        <w:rPr>
          <w:rFonts w:eastAsia="Times New Roman"/>
          <w:color w:val="000000" w:themeColor="text1"/>
          <w:lang w:eastAsia="es-MX"/>
        </w:rPr>
        <w:t>DEL ESTADO DE MÉXICO.</w:t>
      </w:r>
    </w:p>
    <w:p w:rsidR="000A227D" w:rsidRPr="007A27A5" w:rsidRDefault="000A227D" w:rsidP="00B54AF5">
      <w:pPr>
        <w:pStyle w:val="Sinespaciado"/>
        <w:rPr>
          <w:rFonts w:eastAsia="Times New Roman"/>
          <w:color w:val="000000" w:themeColor="text1"/>
          <w:lang w:eastAsia="es-MX"/>
        </w:rPr>
      </w:pPr>
      <w:r w:rsidRPr="007A27A5">
        <w:rPr>
          <w:rFonts w:eastAsia="Times New Roman"/>
          <w:color w:val="000000" w:themeColor="text1"/>
          <w:lang w:eastAsia="es-MX"/>
        </w:rPr>
        <w:t>PRESENTE.</w:t>
      </w:r>
    </w:p>
    <w:p w:rsidR="001C32A9" w:rsidRPr="007A27A5" w:rsidRDefault="001C32A9" w:rsidP="001F2DBB">
      <w:pPr>
        <w:pStyle w:val="Sinespaciado"/>
        <w:ind w:firstLine="709"/>
        <w:rPr>
          <w:rFonts w:eastAsia="Times New Roman"/>
          <w:color w:val="000000" w:themeColor="text1"/>
          <w:lang w:eastAsia="es-MX"/>
        </w:rPr>
      </w:pPr>
      <w:r w:rsidRPr="007A27A5">
        <w:rPr>
          <w:rFonts w:eastAsia="Times New Roman"/>
          <w:color w:val="000000" w:themeColor="text1"/>
          <w:lang w:eastAsia="es-MX"/>
        </w:rPr>
        <w:t>Delfina Gómez Álvarez, Gobernadora Constitucional del Estado Libre y Soberano de México, en ejercicio de la facultad que me confieren los artículos 51, fracción I y LXXVII, fracción V de la Constitución Política del Estado Libre y Soberano de México, se somete a la consideración de esta Honorable Legislatura por el digno conducto de usted;</w:t>
      </w:r>
      <w:r w:rsidR="001F2DBB">
        <w:rPr>
          <w:rFonts w:eastAsia="Times New Roman"/>
          <w:color w:val="000000" w:themeColor="text1"/>
          <w:lang w:eastAsia="es-MX"/>
        </w:rPr>
        <w:t xml:space="preserve"> </w:t>
      </w:r>
      <w:r w:rsidRPr="007A27A5">
        <w:rPr>
          <w:rFonts w:eastAsia="Times New Roman"/>
          <w:color w:val="000000" w:themeColor="text1"/>
          <w:lang w:eastAsia="es-MX"/>
        </w:rPr>
        <w:t xml:space="preserve">Iniciativa de </w:t>
      </w:r>
      <w:r w:rsidR="00702A8F" w:rsidRPr="007A27A5">
        <w:rPr>
          <w:rFonts w:eastAsia="Times New Roman"/>
          <w:color w:val="000000" w:themeColor="text1"/>
          <w:lang w:eastAsia="es-MX"/>
        </w:rPr>
        <w:t xml:space="preserve">Decreto </w:t>
      </w:r>
      <w:r w:rsidRPr="007A27A5">
        <w:rPr>
          <w:rFonts w:eastAsia="Times New Roman"/>
          <w:color w:val="000000" w:themeColor="text1"/>
          <w:lang w:eastAsia="es-MX"/>
        </w:rPr>
        <w:t>por el que se reforman, adicionan y derogan diversas disposiciones del Código Financiero del Estado de México y Municipios y otros ordenamientos.</w:t>
      </w:r>
    </w:p>
    <w:p w:rsidR="001C32A9" w:rsidRPr="007A27A5" w:rsidRDefault="001C32A9" w:rsidP="001F2DBB">
      <w:pPr>
        <w:pStyle w:val="Sinespaciado"/>
        <w:ind w:firstLine="709"/>
        <w:rPr>
          <w:rFonts w:eastAsia="Times New Roman"/>
          <w:color w:val="000000" w:themeColor="text1"/>
          <w:lang w:eastAsia="es-MX"/>
        </w:rPr>
      </w:pPr>
      <w:r w:rsidRPr="007A27A5">
        <w:rPr>
          <w:rFonts w:eastAsia="Times New Roman"/>
          <w:color w:val="000000" w:themeColor="text1"/>
          <w:lang w:eastAsia="es-MX"/>
        </w:rPr>
        <w:t xml:space="preserve">Reitero a usted la seguridad de mi atenta y distinguida consideración. </w:t>
      </w:r>
    </w:p>
    <w:p w:rsidR="001C32A9" w:rsidRPr="007A27A5" w:rsidRDefault="001C32A9" w:rsidP="001F2DBB">
      <w:pPr>
        <w:pStyle w:val="Sinespaciado"/>
        <w:ind w:firstLine="709"/>
        <w:rPr>
          <w:rFonts w:eastAsia="Times New Roman"/>
          <w:color w:val="000000" w:themeColor="text1"/>
          <w:lang w:eastAsia="es-MX"/>
        </w:rPr>
      </w:pPr>
      <w:r w:rsidRPr="007A27A5">
        <w:rPr>
          <w:rFonts w:eastAsia="Times New Roman"/>
          <w:color w:val="000000" w:themeColor="text1"/>
          <w:lang w:eastAsia="es-MX"/>
        </w:rPr>
        <w:t>Palacio del Poder Ejecutivo en la ciudad de Toluca de Lerdo, capital del Estado de México, a los diecinueve días del mes noviembre del dos mil veinticinco.</w:t>
      </w:r>
    </w:p>
    <w:p w:rsidR="001C32A9" w:rsidRPr="007A27A5" w:rsidRDefault="001C32A9" w:rsidP="009C5163">
      <w:pPr>
        <w:pStyle w:val="Sinespaciado"/>
        <w:ind w:firstLine="709"/>
        <w:rPr>
          <w:rFonts w:eastAsia="Times New Roman"/>
          <w:color w:val="000000" w:themeColor="text1"/>
          <w:lang w:eastAsia="es-MX"/>
        </w:rPr>
      </w:pPr>
      <w:r w:rsidRPr="007A27A5">
        <w:rPr>
          <w:rFonts w:eastAsia="Times New Roman"/>
          <w:color w:val="000000" w:themeColor="text1"/>
          <w:lang w:eastAsia="es-MX"/>
        </w:rPr>
        <w:t>Es cuan</w:t>
      </w:r>
      <w:r w:rsidR="00881C4A" w:rsidRPr="007A27A5">
        <w:rPr>
          <w:rFonts w:eastAsia="Times New Roman"/>
          <w:color w:val="000000" w:themeColor="text1"/>
          <w:lang w:eastAsia="es-MX"/>
        </w:rPr>
        <w:t>t</w:t>
      </w:r>
      <w:r w:rsidRPr="007A27A5">
        <w:rPr>
          <w:rFonts w:eastAsia="Times New Roman"/>
          <w:color w:val="000000" w:themeColor="text1"/>
          <w:lang w:eastAsia="es-MX"/>
        </w:rPr>
        <w:t>o Presidenta.</w:t>
      </w:r>
    </w:p>
    <w:p w:rsidR="00F6257A" w:rsidRPr="009C5163" w:rsidRDefault="00F6257A" w:rsidP="00F6257A">
      <w:pPr>
        <w:pStyle w:val="Sinespaciado"/>
      </w:pPr>
    </w:p>
    <w:p w:rsidR="00F6257A" w:rsidRPr="009C5163" w:rsidRDefault="00F6257A" w:rsidP="00F6257A">
      <w:pPr>
        <w:spacing w:after="0" w:line="240" w:lineRule="auto"/>
        <w:jc w:val="center"/>
        <w:rPr>
          <w:rFonts w:ascii="Times New Roman" w:hAnsi="Times New Roman"/>
          <w:i/>
          <w:sz w:val="24"/>
          <w:szCs w:val="24"/>
        </w:rPr>
      </w:pPr>
      <w:r w:rsidRPr="009C5163">
        <w:rPr>
          <w:rFonts w:ascii="Times New Roman" w:hAnsi="Times New Roman"/>
          <w:i/>
          <w:sz w:val="24"/>
          <w:szCs w:val="24"/>
        </w:rPr>
        <w:t>(Se inserta documento)</w:t>
      </w:r>
    </w:p>
    <w:p w:rsidR="00F6257A" w:rsidRPr="009C5163" w:rsidRDefault="00F6257A" w:rsidP="00F6257A">
      <w:pPr>
        <w:spacing w:after="0" w:line="240" w:lineRule="auto"/>
        <w:jc w:val="center"/>
        <w:rPr>
          <w:rFonts w:ascii="Times New Roman" w:hAnsi="Times New Roman"/>
          <w:sz w:val="24"/>
          <w:szCs w:val="24"/>
        </w:rPr>
      </w:pPr>
    </w:p>
    <w:p w:rsidR="001634B4" w:rsidRPr="001634B4" w:rsidRDefault="001634B4" w:rsidP="001634B4">
      <w:pPr>
        <w:spacing w:after="0" w:line="240" w:lineRule="auto"/>
        <w:ind w:right="-2"/>
        <w:jc w:val="right"/>
        <w:rPr>
          <w:rFonts w:ascii="Times New Roman" w:eastAsia="Times New Roman" w:hAnsi="Times New Roman" w:cs="Times New Roman"/>
          <w:bCs/>
          <w:sz w:val="24"/>
          <w:szCs w:val="24"/>
          <w:lang w:val="es-ES" w:eastAsia="es-ES"/>
        </w:rPr>
      </w:pPr>
      <w:r w:rsidRPr="001634B4">
        <w:rPr>
          <w:rFonts w:ascii="Times New Roman" w:eastAsia="Times New Roman" w:hAnsi="Times New Roman" w:cs="Times New Roman"/>
          <w:bCs/>
          <w:sz w:val="24"/>
          <w:szCs w:val="24"/>
          <w:lang w:val="es-ES" w:eastAsia="es-ES"/>
        </w:rPr>
        <w:t xml:space="preserve">Toluca de Lerdo, México, </w:t>
      </w:r>
    </w:p>
    <w:p w:rsidR="001634B4" w:rsidRPr="001634B4" w:rsidRDefault="001634B4" w:rsidP="001634B4">
      <w:pPr>
        <w:spacing w:after="0" w:line="240" w:lineRule="auto"/>
        <w:ind w:right="-2"/>
        <w:jc w:val="right"/>
        <w:rPr>
          <w:rFonts w:ascii="Times New Roman" w:eastAsia="Times New Roman" w:hAnsi="Times New Roman" w:cs="Times New Roman"/>
          <w:bCs/>
          <w:sz w:val="24"/>
          <w:szCs w:val="24"/>
          <w:lang w:val="es-ES" w:eastAsia="es-ES"/>
        </w:rPr>
      </w:pPr>
      <w:r w:rsidRPr="001634B4">
        <w:rPr>
          <w:rFonts w:ascii="Times New Roman" w:eastAsia="Times New Roman" w:hAnsi="Times New Roman" w:cs="Times New Roman"/>
          <w:bCs/>
          <w:sz w:val="24"/>
          <w:szCs w:val="24"/>
          <w:lang w:val="es-ES" w:eastAsia="es-ES"/>
        </w:rPr>
        <w:t>a 19 de noviembre de 2025.</w:t>
      </w:r>
    </w:p>
    <w:p w:rsidR="001634B4" w:rsidRPr="001634B4" w:rsidRDefault="001634B4" w:rsidP="001634B4">
      <w:pPr>
        <w:spacing w:after="0" w:line="240" w:lineRule="auto"/>
        <w:ind w:right="-2"/>
        <w:jc w:val="right"/>
        <w:rPr>
          <w:rFonts w:ascii="Times New Roman" w:eastAsia="Times New Roman" w:hAnsi="Times New Roman" w:cs="Times New Roman"/>
          <w:b/>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b/>
          <w:sz w:val="24"/>
          <w:szCs w:val="24"/>
          <w:lang w:val="es-ES" w:eastAsia="es-ES"/>
        </w:rPr>
      </w:pPr>
      <w:r w:rsidRPr="001634B4">
        <w:rPr>
          <w:rFonts w:ascii="Times New Roman" w:eastAsia="Times New Roman" w:hAnsi="Times New Roman" w:cs="Times New Roman"/>
          <w:b/>
          <w:sz w:val="24"/>
          <w:szCs w:val="24"/>
          <w:lang w:val="es-ES" w:eastAsia="es-ES"/>
        </w:rPr>
        <w:t>DIPUTADA</w:t>
      </w:r>
    </w:p>
    <w:p w:rsidR="001634B4" w:rsidRPr="001634B4" w:rsidRDefault="001634B4" w:rsidP="001634B4">
      <w:pPr>
        <w:spacing w:after="0" w:line="240" w:lineRule="auto"/>
        <w:ind w:right="-2"/>
        <w:jc w:val="both"/>
        <w:rPr>
          <w:rFonts w:ascii="Times New Roman" w:eastAsia="Times New Roman" w:hAnsi="Times New Roman" w:cs="Times New Roman"/>
          <w:b/>
          <w:sz w:val="24"/>
          <w:szCs w:val="24"/>
          <w:lang w:val="es-ES" w:eastAsia="es-ES"/>
        </w:rPr>
      </w:pPr>
      <w:r w:rsidRPr="001634B4">
        <w:rPr>
          <w:rFonts w:ascii="Times New Roman" w:eastAsia="Times New Roman" w:hAnsi="Times New Roman" w:cs="Times New Roman"/>
          <w:b/>
          <w:sz w:val="24"/>
          <w:szCs w:val="24"/>
          <w:lang w:val="es-ES" w:eastAsia="es-ES"/>
        </w:rPr>
        <w:t>MARTHA AZUCENA CAMACHO REYNOSO</w:t>
      </w:r>
    </w:p>
    <w:p w:rsidR="001634B4" w:rsidRPr="001634B4" w:rsidRDefault="001634B4" w:rsidP="001634B4">
      <w:pPr>
        <w:spacing w:after="0" w:line="240" w:lineRule="auto"/>
        <w:ind w:right="-2"/>
        <w:jc w:val="both"/>
        <w:rPr>
          <w:rFonts w:ascii="Times New Roman" w:eastAsia="Times New Roman" w:hAnsi="Times New Roman" w:cs="Times New Roman"/>
          <w:b/>
          <w:sz w:val="24"/>
          <w:szCs w:val="24"/>
          <w:lang w:val="es-ES" w:eastAsia="es-ES"/>
        </w:rPr>
      </w:pPr>
      <w:r w:rsidRPr="001634B4">
        <w:rPr>
          <w:rFonts w:ascii="Times New Roman" w:eastAsia="Times New Roman" w:hAnsi="Times New Roman" w:cs="Times New Roman"/>
          <w:b/>
          <w:sz w:val="24"/>
          <w:szCs w:val="24"/>
          <w:lang w:val="es-ES" w:eastAsia="es-ES"/>
        </w:rPr>
        <w:t>PRESIDENTA DE LA MESA DIRECTIVA</w:t>
      </w:r>
    </w:p>
    <w:p w:rsidR="001634B4" w:rsidRPr="001634B4" w:rsidRDefault="001634B4" w:rsidP="001634B4">
      <w:pPr>
        <w:spacing w:after="0" w:line="240" w:lineRule="auto"/>
        <w:ind w:right="-2"/>
        <w:jc w:val="both"/>
        <w:rPr>
          <w:rFonts w:ascii="Times New Roman" w:eastAsia="Times New Roman" w:hAnsi="Times New Roman" w:cs="Times New Roman"/>
          <w:b/>
          <w:sz w:val="24"/>
          <w:szCs w:val="24"/>
          <w:lang w:val="es-ES" w:eastAsia="es-ES"/>
        </w:rPr>
      </w:pPr>
      <w:r w:rsidRPr="001634B4">
        <w:rPr>
          <w:rFonts w:ascii="Times New Roman" w:eastAsia="Times New Roman" w:hAnsi="Times New Roman" w:cs="Times New Roman"/>
          <w:b/>
          <w:sz w:val="24"/>
          <w:szCs w:val="24"/>
          <w:lang w:val="es-ES" w:eastAsia="es-ES"/>
        </w:rPr>
        <w:t>DE LA H. “LXII” LEGISLATURA DEL ESTADO DE MÉXICO</w:t>
      </w:r>
    </w:p>
    <w:p w:rsidR="001634B4" w:rsidRPr="001634B4" w:rsidRDefault="001634B4" w:rsidP="001634B4">
      <w:pPr>
        <w:spacing w:after="0" w:line="240" w:lineRule="auto"/>
        <w:ind w:right="-2"/>
        <w:jc w:val="both"/>
        <w:rPr>
          <w:rFonts w:ascii="Times New Roman" w:eastAsia="Times New Roman" w:hAnsi="Times New Roman" w:cs="Times New Roman"/>
          <w:b/>
          <w:sz w:val="24"/>
          <w:szCs w:val="24"/>
          <w:lang w:val="es-ES" w:eastAsia="es-ES"/>
        </w:rPr>
      </w:pPr>
      <w:r w:rsidRPr="001634B4">
        <w:rPr>
          <w:rFonts w:ascii="Times New Roman" w:eastAsia="Times New Roman" w:hAnsi="Times New Roman" w:cs="Times New Roman"/>
          <w:b/>
          <w:sz w:val="24"/>
          <w:szCs w:val="24"/>
          <w:lang w:val="es-ES" w:eastAsia="es-ES"/>
        </w:rPr>
        <w:t>P R E S E N T E</w:t>
      </w:r>
    </w:p>
    <w:p w:rsidR="001634B4" w:rsidRPr="001634B4" w:rsidRDefault="001634B4" w:rsidP="001634B4">
      <w:pPr>
        <w:spacing w:after="0" w:line="240" w:lineRule="auto"/>
        <w:ind w:right="-2"/>
        <w:jc w:val="both"/>
        <w:rPr>
          <w:rFonts w:ascii="Times New Roman" w:eastAsia="Times New Roman" w:hAnsi="Times New Roman" w:cs="Times New Roman"/>
          <w:b/>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_tradnl" w:eastAsia="es-ES"/>
        </w:rPr>
      </w:pPr>
      <w:r w:rsidRPr="001634B4">
        <w:rPr>
          <w:rFonts w:ascii="Times New Roman" w:eastAsia="Times New Roman" w:hAnsi="Times New Roman" w:cs="Times New Roman"/>
          <w:b/>
          <w:sz w:val="24"/>
          <w:szCs w:val="24"/>
          <w:lang w:val="es-ES" w:eastAsia="es-ES"/>
        </w:rPr>
        <w:t>DELFINA GÓMEZ ÁLVAREZ, Gobernadora Constitucional del Estado Libre y Soberano de México</w:t>
      </w:r>
      <w:r w:rsidRPr="001634B4">
        <w:rPr>
          <w:rFonts w:ascii="Times New Roman" w:eastAsia="Times New Roman" w:hAnsi="Times New Roman" w:cs="Times New Roman"/>
          <w:sz w:val="24"/>
          <w:szCs w:val="24"/>
          <w:lang w:val="es-ES" w:eastAsia="es-ES"/>
        </w:rPr>
        <w:t xml:space="preserve">, en ejercicio de la facultad que me confieren los artículos 51 fracción I y 77 fracción V de la Constitución Política del Estado Libre y Soberano de México, </w:t>
      </w:r>
      <w:r w:rsidRPr="001634B4">
        <w:rPr>
          <w:rFonts w:ascii="Times New Roman" w:eastAsia="Times New Roman" w:hAnsi="Times New Roman" w:cs="Times New Roman"/>
          <w:bCs/>
          <w:sz w:val="24"/>
          <w:szCs w:val="24"/>
          <w:lang w:val="es-ES_tradnl" w:eastAsia="es-ES"/>
        </w:rPr>
        <w:t xml:space="preserve">se somete a la consideración de esa H. Legislatura, por el digno conducto de Usted, </w:t>
      </w:r>
      <w:r w:rsidRPr="001634B4">
        <w:rPr>
          <w:rFonts w:ascii="Times New Roman" w:eastAsia="Times New Roman" w:hAnsi="Times New Roman" w:cs="Times New Roman"/>
          <w:b/>
          <w:sz w:val="24"/>
          <w:szCs w:val="24"/>
          <w:lang w:val="es-ES" w:eastAsia="es-ES"/>
        </w:rPr>
        <w:t>Iniciativa de Decreto por el que se reforman, adicionan y derogan diversas disposiciones del Código Financiero del Estado de México y Municipios y otros ordenamientos</w:t>
      </w:r>
      <w:r w:rsidRPr="001634B4">
        <w:rPr>
          <w:rFonts w:ascii="Times New Roman" w:eastAsia="Times New Roman" w:hAnsi="Times New Roman" w:cs="Times New Roman"/>
          <w:sz w:val="24"/>
          <w:szCs w:val="24"/>
          <w:lang w:val="es-ES" w:eastAsia="es-ES"/>
        </w:rPr>
        <w:t>,</w:t>
      </w:r>
      <w:r w:rsidRPr="001634B4">
        <w:rPr>
          <w:rFonts w:ascii="Times New Roman" w:eastAsia="Times New Roman" w:hAnsi="Times New Roman" w:cs="Times New Roman"/>
          <w:sz w:val="24"/>
          <w:szCs w:val="24"/>
          <w:lang w:val="es-ES_tradnl" w:eastAsia="es-ES"/>
        </w:rPr>
        <w:t xml:space="preserve"> conforme a la siguiente:</w:t>
      </w:r>
    </w:p>
    <w:p w:rsidR="001634B4" w:rsidRPr="001634B4" w:rsidRDefault="001634B4" w:rsidP="001634B4">
      <w:pPr>
        <w:spacing w:after="0" w:line="240" w:lineRule="auto"/>
        <w:ind w:right="-2"/>
        <w:jc w:val="center"/>
        <w:rPr>
          <w:rFonts w:ascii="Times New Roman" w:eastAsia="Times New Roman" w:hAnsi="Times New Roman" w:cs="Times New Roman"/>
          <w:b/>
          <w:sz w:val="24"/>
          <w:szCs w:val="24"/>
          <w:lang w:val="es-ES" w:eastAsia="es-ES"/>
        </w:rPr>
      </w:pPr>
    </w:p>
    <w:p w:rsidR="001634B4" w:rsidRPr="001634B4" w:rsidRDefault="001634B4" w:rsidP="001634B4">
      <w:pPr>
        <w:spacing w:after="0" w:line="240" w:lineRule="auto"/>
        <w:ind w:right="-2"/>
        <w:jc w:val="center"/>
        <w:rPr>
          <w:rFonts w:ascii="Times New Roman" w:eastAsia="Times New Roman" w:hAnsi="Times New Roman" w:cs="Times New Roman"/>
          <w:b/>
          <w:sz w:val="24"/>
          <w:szCs w:val="24"/>
          <w:lang w:val="es-ES" w:eastAsia="es-ES"/>
        </w:rPr>
      </w:pPr>
      <w:r w:rsidRPr="001634B4">
        <w:rPr>
          <w:rFonts w:ascii="Times New Roman" w:eastAsia="Times New Roman" w:hAnsi="Times New Roman" w:cs="Times New Roman"/>
          <w:b/>
          <w:sz w:val="24"/>
          <w:szCs w:val="24"/>
          <w:lang w:val="es-ES" w:eastAsia="es-ES"/>
        </w:rPr>
        <w:t>EXPOSICIÓN DE MOTIVOS</w:t>
      </w:r>
    </w:p>
    <w:p w:rsidR="001634B4" w:rsidRPr="001634B4" w:rsidRDefault="001634B4" w:rsidP="001634B4">
      <w:pPr>
        <w:spacing w:after="0" w:line="240" w:lineRule="auto"/>
        <w:ind w:right="-2"/>
        <w:jc w:val="both"/>
        <w:rPr>
          <w:rFonts w:ascii="Times New Roman" w:eastAsia="Times New Roman" w:hAnsi="Times New Roman" w:cs="Times New Roman"/>
          <w:b/>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En el Estado de México, la política fiscal constituye un instrumento esencial para promover un desarrollo económico sostenible y equitativo, con base en los principios de justicia social y </w:t>
      </w:r>
      <w:r w:rsidRPr="001634B4">
        <w:rPr>
          <w:rFonts w:ascii="Times New Roman" w:eastAsia="Times New Roman" w:hAnsi="Times New Roman" w:cs="Times New Roman"/>
          <w:sz w:val="24"/>
          <w:szCs w:val="24"/>
          <w:lang w:val="es-ES" w:eastAsia="es-ES"/>
        </w:rPr>
        <w:lastRenderedPageBreak/>
        <w:t>bienestar compartido. El fortalecimiento de las finanzas públicas y la modernización del marco normativo hacendario, son condiciones indispensables para asegurar una administración eficiente, transparente y responsable, orientada siempre al bienestar de la población.</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El Código Financiero del Estado de México y Municipios constituye la norma eje del sistema hacendario estatal, pues de manera transversal regula la estructura, administración y ejercicio de los recursos públicos, así como los mecanismos de coordinación hacendaria con los municipios, y establece las bases para un manejo ordenado, equilibrado y progresivo de las finanzas. Por ello, su actualización periódica resulta indispensable para asegurar su vigencia frente a los nuevos desafíos económicos, tecnológicos y sociales.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 presente Iniciativa de modificaciones al Código Financiero del Estado de México y Municipios, que se somete a la consideración de esa Honorable Legislatura, responde al compromiso de esta administración de servir con honestidad, cercanía y transparencia al pueblo del Estado de México. Con un profundo sentido de responsabilidad social, se impulsa el uso ético y eficiente de los recursos públicos, para que cada acción de gobierno contribuya a construir un Estado justo, solidario y al servicio de las y los mexiquenses.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este contexto, las reformas propuestas tienen como propósito, consolidar un ejercicio integral de armonización, modernización y fortalecimiento institucional del marco hacendario estatal, a fin de dotarlo de mayor claridad normativa, coherencia estructural y capacidad operativa.</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ello, se busca consolidar un sistema financiero estatal más transparente, ágil y eficiente, que favorezca la recaudación oportuna, el gasto responsable y la rendición de cuentas, en congruencia con los valores de honestidad, austeridad republicana, justicia social y respeto a los derechos humanos que orientan la actual administración.</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Los objetivos fundamentales de la reforma son los siguientes: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Modernizar el marco normativo financiero y fiscal, mediante la actualización de conceptos, procedimientos y figuras jurídicas que respondan a las exigencias contemporáneas de gestión pública, digitalización, transparencia y gobierno abierto.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Fortalecer la transparencia y el control del gasto público, mediante el establecimiento de mecanismos normativos que garanticen la trazabilidad de los recursos, la planeación presupuestal responsable y la supervisión del ejercicio financiero en la Entidad.</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Simplificar los procedimientos fiscales y administrativos, reduciendo cargas innecesarias para las personas contribuyentes y limitando la discrecionalidad en la actuación de las autoridades hacendarias.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Garantizar la progresividad y equidad tributaria, mediante un sistema justo y proporcional, sustentado en la capacidad económica de las personas y entidades, en coherencia con los principios constitucionales de equidad y solidaridad social.</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Fortalecer la coordinación hacendaria con los municipios, promoviendo un federalismo fiscal operativo y eficiente que favorezca la recaudación local, optimice la distribución de participaciones y fomente la corresponsabilidad en el uso transparente de los recursos públicos.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lastRenderedPageBreak/>
        <w:t>- Incorporar criterios de sostenibilidad financiera y ambiental, integrando el manejo de los recursos con políticas responsables de ahorro energético, transición digital, gestión ambiental y eficiencia institucional.</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 Iniciativa que reforma el Código Financiero del Estado de México y Municipios, no constituye únicamente un ejercicio aislado, sino un componente estructural del Paquete Fiscal para el Ejercicio Fiscal 2026, que tiene por objeto asegurar la coherencia entre los ordenamientos que regulan la captación, administración y aplicación de los recursos públicos, garantizando que cada peso del erario se traduzca en obras, programas y servicios en beneficio de las y los mexiquenses.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Además, es de resaltarse que las modificaciones propuestas, reafirman el compromiso del Gobierno del Estado de México por consolidar un modelo hacendario ético, transparente y eficaz, que promueva el desarrollo con justicia, equidad tributaria, disciplina financiera y rendición de cuentas.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el ámbito municipal, es de resaltar que los ajustes y medidas que se proponen ante esa H. “LXII” Legislatura del Estado de México, para su aprobación, refleja el compromiso con el Gobierno Estatal de que cada acción, cada decisión y cada palabra tiene un impacto directo en la confianza que la sociedad deposita en las autoridades. Este marco legal hacendario busca, a partir de la confianza ciudadana, orientar la gestión hacia una recaudación eficiente, equitativa y transparente, con justicia fiscal, proporcionalidad y responsabilidad en el manejo de los recursos públicos, en respuesta a las demandas sociales y económicas de los mexiquenses, conforme a los principios de legalidad, honradez, lealtad e imparcialidad y siempre actuando en obediencia al pueblo.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Asimismo, dichas adecuaciones son el resultado del estudio, análisis, seguimiento y evaluación de los temas en el marco del Sistema de Coordinación Hacendaria del Estado de México con sus municipios, bajo la coordinación del Instituto Hacendario del Estado de México. En este proceso, se realizó un intercambio técnico-normativo en el que participaron activamente tesoreros y servidores públicos municipales, así como los titulares de los organismos operadores de agua potable de los municipios y funcionarios estatales durante las diversas reuniones de las Comisiones Temáticas; que culminó en la validación y aprobación de dichas propuestas en la XXVI Reunión Estatal de Servidores Públicos Hacendarios, constituida en la XXVI Asamblea Anual de Consejo Directivo del citado Instituto en su carácter de vocales, celebrada el 07 de noviembre de 2025.</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Estas reformas y adiciones se encuentran alineadas con los principios que inspiran el movimiento de transformación nacional, los cuales forman parte del Plan de Desarrollo del Estado de México 2023-2029, particularmente en su visión de construir un gobierno eficiente, honesto y con sentido social, cuyo propósito es fortalecer la transparencia y rendición de cuentas, donde el pueblo sea parte activa en la denuncia de actos de corrupción y en la exigencia de moralidad en el servicio público, estableciendo una base sólida para la gestión responsable de las finanzas públicas.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este contexto y bajo un cambio de perspectiva en el que el pueblo es el protagonista del devenir del Estado de México, las propuestas que integran la presente iniciativa, tienen una base sólida, se trata de una herramienta de gestión pública orientada al bienestar colectivo y la reducción de desigualdades, garantizando que los recursos públicos se administren con honestidad, eficiencia y sentido humano, en consonancia con el humanismo mexicano.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Es así que, a través del ARTÍCULO PRIMERO de la presente Iniciativa, se propone realizar diversas modificaciones al Código Financiero del Estado de México y Municipios, entre las que resaltan las siguientes: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Se reforma el artículo 9 y se adiciona un Capítulo Quinto denominado “De las Aportaciones para la Mitigación del Impacto en la Infraestructura Vial Estatal” al Título Sexto con los artículos 216 Q, 216 Q Bis y 216 Q Ter con el objeto de establecer una aportación para mitigar el impacto que generan los vehículos de carga y transporte pesado en la infraestructura vial estatal y así obtener recursos destinados a su conservación y mejora, bajo un esquema de corresponsabilidad entre usuarios y el Estado.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 reforma al artículo 45 tiene como finalidad precisar los supuestos en los que se actualiza la imposibilidad práctica de cobro de créditos fiscales cuando no se puede identificar al deudor, dotando de mayor certidumbre y seguridad jurídica a la actuación de la autoridad fiscal, al delimitar con claridad los escenarios en que no sea procedente continuar con el procedimiento administrativo de ejecución, fortaleciendo la legalidad en la gestión de créditos fiscales.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Se propone una reforma al párrafo tercero de la fracción I del artículo 47 con el fin de ampliar el plazo para realizar el trámite de inscripción de motocicletas, motonetas, trimotos y cuadrimotos en el padrón vehicular estatal, a fin de facilitar a los contribuyentes el cumplimiento de esta obligación.</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la reforma a la fracción XV del artículo 47 se prevé de manera expresa, el plazo de quince días para entregar la constancia de retención correspondiente, en caso de que no se establezca dicho plazo en la disposición aplicable, reforzando la certeza jurídica en su cumplimiento.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Con la adición del artículo 48 Bis y las adecuaciones a los artículos 380-A y 380-B se busca fortalecer el marco jurídico aplicable a la medida de apremio denominada “aseguramiento precautorio”, con el objetivo de dotar de certeza jurídica a los contribuyentes, responsables solidarios y terceros relacionados con ellos, sobre el momento a partir del cual se deberá materializar dicha medida y la mecánica aplicable para su desarrollo. </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A efecto de formalizar prácticas comunes en sectores proclives a la evasión y fortalecer el cumplimiento de obligaciones en materia del Impuesto sobre Erogaciones por Remuneraciones al Trabajo Personal, se propone reformar el primer párrafo del artículo 56 para incluir el pago en “servicios”, entendiéndose como toda actividad económica orientada a satisfacer alguna necesidad que no implique la producción de bienes materiales.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Mediante la adecuación al artículo 57, se incluye una cuota preferencial para el cálculo del Impuesto sobre Erogaciones por Remuneraciones al Trabajo Personal, aplicable a contribuyentes con hasta cuatro trabajadores, como medida de apoyo a las micro y pequeñas empresas formalmente constituidas.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Se proponen reformas al artículo 62 con la finalidad de precisar el hecho imponible del Impuesto sobre Adquisición de Vehículos Automotores Usados, cuando existan adquisiciones de vehículos, derivadas de operaciones en las que se exenta el Impuesto al Valor Agregado; aclarando que la obligación de retener y enterar este impuesto, recaerá sobre las personas cuya actividad económica habitual, sea la enajenación de vehículos objeto de dicho impuesto, incluyendo las que actúan en la intermediación vehicular.</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Las reformas al artículo 63 buscan establecer como parte del procedimiento de cálculo, lo correspondiente al “año de adquisición” respecto del Impuesto sobre Adquisición de Vehículos </w:t>
      </w:r>
      <w:r w:rsidRPr="001634B4">
        <w:rPr>
          <w:rFonts w:ascii="Times New Roman" w:eastAsia="Times New Roman" w:hAnsi="Times New Roman" w:cs="Times New Roman"/>
          <w:sz w:val="24"/>
          <w:szCs w:val="24"/>
          <w:lang w:val="es-ES" w:eastAsia="es-ES"/>
        </w:rPr>
        <w:lastRenderedPageBreak/>
        <w:t>Automotores Usados, otorgando certeza jurídica tanto a la autoridad fiscal como a los contribuyentes.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la reforma al artículo 64 se pretende homologar el plazo para realizar el entero del Impuesto sobre Adquisición de Vehículos Automotores Usados, tratándose de motocicletas, motonetas, trimotos y cuadrimotos, con respecto al de otros tipos de vehículos; asimismo, se establece la obligación de los retenedores tratándose de este impuesto y en consecuencia se deroga el artículo 64 Bis.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bCs/>
          <w:sz w:val="24"/>
          <w:szCs w:val="24"/>
          <w:lang w:val="es-ES" w:eastAsia="es-ES"/>
        </w:rPr>
      </w:pPr>
      <w:r w:rsidRPr="001634B4">
        <w:rPr>
          <w:rFonts w:ascii="Times New Roman" w:eastAsia="Times New Roman" w:hAnsi="Times New Roman" w:cs="Times New Roman"/>
          <w:bCs/>
          <w:sz w:val="24"/>
          <w:szCs w:val="24"/>
          <w:lang w:val="es-ES" w:eastAsia="es-ES"/>
        </w:rPr>
        <w:t>Se reforman los artículos 69 U, 69 U Ter, 69 U Quinquies, 69 U Sexies y 69 U Septies, con la finalidad de precisar algunos elementos de la contribución, relativas al Impuesto Ecológico a la Disposición, Confinamiento y Almacenamiento de Residuos, asegurando coherencia normativa y técnica.</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la finalidad de otorgar mayor claridad en sus porciones normativas y actualizar los conceptos, tarifas o cuotas de los derechos que son prestados por diversos Entes Públicos, de acuerdo con su naturaleza jurídica y según corresponda, se proponen modificaciones a los artículos 75, 77, 81, 82, 87, 95, 97 y 105 con el objeto de atender las necesidades económicas de la administración pública y mejorar el acceso a servicios públicos.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 reforma al artículo 77 fracción I, inciso E), párrafo segundo amplía la posibilidad para obtener el Reporte Técnico que acredita la condición de auto antiguo, permitiendo que este documento pueda ser expedido no solo por el fabricante, sino también por instituciones públicas o privadas reconocidas por la Secretaría de Finanzas, a efecto de agilizar y facilitar dicho trámite.</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Se incorporan al artículo 88 nuevos conceptos de cobro por la expedición de la Constancia con holograma "Tipo Exento Voluntario" y la Constancia de no aprobación “Tipo Rechazo”; asimismo, se actualizan las tarifas por la expedición de las constancias con hologramas tipo “doble cero”, “cero”, “uno” y “dos”, en observancia al principio de equidad tributaria, mediante una carga equitativa y justa para los contribuyentes de las entidades federativas participantes.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Se deroga la Sección Décima Cuarta denominada “De los Derechos por Servicios Prestados por la Secretaría de Cultura y Turismo”, del Capítulo Segundo, del Título Tercero, y el artículo 106 Bis para eliminar la contribución </w:t>
      </w:r>
      <w:r w:rsidRPr="001634B4">
        <w:rPr>
          <w:rFonts w:ascii="Times New Roman" w:eastAsia="Times New Roman" w:hAnsi="Times New Roman" w:cs="Times New Roman"/>
          <w:sz w:val="24"/>
          <w:szCs w:val="24"/>
          <w:lang w:eastAsia="es-ES"/>
        </w:rPr>
        <w:t>por el uso de bienes del dominio público estatal que funcionen como paradores turísticos,</w:t>
      </w:r>
      <w:r w:rsidRPr="001634B4">
        <w:rPr>
          <w:rFonts w:ascii="Times New Roman" w:eastAsia="Times New Roman" w:hAnsi="Times New Roman" w:cs="Times New Roman"/>
          <w:sz w:val="24"/>
          <w:szCs w:val="24"/>
          <w:lang w:val="es-ES" w:eastAsia="es-ES"/>
        </w:rPr>
        <w:t xml:space="preserve"> que en la actualidad carece de sustento material y jurídico, a efecto de suprimir cargas administrativas y fiscales que no se encuentran en uso en la Entidad.</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Se propone adecuar el artículo 109, a fin de actualizar la tarifa para el cálculo del Impuesto Predial, incrementándola en un 3.7% en la “cuota fija” y en el “factor aplicable por rango”, con base en el promedio inflacionario estimado para finales de 2025. Esta medida busca corregir rezagos normativos y mantener la proporcionalidad tributaria sin representar una carga significativa para los contribuyentes.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Se reforma el artículo 123 con el objeto de identificar y diferenciar correctamente la clasificación de aquellos juegos que se equiparan a dispositivos electrónicos, atendiendo a la forma de su activación y garantizar la correcta aplicación de la normativa, evitando estrategias fiscales evasivas del Impuesto sobre Diversiones, Juegos y Espectáculos Públicos que les resulte pagar.</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lastRenderedPageBreak/>
        <w:t xml:space="preserve">Las modificaciones al artículo 134 tienen por objeto establecer de manera expresa, el concepto para el cobro de las autorizaciones de derivaciones de los Derechos por los Servicios de Drenaje y Alcantarillado, a fin de que la autoridad prestadora del servicio, cuente con el marco jurídico financiero sólido para proceder a su determinación y con ello otorgar mayor certeza jurídica. </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la finalidad de otorgar mayor claridad en sus porciones normativas, se actualizan las tarifas del artículo 154, proponiendo establecer incrementos mínimos relativos a los servicios de los Derechos por el uso de vías, plazas públicas, mercados públicos municipales o áreas de uso común para realizar actividades comerciales o de servicios y se prevé que la autoridad municipal establezca tarifas diferenciadas para lograr una mejor recaudación y contar con una tarifa asequible a los costos de los insumos que se despliegan para prestar dicho servicio.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Se propone en materia catastral, incorporar en el artículo 172, que para practicar los levantamientos topográficos, deben observarse los requisitos y condiciones establecidos en la normatividad aplicable, mientras que en el artículo 186, se realiza la precisión de que es facultad y obligación de las autoridades catastrales municipales en la integración de las Tablas de Valores Unitarios de Suelo y Construcciones, para fortalecer la coordinación y uniformidad de criterios en la determinación y aplicación de valores catastrales en la Entidad, en beneficio de la población.</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la reforma al artículo 182 Bis, se armoniza su contenido con la nueva estructura administrativa y la asignación de funciones a cada Dependencia, derivado de la competencia de la Oficialía Mayor, que tiene a su cargo la administración, control y conservación del patrimonio estatal, garantizando mayor coherencia normativa y una gestión más eficiente de los bienes del Gobierno del Estado.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el propósito de otorgar mayor certeza jurídica y claridad en la determinación y cálculo de las participaciones municipales, se propone ajustar la fórmula correspondiente, prevista en el artículo 224, a fin de propiciar una distribución más justa y equilibrada de dichas participaciones, en congruencia con los principios de eficiencia, transparencia y responsabilidad en el manejo de las finanzas públicas.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 reforma al artículo 235 busca establecer un plazo cierto para que los municipios remitan a la Secretaría de Finanzas, la información sobre la aplicación de los recursos del Fondo de Aportaciones para la Infraestructura Social y Fondo de Aportaciones para el Fortalecimiento de los Municipios y de las Demarcaciones Territoriales del Distrito Federal, garantizando que los reportes sean presentados de manera puntual y periódica.</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Por otra parte, se propone modificar los artículos 248 y 249 a efecto de precisar la integración y participación de los miembros del Consejo Directivo, órgano máximo del Instituto Hacendario del Estado de México, garantizando congruencia normativa en la integración y funcionamiento de dicho Consejo.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Se modifican los artículos 3, 285, 287, 288, 290, 297, 302, 309, 310, 311, 314, 317 Bis, 317 Bis A, 322 Bis y 324 Bis y se adicionan los artículos 314 Bis, 314 Ter y 314 Quáter, con el propósito de fortalecer el marco normativo en materia de integración, presentación y ejecución del Presupuesto de Egresos, a fin de dotar de mayor claridad, certeza y eficiencia, así como optimizar la planeación y el ejercicio de los recursos públicos, promoviendo su uso eficiente y transparente en beneficio de la ciudadanía. </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lastRenderedPageBreak/>
        <w:t>Además, con la reforma al artículo 286 se incorporan a la fase de planeación presupuestaria, de manera transversal, los principios de igualdad sustantiva y perspectiva de género, a efecto de alinear su contenido a los preceptos constitucionales garantes de derechos humanos.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Asimismo, se plantean modificaciones a los artículos 327, 327-A y 327-D con la finalidad de precisar y aclarar conceptos contenidos en la norma, a efecto de evitar ambigüedades en su interpretación y aplicación, dotando al marco jurídico de mayor claridad, certeza y coherencia técnica en materia hacendaria.</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Las modificaciones planteadas a los artículos 339 Bis, 345, 348, 351 y 352 Bis fortalecen las disposiciones en materia de contabilidad gubernamental y de la Cuenta Pública, así como la integración del Consejo de Armonización Contable del Estado de México, precisando sus obligaciones y homologando procedimientos sobre la información financiera que presentan los Entes Públicos, a fin de garantizar mayor transparencia, rendición de cuentas y control en el manejo de los recursos públicos.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Por último, se modifica el artículo 361 para establecer de manera expresa, que la omisión en la entrega de la constancia de retención correspondiente, así como su entrega extemporánea, constituyen conductas igualmente sancionables, con el fin de brindar certeza jurídica a los contribuyentes y mejorar la eficacia de la administración tributaria.</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Asimismo, mediante el ARTÍCULO SEGUNDO de la presente Iniciativa, en congruencia con los artículos 1°, 4°, 123 apartado B y 134 de la Constitución Política de los Estados Unidos Mexicanos, y con apego a los principios de eficiencia, transparencia y responsabilidad hacendaria establecidos en la Ley de Disciplina Financiera de las Entidades Federativas y los Municipios, se propone reformar y adicionar diversos preceptos de la Ley de Seguridad Social para los Servidores Públicos del Estado de México y Municipios, a fin de fortalecer su estructura normativa, administrativa y financiera, en razón de lo siguiente:</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El Instituto de Seguridad Social del Estado de México y Municipios (ISSEMyM) es un organismo público descentralizado del Poder Ejecutivo estatal, cuya finalidad es garantizar a las personas servidoras públicas y a sus beneficiarios, el acceso efectivo a las prestaciones previstas en la ley, en condiciones de legalidad, eficiencia y transparencia. Su actuación constituye un pilar fundamental en la protección social de quienes integran el servicio público, al asegurarles derechos de salud, pensión y seguridad económica, conforme a los principios de solidaridad, equidad y sostenibilidad financiera.</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Cabe resaltar que los sistemas de pensiones estatales y municipales en México, enfrentan graves problemas financieros estructurales, por lo que algunos Estados deben otorgar subsidios a sus sistemas de pensiones, lo que incide en el equilibrio de sus finanzas</w:t>
      </w:r>
      <w:bookmarkStart w:id="23" w:name="_ftnref3"/>
      <w:r w:rsidRPr="001634B4">
        <w:rPr>
          <w:rFonts w:ascii="Times New Roman" w:eastAsia="Times New Roman" w:hAnsi="Times New Roman" w:cs="Times New Roman"/>
          <w:sz w:val="24"/>
          <w:szCs w:val="24"/>
          <w:lang w:val="es-ES" w:eastAsia="es-ES"/>
        </w:rPr>
        <w:t>,</w:t>
      </w:r>
      <w:bookmarkEnd w:id="23"/>
      <w:r w:rsidRPr="001634B4">
        <w:rPr>
          <w:rFonts w:ascii="Times New Roman" w:eastAsia="Times New Roman" w:hAnsi="Times New Roman" w:cs="Times New Roman"/>
          <w:sz w:val="24"/>
          <w:szCs w:val="24"/>
          <w:lang w:val="es-ES" w:eastAsia="es-ES"/>
        </w:rPr>
        <w:t xml:space="preserve"> dado que la mayoría funciona bajo un sistema de reparto. Problemáticas comunes como el envejecimiento de la población y aumento en la esperanza de vida, aumento de las enfermedades crónico-degenerativas que elevan los costos de atención de la salud, y la disminución de la relación de trabajadores activos por jubilado, aunado a la inexistencia de la normatividad para la creación de reservas, la generosidad de los beneficios y el bajo nivel de aportaciones. Para enfrentar esa problemática, algunos Estados </w:t>
      </w:r>
      <w:r w:rsidRPr="001634B4">
        <w:rPr>
          <w:rFonts w:ascii="Times New Roman" w:eastAsia="Times New Roman" w:hAnsi="Times New Roman" w:cs="Times New Roman"/>
          <w:sz w:val="24"/>
          <w:szCs w:val="24"/>
          <w:lang w:val="es-ES" w:eastAsia="es-ES"/>
        </w:rPr>
        <w:lastRenderedPageBreak/>
        <w:t>han emprendido reformas, principalmente mediante un sistema mixto de beneficio definido con cuentas individuales.</w:t>
      </w:r>
      <w:r w:rsidRPr="001634B4">
        <w:rPr>
          <w:rFonts w:ascii="Times New Roman" w:eastAsia="Times New Roman" w:hAnsi="Times New Roman" w:cs="Times New Roman"/>
          <w:sz w:val="24"/>
          <w:szCs w:val="24"/>
          <w:vertAlign w:val="superscript"/>
          <w:lang w:val="es-ES" w:eastAsia="es-ES"/>
        </w:rPr>
        <w:footnoteReference w:id="8"/>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los últimos años, el sistema estatal de seguridad social ha enfrentado nuevos desafíos, derivados de cambios demográficos, económicos y tecnológicos, tales como: el incremento sostenido de la población pensionada, la reducción relativa de la población cotizante, el aumento en la esperanza de vida y la necesidad de modernizar los procesos administrativos mediante herramientas digitales. Estas condiciones demandan la actualización del marco jurídico para preservar la viabilidad financiera y organizacional del Instituto, garantizando al mismo tiempo la continuidad de los derechos adquiridos y la protección de las generaciones futuras.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Las reformas a los artículos 8, 16, 17, 21, 36, 72, 73, 88, 91, 93 y 100 tienen como propósito actualizar los procedimientos de afiliación, consolidar la integración del Consejo Directivo, armonizar referencias normativas, digitalizar servicios, mejorar el procedimiento para el otorgamiento de pensiones y garantizar la sostenibilidad operativa del sistema en beneficio de las personas servidoras públicas del Estado y sus familias.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 presente iniciativa se encuentra alineada además, con los compromisos internacionales asumidos por el Estado mexicano en materia de seguridad social y derechos humanos. En este sentido, los Convenios 102 y 128 de la Organización Internacional del Trabajo, relativos a las normas mínimas de seguridad social y a las prestaciones por invalidez, vejez y sobrevivencia, constituyen referentes obligados en la definición de estándares de protección y sostenibilidad de los sistemas públicos de pensiones.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Asimismo, la Agenda 2030 para el Desarrollo Sostenible, adoptada por la Asamblea General de las Naciones Unidas, plantea en su Objetivo 1.3 la necesidad de implementar sistemas nacionales de protección social integrales, con alcance suficiente para garantizar a todas las personas una vida digna en la vejez.</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De igual forma, la reforma que se somete a su honorable consideración, es congruente con la Observación General núm. 19 del Comité de Derechos Económicos, Sociales y Culturales de las Naciones Unidas, que reconoce el derecho a la seguridad social como un componente esencial del bienestar humano y establece que su realización progresiva puede incluir medidas de adecuación normativa destinadas a asegurar su viabilidad financiera y su eficacia a largo plazo.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Por tanto, las modificaciones que se proponen, se insertan en un contexto global que impulsa la sostenibilidad y expansión progresiva de los sistemas de seguridad social en la Entidad, bajo los principios de solidaridad intergeneracional, equidad y responsabilidad compartida entre los sectores público, social y laboral.</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Bajo esta distinción, las reformas propuestas no vulneran los derechos adquiridos al quedar claramente establecido que los ajustes responden a una política de sostenibilidad progresiva y no de regresión de derechos. Los cambios introducidos se aplicarán a partir de la entrada en vigor de la ley, ajustando los requisitos y procedimientos con el fin de preservar el equilibrio financiero del Instituto y garantizar su viabilidad a largo plazo.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el caso del artículo 8, dado que el otorgamiento de la afiliación requiere del cumplimiento de requisitos como edad, dependencia económica e inhabilitación física o mental, los cuales pueden variar con el tiempo debido a avances médicos o modificaciones en la situación socioeconómica del beneficiario, se dota de mayor certeza jurídica a las actuaciones del Instituto y se posibilita la revisión periódica de las condiciones de los beneficiarios, asegurando que las prestaciones se otorguen a quienes cumplan los supuestos previstos en la ley, ya que se han detectado casos en los que las condiciones que justificaron la afiliación ya no prevalecen. De esta manera, se garantiza la correcta aplicación de los recursos públicos y la equidad en el acceso a los beneficios del sistema de seguridad social.</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Por su parte, en el artículo 16 se ajustan las disposiciones relativas a la integración del Consejo Directivo, evitando contradicciones y armonizándolas con la Ley Orgánica de la Administración Pública del Estado de México y la Ley para la Coordinación y Control de Organismos Auxiliares del Estado de México.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la reforma al artículo 21, se armoniza la redacción con la Ley Orgánica de la Administración Pública del Estado de México, a fin de fortalecer el proceso de designación de la persona titular de la Dirección General del Instituto, con ello se otorga certeza jurídica, al precisar los mecanismos de comprobación de la experiencia académica y laboral del aspirante, garantizando que el perfil profesional cumpla con los estándares de idoneidad y experiencia requeridos para dirigir al Instituto. De esta manera, se asegura que la designación del titular, responda a criterios objetivos de mérito, capacidad y profesionalismo, en congruencia con los principios de eficiencia, imparcialidad y responsabilidad pública que rigen a los organismos descentralizados del Estado de México.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eastAsia="es-ES"/>
        </w:rPr>
      </w:pPr>
      <w:r w:rsidRPr="001634B4">
        <w:rPr>
          <w:rFonts w:ascii="Times New Roman" w:eastAsia="Times New Roman" w:hAnsi="Times New Roman" w:cs="Times New Roman"/>
          <w:sz w:val="24"/>
          <w:szCs w:val="24"/>
          <w:lang w:eastAsia="es-ES"/>
        </w:rPr>
        <w:t xml:space="preserve">Por otro lado, en el artículo 36 se actualizan las disposiciones normativas en materia del cobro de créditos fiscales que tiene derecho a percibir el Instituto por concepto de aportaciones y cuotas de seguridad social, para armonizarlas con el Código Financiero del Estado de México y Municipios, otorgando mayor certeza jurídica en la gestión de adeudos y convenios de pago con Entes Públicos, </w:t>
      </w:r>
      <w:r w:rsidRPr="001634B4">
        <w:rPr>
          <w:rFonts w:ascii="Times New Roman" w:eastAsia="Times New Roman" w:hAnsi="Times New Roman" w:cs="Times New Roman"/>
          <w:sz w:val="24"/>
          <w:szCs w:val="24"/>
          <w:lang w:val="es-ES" w:eastAsia="es-ES"/>
        </w:rPr>
        <w:t>para promover la transparencia administrativa y la adecuada ejecución de los créditos fiscales, fortaleciendo la eficiencia y la legalidad en la administración de recursos públicos.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congruencia con los principios de gobierno digital y con el propósito de modernizar los servicios del Instituto, se incorpora en el artículo 72 la habilitación una plataforma electrónica que permita a las personas derechohabientes consultar sus periodos cotizados. Esta medida se alinea con el Eje III: Empleo Digno y Desarrollo Económico del Plan de Desarrollo del Estado de México 2023–2029, que promueve la simplificación administrativa, la eficiencia y la transparencia mediante el uso estratégico de tecnologías de la información, a fin de fortalecer la relación entre el Instituto y sus derechohabientes, facilitar la verificación de datos y mejorar la calidad del servicio público, contribuyendo a la rendición de cuentas y a la digitalización de los procesos institucionales. Con ello, se modernizan los mecanismos de atención y se optimiza la gestión de trámites, avanzando hacia un modelo de administración pública más accesible, eficiente y transparente.</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Respecto del artículo 73, se armonizan los procedimientos relativos a las solicitudes de pensión, en virtud del aumento sostenido de solicitudes, la limitación del presupuesto y del personal operativo, así como la judicialización de las pensiones, que han generado un rezago considerable en dicho trámite. Con la reforma que hoy se plantea a este Honorable Congreso, se busca fortalecer la seguridad jurídica y el procedimiento de otorgamiento de pensiones, sin afectar la garantía </w:t>
      </w:r>
      <w:r w:rsidRPr="001634B4">
        <w:rPr>
          <w:rFonts w:ascii="Times New Roman" w:eastAsia="Times New Roman" w:hAnsi="Times New Roman" w:cs="Times New Roman"/>
          <w:sz w:val="24"/>
          <w:szCs w:val="24"/>
          <w:lang w:val="es-ES" w:eastAsia="es-ES"/>
        </w:rPr>
        <w:lastRenderedPageBreak/>
        <w:t>constitucional de protección a los derechos adquiridos de las personas derechohabientes y se precisa que el pago de la pensión probable no se materializa en la práctica, ya que el pago total se efectúa, únicamente, una vez obtenido el dictamen definitivo de pensión. Estas adecuaciones garantizan una mayor eficiencia y claridad en los procedimientos, preservan los derechos de las personas trabajadoras y contribuyen a la sostenibilidad del sistema de pensiones del Instituto.</w:t>
      </w:r>
    </w:p>
    <w:p w:rsidR="001634B4" w:rsidRPr="001634B4" w:rsidRDefault="001634B4" w:rsidP="001634B4">
      <w:pPr>
        <w:spacing w:after="0" w:line="240" w:lineRule="auto"/>
        <w:ind w:right="-2"/>
        <w:jc w:val="both"/>
        <w:rPr>
          <w:rFonts w:ascii="Times New Roman" w:eastAsia="Times New Roman" w:hAnsi="Times New Roman" w:cs="Times New Roman"/>
          <w:b/>
          <w:bCs/>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Dado que en el Estado de México se enfrenta un cambio demográfico caracterizado por el incremento sostenido de la esperanza de vida y el acelerado crecimiento del universo de pensionados y pensionistas, de acuerdo con el INEGI en 2025 la esperanza de vida asciende a 72.3 años para los hombres y 78.6 para las mujeres, lo que exige la actualización del marco jurídico que rige los derechos pensionarios, a fin de preservar la sostenibilidad y operatividad del Instituto de Seguridad Social del Estado de México y Municipios; en ese sentido, es necesaria la reforma a los artículos 88, 91, 93 y 100, en el caso específico del artículo 88 en la modalidad de pensión por jubilación, se propone un aumento gradual en los años requeridos.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Las anteriores propuestas de reforma, contemplan que, para quienes ingresen al régimen posterior a la entrada en vigor de las mismas, se incorpore una edad de jubilación ordinaria incrementada de manera gradual, con el propósito de ajustar el sistema al nuevo escenario demográfico, al prolongado incremento de la esperanza de vida, al envejecimiento progresivo de la población servidora pública y a la recíproca disminución en la proporción de trabajadores activos frente a pensionados. </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Para evitar la percepción de que dicha medida implica una regresión de derechos, se establecen las siguientes condiciones y salvaguardas: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b/>
          <w:bCs/>
          <w:sz w:val="24"/>
          <w:szCs w:val="24"/>
          <w:lang w:val="es-ES" w:eastAsia="es-ES"/>
        </w:rPr>
        <w:t>No retroactividad.</w:t>
      </w:r>
      <w:r w:rsidRPr="001634B4">
        <w:rPr>
          <w:rFonts w:ascii="Times New Roman" w:eastAsia="Times New Roman" w:hAnsi="Times New Roman" w:cs="Times New Roman"/>
          <w:sz w:val="24"/>
          <w:szCs w:val="24"/>
          <w:lang w:val="es-ES" w:eastAsia="es-ES"/>
        </w:rPr>
        <w:t xml:space="preserve"> Para ninguna persona que al momento de la entrada en vigor de las modificaciones a la Ley que nos ocupa, haya cumplido la edad y los años de cotización necesarios para acceder a la jubilación. Dichas pensiones se otorgarán conforme al régimen vigente al momento en que se cumplieron los requisitos, en protección del derecho adquirido de conformidad con lo dispuesto en la Ley de la materia.</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b/>
          <w:bCs/>
          <w:sz w:val="24"/>
          <w:szCs w:val="24"/>
          <w:lang w:val="es-ES" w:eastAsia="es-ES"/>
        </w:rPr>
        <w:t>Gradualidad y transición ordenada.</w:t>
      </w:r>
      <w:r w:rsidRPr="001634B4">
        <w:rPr>
          <w:rFonts w:ascii="Times New Roman" w:eastAsia="Times New Roman" w:hAnsi="Times New Roman" w:cs="Times New Roman"/>
          <w:sz w:val="24"/>
          <w:szCs w:val="24"/>
          <w:lang w:val="es-ES" w:eastAsia="es-ES"/>
        </w:rPr>
        <w:t xml:space="preserve"> El incremento de la edad de jubilación no será abrupto, sino por etapas y con períodos de transición adecuados.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b/>
          <w:bCs/>
          <w:sz w:val="24"/>
          <w:szCs w:val="24"/>
          <w:lang w:val="es-ES" w:eastAsia="es-ES"/>
        </w:rPr>
        <w:t>Justificación demográfica-actuarial.</w:t>
      </w:r>
      <w:r w:rsidRPr="001634B4">
        <w:rPr>
          <w:rFonts w:ascii="Times New Roman" w:eastAsia="Times New Roman" w:hAnsi="Times New Roman" w:cs="Times New Roman"/>
          <w:sz w:val="24"/>
          <w:szCs w:val="24"/>
          <w:lang w:val="es-ES" w:eastAsia="es-ES"/>
        </w:rPr>
        <w:t xml:space="preserve"> La razón de esta medida se basa no en un ánimo de recorte de prestaciones, sino en la necesidad de equilibrar y proteger el sistema ante una proporción cada vez mayor de pensionados con respecto a los cotizantes. En el caso del régimen estatal, la relación actual estimada es de aproximadamente cuatro trabajadores activos por cada pensionado, lo que conduce a una presión creciente sobre los recursos del régimen y amenaza su equilibrio financiero a largo plazo.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Tomando como base la información que proporciona la Coordinación de Prestaciones y Seguridad Social a la Unidad de Información, Planeación, Programación y Evaluación del ISSEMyM, se observó un crecimiento sostenido en el número de pensionados y pensionistas como se muestra a continuación:</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center"/>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noProof/>
          <w:sz w:val="24"/>
          <w:szCs w:val="24"/>
          <w:lang w:eastAsia="es-MX"/>
        </w:rPr>
        <w:lastRenderedPageBreak/>
        <w:drawing>
          <wp:inline distT="0" distB="0" distL="0" distR="0" wp14:anchorId="03B8341E" wp14:editId="4CB4079D">
            <wp:extent cx="3621024" cy="826617"/>
            <wp:effectExtent l="0" t="0" r="0" b="0"/>
            <wp:docPr id="1803693115" name="Imagen 2"/>
            <wp:cNvGraphicFramePr/>
            <a:graphic xmlns:a="http://schemas.openxmlformats.org/drawingml/2006/main">
              <a:graphicData uri="http://schemas.openxmlformats.org/drawingml/2006/picture">
                <pic:pic xmlns:pic="http://schemas.openxmlformats.org/drawingml/2006/picture">
                  <pic:nvPicPr>
                    <pic:cNvPr id="1803693115"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9726" cy="826321"/>
                    </a:xfrm>
                    <a:prstGeom prst="rect">
                      <a:avLst/>
                    </a:prstGeom>
                    <a:noFill/>
                    <a:ln>
                      <a:noFill/>
                    </a:ln>
                  </pic:spPr>
                </pic:pic>
              </a:graphicData>
            </a:graphic>
          </wp:inline>
        </w:drawing>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De ello se desprende un crecimiento de 78,232 pensionados y pensionistas en más de 24 años (547%) con una proyección de un promedio de 140 mil personas para el año 2030.</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b/>
          <w:bCs/>
          <w:sz w:val="24"/>
          <w:szCs w:val="24"/>
          <w:lang w:val="es-ES" w:eastAsia="es-ES"/>
        </w:rPr>
        <w:t>Efectos neutrales sobre la cuantía de la pensión para los derechos adquiridos</w:t>
      </w:r>
      <w:r w:rsidRPr="001634B4">
        <w:rPr>
          <w:rFonts w:ascii="Times New Roman" w:eastAsia="Times New Roman" w:hAnsi="Times New Roman" w:cs="Times New Roman"/>
          <w:sz w:val="24"/>
          <w:szCs w:val="24"/>
          <w:lang w:val="es-ES" w:eastAsia="es-ES"/>
        </w:rPr>
        <w:t xml:space="preserve">. El aumento de la edad de jubilación se aplica únicamente en relación con la fecha de ingreso al servicio público o para nuevos efectos normativos, sin afectar la cuantía, condiciones, plazos o requisitos de aquellos derechohabientes que ya tienen un derecho a la pensión. </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b/>
          <w:bCs/>
          <w:sz w:val="24"/>
          <w:szCs w:val="24"/>
          <w:lang w:val="es-ES" w:eastAsia="es-ES"/>
        </w:rPr>
        <w:t>Equidad intergeneracional y corresponsabilidad.</w:t>
      </w:r>
      <w:r w:rsidRPr="001634B4">
        <w:rPr>
          <w:rFonts w:ascii="Times New Roman" w:eastAsia="Times New Roman" w:hAnsi="Times New Roman" w:cs="Times New Roman"/>
          <w:sz w:val="24"/>
          <w:szCs w:val="24"/>
          <w:lang w:val="es-ES" w:eastAsia="es-ES"/>
        </w:rPr>
        <w:t xml:space="preserve"> La medida refuerza el principio de solidaridad intergeneracional, mediante el cual las generaciones activas contribuyen al mantenimiento de las generaciones beneficiarias. Al aumentar la edad de jubilación para futuros ingresantes o nuevos derechos, se evita que las generaciones activas asuman una carga excesiva o que las prestaciones futuras se vean comprometidas. De esta forma se protege también el derecho de las generaciones que vendrán.</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suma, esta reforma representa una medida de adaptación responsable, progresiva y equitativa, que protege los regímenes de seguridad social frente a los retos demográficos del siglo XXI, salvaguardando simultáneamente los derechos consolidados de las personas servidoras públicas y sus familias.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Es importante destacar que, las reformas propuestas tendrán un carácter gradual y no retroactivo, en congruencia con el principio de seguridad jurídica previsto en el artículo 14 de la Constitución Política de los Estados Unidos Mexicanos. Los ajustes normativos se aplicarán únicamente hacia el futuro y de manera progresiva, respetando plenamente los derechos adquiridos por las personas servidoras públicas que ya cumplieron los requisitos para acceder a una pensión bajo el régimen vigente. Esta gradualidad únicamente busca garantizar una transición ordenada que permita al Instituto adaptarse a los cambios demográficos y financieros sin afectar la estabilidad económica de las familias beneficiarias.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De manera particular, el ajuste responde a la necesidad de reducir el desequilibrio entre la población trabajadora activa y la pensionada, que actualmente se estima en una proporción de cuatro servidores públicos por cada pensionado, cifra que refleja una presión creciente sobre el sistema solidario de reparto. Con las medidas propuestas, se pretende estabilizar la relación de dependencia y fortalecer los mecanismos de financiamiento propio del ISSEMyM, asegurando la continuidad de las prestaciones y la sostenibilidad del régimen para las generaciones futuras.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El desarrollo gradual y transparente de estas acciones muestra el objetivo de la reforma ante la sociedad. Al estar enmarcado en un enfoque de sostenibilidad, equidad y progresividad intergeneracional, cuya finalidad no es restringir derechos, sino preservarlos de manera responsable para las generaciones presentes y futuras. Este enfoque de planeación a largo plazo dota al Instituto de un marco jurídico sólido y previsible, fomenta la confianza de las y los derechohabientes, y consolida la credibilidad institucional al colocar la reforma dentro de un esquema de justicia social </w:t>
      </w:r>
      <w:r w:rsidRPr="001634B4">
        <w:rPr>
          <w:rFonts w:ascii="Times New Roman" w:eastAsia="Times New Roman" w:hAnsi="Times New Roman" w:cs="Times New Roman"/>
          <w:sz w:val="24"/>
          <w:szCs w:val="24"/>
          <w:lang w:val="es-ES" w:eastAsia="es-ES"/>
        </w:rPr>
        <w:lastRenderedPageBreak/>
        <w:t>y responsabilidad financiera compartida conforme al principio de progresividad, consagrado en el artículo 1° de la Constitución Política de los Estados Unidos Mexicanos.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este sentido, las reformas propuestas deben entenderse como una expresión del deber estatal de garantizar la continuidad y sostenibilidad del derecho a la seguridad social, particularmente frente a los retos demográficos y financieros que enfrenta el sistema.</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En suma, la reforma fortalece el derecho a la seguridad social desde una perspectiva de sostenibilidad y continuidad, asegurando que las futuras generaciones también puedan gozar de las prestaciones que hoy se tutelan.</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La presente iniciativa de reforma a la Ley de Seguridad Social para los Servidores Públicos del Estado de México y Municipios representa un esfuerzo integral de armonización jurídica, institucional y financiera, cuyo objetivo central es asegurar la permanencia del sistema de seguridad social estatal bajo los principios de progresividad, solidaridad y equidad, sin menoscabo de los derechos adquiridos de las personas trabajadoras y pensionadas.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ello, se reafirma el compromiso de esta administración con la justicia social, la protección de los derechos humanos y la administración responsable de los recursos públicos, consolidando un modelo de seguridad social moderno, transparente y financieramente viable.</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Finalmente, se reconoce que el reto financiero del Instituto de Seguridad Social del Estado de México y Municipios, requiere reformas estructurales más amplias en el largo plazo con base en la sostenibilidad actuarial, por lo que en mi gobierno he decidido no mirar hacia otro lado, es el momento de corregir lo que por años se dejó pasar, toda vez que el ISSEMyM es uno de los pilares en nuestra Entidad, y su rescate no será negociable y tampoco será postergable. Estamos sembrando la semilla de un nuevo sistema de seguridad social: uno que proteja, que respete y que garantice condiciones de vida digna para quienes han dedicado su vida al servicio público.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Con la adición de los</w:t>
      </w:r>
      <w:r w:rsidRPr="001634B4">
        <w:rPr>
          <w:rFonts w:ascii="Times New Roman" w:eastAsia="Times New Roman" w:hAnsi="Times New Roman" w:cs="Times New Roman"/>
          <w:b/>
          <w:sz w:val="24"/>
          <w:szCs w:val="24"/>
          <w:lang w:val="es-ES" w:eastAsia="es-ES"/>
        </w:rPr>
        <w:t xml:space="preserve"> </w:t>
      </w:r>
      <w:r w:rsidRPr="001634B4">
        <w:rPr>
          <w:rFonts w:ascii="Times New Roman" w:eastAsia="Times New Roman" w:hAnsi="Times New Roman" w:cs="Times New Roman"/>
          <w:sz w:val="24"/>
          <w:szCs w:val="24"/>
          <w:lang w:val="es-ES" w:eastAsia="es-ES"/>
        </w:rPr>
        <w:t>ARTÍCULOS TERCERO Y CUARTO</w:t>
      </w:r>
      <w:r w:rsidRPr="001634B4">
        <w:rPr>
          <w:rFonts w:ascii="Times New Roman" w:eastAsia="Times New Roman" w:hAnsi="Times New Roman" w:cs="Times New Roman"/>
          <w:b/>
          <w:sz w:val="24"/>
          <w:szCs w:val="24"/>
          <w:lang w:val="es-ES" w:eastAsia="es-ES"/>
        </w:rPr>
        <w:t xml:space="preserve"> </w:t>
      </w:r>
      <w:r w:rsidRPr="001634B4">
        <w:rPr>
          <w:rFonts w:ascii="Times New Roman" w:eastAsia="Times New Roman" w:hAnsi="Times New Roman" w:cs="Times New Roman"/>
          <w:sz w:val="24"/>
          <w:szCs w:val="24"/>
          <w:lang w:val="es-ES" w:eastAsia="es-ES"/>
        </w:rPr>
        <w:t>se incorpora la figura del Programa de Vivienda Social Gubernamental, con el propósito de garantizar el derecho humano a una vivienda adecuada para personas en situación de vulnerabilidad y se establecen disposiciones para que los proyectos habitacionales que formen parte de dicho programa queden exceptuados del cumplimiento de ciertas autorizaciones y trámites administrativos estatales y municipales, así como de las formalidades para la emisión de la Evaluación de Impacto Estatal, agilizando con ello los procedimientos, reducir cargas regulatorias y facilitar la ejecución de proyectos de vivienda social, promoviendo un desarrollo urbano más incluyente y eficiente.</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Se adiciona un ARTÍCULO QUINTO con la finalidad de seguir otorgando a los entes que se encuentran omisos en el pago y entero de aportaciones y cuotas de seguridad social, una alternativa de pago para regularizar su situación fiscal, a través de la suscripción de convenios de pago o una reestructuración en los plazos, lo que les permitirá sanear sus finanzas sobre la base de su capacidad de pago; sobre todo de aquellos entes que tienen adeudos históricos con el Instituto de Seguridad Social del Estado de México y Municipios, sin que ello signifique eximirlos del cumplimiento de sus obligaciones fiscales.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 xml:space="preserve">Finalmente se adiciona un ARTÍCULO SEXTO con el fin de dar continuidad a la emisión de programas de regularización de viviendas de </w:t>
      </w:r>
      <w:r w:rsidRPr="001634B4">
        <w:rPr>
          <w:rFonts w:ascii="Times New Roman" w:eastAsia="Times New Roman" w:hAnsi="Times New Roman" w:cs="Times New Roman"/>
          <w:sz w:val="24"/>
          <w:szCs w:val="24"/>
          <w:lang w:eastAsia="es-ES"/>
        </w:rPr>
        <w:t>interés social, social progresiva, popular y media</w:t>
      </w:r>
      <w:r w:rsidRPr="001634B4">
        <w:rPr>
          <w:rFonts w:ascii="Times New Roman" w:eastAsia="Times New Roman" w:hAnsi="Times New Roman" w:cs="Times New Roman"/>
          <w:sz w:val="24"/>
          <w:szCs w:val="24"/>
          <w:lang w:val="es-ES" w:eastAsia="es-ES"/>
        </w:rPr>
        <w:t xml:space="preserve"> que tengan como antecedente el fallecimiento, renuncia o revocación de las personas titulares de las </w:t>
      </w:r>
      <w:r w:rsidRPr="001634B4">
        <w:rPr>
          <w:rFonts w:ascii="Times New Roman" w:eastAsia="Times New Roman" w:hAnsi="Times New Roman" w:cs="Times New Roman"/>
          <w:sz w:val="24"/>
          <w:szCs w:val="24"/>
          <w:lang w:val="es-ES" w:eastAsia="es-ES"/>
        </w:rPr>
        <w:lastRenderedPageBreak/>
        <w:t>Notarías Públicas de la Entidad, brindando a su vez incentivos para su regularización, a efecto de beneficiar, apoyar y brindar certeza jurídica a las familias que derivado de la falta de inscripción de sus inmuebles no pueden llevar a cabo ningún tipo de disposición sobre los mismos.</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r w:rsidRPr="001634B4">
        <w:rPr>
          <w:rFonts w:ascii="Times New Roman" w:eastAsia="Times New Roman" w:hAnsi="Times New Roman" w:cs="Times New Roman"/>
          <w:sz w:val="24"/>
          <w:szCs w:val="24"/>
          <w:lang w:val="es-ES" w:eastAsia="es-ES"/>
        </w:rPr>
        <w:t>Por lo anterior, se somete a la consideración de esa Honorable Legislatura la presente Iniciativa de Decreto, con la convicción de que su aprobación permitirá fortalecer la confianza ciudadana, asegurar la estabilidad financiera de la Entidad y avanzar hacia un Estado de México más justo, transparente y comprometido con el bienestar de su pueblo.</w:t>
      </w: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 xml:space="preserve">DECRETO NÚMERO: </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LA H. “LXII” LEGISLATURA</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DEL ESTADO DE MÉXICO</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DECRETA:</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_tradnl"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PRIMERO.</w:t>
      </w:r>
      <w:r w:rsidRPr="001634B4">
        <w:rPr>
          <w:rFonts w:ascii="Times New Roman" w:eastAsia="Times New Roman" w:hAnsi="Times New Roman" w:cs="Times New Roman"/>
          <w:sz w:val="20"/>
          <w:szCs w:val="20"/>
          <w:lang w:val="es-ES" w:eastAsia="es-ES"/>
        </w:rPr>
        <w:t xml:space="preserve"> </w:t>
      </w:r>
      <w:r w:rsidRPr="001634B4">
        <w:rPr>
          <w:rFonts w:ascii="Times New Roman" w:eastAsia="Times New Roman" w:hAnsi="Times New Roman" w:cs="Times New Roman"/>
          <w:b/>
          <w:sz w:val="20"/>
          <w:szCs w:val="20"/>
          <w:lang w:val="es-ES" w:eastAsia="es-ES"/>
        </w:rPr>
        <w:t>Se reforman</w:t>
      </w:r>
      <w:r w:rsidRPr="001634B4">
        <w:rPr>
          <w:rFonts w:ascii="Times New Roman" w:eastAsia="Times New Roman" w:hAnsi="Times New Roman" w:cs="Times New Roman"/>
          <w:sz w:val="20"/>
          <w:szCs w:val="20"/>
          <w:lang w:val="es-ES" w:eastAsia="es-ES"/>
        </w:rPr>
        <w:t xml:space="preserve"> los artículos 3 en su fracción LXXIX; 9 en su fracción III; 43 en su párrafo cuarto; 45 en su párrafo cuarto; 47 fracción I en su párrafo tercero y fracción XV en su párrafo primero; 56 en su párrafo primero; 62; 63 en su fracción I e inciso A) en su tabla y en su fracción II y en su tabla; 64 en sus párrafos primero y segundo; 69 U en su párrafo cuarto; 69 U Ter en su párrafo primero; 69 U Quinquies; 69 U Sexies; 69 U Septies en su párrafo primero y en su fracción II; 75 fracción VI incisos B) en sus numerales 2, 3, 4 y 5 y C) en su numeral 1; 77 fracción I inciso E) en su párrafo segundo; 81 fracción I en su párrafo segundo; 87 fracciones III inciso C) numeral 3 en su tarifa, VII en su inciso A), VIII en su inciso A) y en su fracción X; 88 fracción VI en sus incisos A), B), C) y D) y en sus tarifas; 95 fracción I en su párrafo noveno; 97 en su párrafo tercero y en su tarifa; 105 fracciones I en su tarifa, II numerales 1 y 2 en sus tarifas y en su fracción IV; 109 párrafo primero en su tabla; 115 en su párrafo cuarto; 123 párrafo primero en su fracción I y en su párrafo sexto; 134 en su párrafo primero y en su fracción I y en su párrafo segundo; 154 párrafo primero fracciones I, II y III en sus tarifas; 172 en su párrafo quinto; 182 Bis; 186; 224 párrafo séptimo en sus fracciones I y II; 235; 248 en su fracción IV; 249 en su párrafo primero; 285 párrafo séptimo en su fracción V; 287 en su párrafo tercero; 288; 290 en su párrafo primero; 297 en sus párrafos primero y tercero; 302 en su párrafo primero; 309 en sus párrafos primero y segundo; 310 párrafo primero en su fracción II; 311 párrafo primero fracción IV en su párrafo segundo; 314; 317 Bis en sus párrafos primero y sexto; 317 Bis A; 322 Bis; 324 Bis en su </w:t>
      </w:r>
      <w:r w:rsidRPr="001634B4">
        <w:rPr>
          <w:rFonts w:ascii="Times New Roman" w:eastAsia="Times New Roman" w:hAnsi="Times New Roman" w:cs="Times New Roman"/>
          <w:bCs/>
          <w:sz w:val="20"/>
          <w:szCs w:val="20"/>
          <w:lang w:val="es-ES" w:eastAsia="es-ES"/>
        </w:rPr>
        <w:t xml:space="preserve">párrafo segundo; 327 en sus párrafos tercero, quinto y sexto; 327-A en su párrafo cuarto; 327-D en su párrafo segundo; 339 Bis párrafo primero en sus fracciones V, IX y XII y en su párrafo segundo; 345 en su párrafo primero; 348; 351 en su párrafo primero; 352 Bis en su párrafo cuarto; 361 en su fracción XVII; </w:t>
      </w:r>
      <w:r w:rsidRPr="001634B4">
        <w:rPr>
          <w:rFonts w:ascii="Times New Roman" w:eastAsia="Times New Roman" w:hAnsi="Times New Roman" w:cs="Times New Roman"/>
          <w:sz w:val="20"/>
          <w:szCs w:val="20"/>
          <w:lang w:val="es-ES" w:eastAsia="es-ES"/>
        </w:rPr>
        <w:t xml:space="preserve">364 en su párrafo tercero; 380-A; 380-B en su párrafo primero y en su fracción IV; </w:t>
      </w:r>
      <w:r w:rsidRPr="001634B4">
        <w:rPr>
          <w:rFonts w:ascii="Times New Roman" w:eastAsia="Times New Roman" w:hAnsi="Times New Roman" w:cs="Times New Roman"/>
          <w:b/>
          <w:sz w:val="20"/>
          <w:szCs w:val="20"/>
          <w:lang w:val="es-ES" w:eastAsia="es-ES"/>
        </w:rPr>
        <w:t>se adicionan</w:t>
      </w:r>
      <w:r w:rsidRPr="001634B4">
        <w:rPr>
          <w:rFonts w:ascii="Times New Roman" w:eastAsia="Times New Roman" w:hAnsi="Times New Roman" w:cs="Times New Roman"/>
          <w:sz w:val="20"/>
          <w:szCs w:val="20"/>
          <w:lang w:val="es-ES" w:eastAsia="es-ES"/>
        </w:rPr>
        <w:t xml:space="preserve"> un artículo 48 Bis; a los artículos 57 los párrafos segundo y tercero; 64 un párrafo tercero; 69 U un párrafo quinto; 75 fracción VI inciso D) los numerales 14 y 15; 77 fracción IX inciso A) el numeral 3; 82 una fracción IV con los incisos A), B) y C); 88 fracción VI los incisos E) y F); 105 fracción III un numeral 8; 154 los párrafos segundo y tercero recorriendo los subsecuentes en su orden; al Título Sexto un Capítulo Quinto denominado “De las Aportaciones para la Mitigación del Impacto en la Infraestructura Vial Estatal” con los artículos 216 Q, 216 Q Bis y 216 Q Ter; 248 un párrafo segundo; 249 los párrafos segundo y tercero recorriendo los subsecuentes en su orden; 285 párrafo séptimo una fracción I recorriendo las subsecuentes en su orden; 286 fracción I un párrafo segundo; 287 un párrafo cuarto recorriendo los subsecuentes en su orden; 309 un párrafo cuarto; 314 Bis; 314 Ter; 314 Quáter; 324 Bis un párrafo cuarto; 380-B los párrafos segundo, tercero y cuarto recorriendo los subsecuentes en su orden; </w:t>
      </w:r>
      <w:r w:rsidRPr="001634B4">
        <w:rPr>
          <w:rFonts w:ascii="Times New Roman" w:eastAsia="Times New Roman" w:hAnsi="Times New Roman" w:cs="Times New Roman"/>
          <w:b/>
          <w:sz w:val="20"/>
          <w:szCs w:val="20"/>
          <w:lang w:val="es-ES" w:eastAsia="es-ES"/>
        </w:rPr>
        <w:t xml:space="preserve">y se derogan </w:t>
      </w:r>
      <w:r w:rsidRPr="001634B4">
        <w:rPr>
          <w:rFonts w:ascii="Times New Roman" w:eastAsia="Times New Roman" w:hAnsi="Times New Roman" w:cs="Times New Roman"/>
          <w:sz w:val="20"/>
          <w:szCs w:val="20"/>
          <w:lang w:val="es-ES" w:eastAsia="es-ES"/>
        </w:rPr>
        <w:t>el artículo</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64 Bis y de los artículos 75 fracción VI incisos A) su numeral 7 y D) sus numerales 2 y 8; 77 fracción IX inciso A) su párrafo segundo; del Título Tercero, Capítulo Segundo la Sección Décima Cuarta denominada “De los Derechos por Servicios Prestados por la Secretaría de Cultura y Turismo” y su artículo 106 Bis; 345 su párrafo tercero; 380-B su fracción V y su párrafo tercero, todos del Código Financiero del Estado de México y Municipios, para quedar como sigue: </w:t>
      </w:r>
    </w:p>
    <w:p w:rsidR="001634B4" w:rsidRPr="001634B4" w:rsidRDefault="001634B4" w:rsidP="001634B4">
      <w:pPr>
        <w:spacing w:after="0" w:line="240" w:lineRule="auto"/>
        <w:jc w:val="both"/>
        <w:rPr>
          <w:rFonts w:ascii="Times New Roman" w:eastAsia="Times New Roman" w:hAnsi="Times New Roman" w:cs="Times New Roman"/>
          <w:b/>
          <w:bCs/>
          <w:kern w:val="2"/>
          <w:sz w:val="20"/>
          <w:szCs w:val="20"/>
          <w:lang w:val="es-ES" w:eastAsia="es-ES"/>
          <w14:ligatures w14:val="standardContextual"/>
        </w:rPr>
      </w:pP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
          <w:bCs/>
          <w:sz w:val="20"/>
          <w:szCs w:val="20"/>
          <w:lang w:val="es-ES" w:eastAsia="es-ES"/>
        </w:rPr>
        <w:t xml:space="preserve">Artículo 3.- </w:t>
      </w:r>
      <w:r w:rsidRPr="001634B4">
        <w:rPr>
          <w:rFonts w:ascii="Times New Roman" w:eastAsia="Montserrat" w:hAnsi="Times New Roman" w:cs="Times New Roman"/>
          <w:bCs/>
          <w:sz w:val="20"/>
          <w:szCs w:val="20"/>
          <w:lang w:val="es-ES" w:eastAsia="es-ES"/>
        </w:rPr>
        <w:t>…</w:t>
      </w:r>
    </w:p>
    <w:p w:rsidR="001634B4" w:rsidRPr="001634B4" w:rsidRDefault="001634B4" w:rsidP="001634B4">
      <w:pPr>
        <w:spacing w:after="0" w:line="240" w:lineRule="auto"/>
        <w:ind w:left="72"/>
        <w:jc w:val="both"/>
        <w:rPr>
          <w:rFonts w:ascii="Times New Roman" w:eastAsia="Montserrat" w:hAnsi="Times New Roman" w:cs="Times New Roman"/>
          <w:b/>
          <w:bCs/>
          <w:sz w:val="20"/>
          <w:szCs w:val="20"/>
          <w:lang w:val="es-ES" w:eastAsia="es-ES"/>
        </w:rPr>
      </w:pP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
          <w:bCs/>
          <w:sz w:val="20"/>
          <w:szCs w:val="20"/>
          <w:lang w:val="es-ES" w:eastAsia="es-ES"/>
        </w:rPr>
        <w:t xml:space="preserve">I. </w:t>
      </w:r>
      <w:r w:rsidRPr="001634B4">
        <w:rPr>
          <w:rFonts w:ascii="Times New Roman" w:eastAsia="Montserrat" w:hAnsi="Times New Roman" w:cs="Times New Roman"/>
          <w:bCs/>
          <w:sz w:val="20"/>
          <w:szCs w:val="20"/>
          <w:lang w:val="es-ES" w:eastAsia="es-ES"/>
        </w:rPr>
        <w:t>a</w:t>
      </w:r>
      <w:r w:rsidRPr="001634B4">
        <w:rPr>
          <w:rFonts w:ascii="Times New Roman" w:eastAsia="Montserrat" w:hAnsi="Times New Roman" w:cs="Times New Roman"/>
          <w:b/>
          <w:bCs/>
          <w:sz w:val="20"/>
          <w:szCs w:val="20"/>
          <w:lang w:val="es-ES" w:eastAsia="es-ES"/>
        </w:rPr>
        <w:t xml:space="preserve"> LXXVIII. </w:t>
      </w:r>
      <w:r w:rsidRPr="001634B4">
        <w:rPr>
          <w:rFonts w:ascii="Times New Roman" w:eastAsia="Montserrat" w:hAnsi="Times New Roman" w:cs="Times New Roman"/>
          <w:bCs/>
          <w:sz w:val="20"/>
          <w:szCs w:val="20"/>
          <w:lang w:val="es-ES" w:eastAsia="es-ES"/>
        </w:rPr>
        <w:t>…</w:t>
      </w:r>
    </w:p>
    <w:p w:rsidR="001634B4" w:rsidRPr="001634B4" w:rsidRDefault="001634B4" w:rsidP="001634B4">
      <w:pPr>
        <w:spacing w:after="0" w:line="240" w:lineRule="auto"/>
        <w:ind w:left="72"/>
        <w:jc w:val="both"/>
        <w:rPr>
          <w:rFonts w:ascii="Times New Roman" w:eastAsia="Montserrat" w:hAnsi="Times New Roman" w:cs="Times New Roman"/>
          <w:b/>
          <w:bCs/>
          <w:sz w:val="20"/>
          <w:szCs w:val="20"/>
          <w:lang w:val="es-ES" w:eastAsia="es-ES"/>
        </w:rPr>
      </w:pPr>
    </w:p>
    <w:p w:rsidR="001634B4" w:rsidRPr="001634B4" w:rsidRDefault="001634B4" w:rsidP="001634B4">
      <w:pPr>
        <w:spacing w:after="0" w:line="240" w:lineRule="auto"/>
        <w:ind w:left="910" w:hanging="838"/>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
          <w:bCs/>
          <w:sz w:val="20"/>
          <w:szCs w:val="20"/>
          <w:lang w:val="es-ES" w:eastAsia="es-ES"/>
        </w:rPr>
        <w:t xml:space="preserve">LXXIX. Traspaso Presupuestario Externo. </w:t>
      </w:r>
      <w:r w:rsidRPr="001634B4">
        <w:rPr>
          <w:rFonts w:ascii="Times New Roman" w:eastAsia="Montserrat" w:hAnsi="Times New Roman" w:cs="Times New Roman"/>
          <w:bCs/>
          <w:sz w:val="20"/>
          <w:szCs w:val="20"/>
          <w:lang w:val="es-ES" w:eastAsia="es-ES"/>
        </w:rPr>
        <w:t>Serán aquellos que se realicen entre programas</w:t>
      </w:r>
      <w:r w:rsidRPr="001634B4">
        <w:rPr>
          <w:rFonts w:ascii="Times New Roman" w:eastAsia="Montserrat" w:hAnsi="Times New Roman" w:cs="Times New Roman"/>
          <w:b/>
          <w:bCs/>
          <w:sz w:val="20"/>
          <w:szCs w:val="20"/>
          <w:lang w:val="es-ES" w:eastAsia="es-ES"/>
        </w:rPr>
        <w:t xml:space="preserve"> </w:t>
      </w:r>
      <w:r w:rsidRPr="001634B4">
        <w:rPr>
          <w:rFonts w:ascii="Times New Roman" w:eastAsia="Montserrat" w:hAnsi="Times New Roman" w:cs="Times New Roman"/>
          <w:bCs/>
          <w:sz w:val="20"/>
          <w:szCs w:val="20"/>
          <w:lang w:val="es-ES" w:eastAsia="es-ES"/>
        </w:rPr>
        <w:t>presupuestarios y/o capítulos de gasto.</w:t>
      </w: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
          <w:bCs/>
          <w:sz w:val="20"/>
          <w:szCs w:val="20"/>
          <w:lang w:val="es-ES" w:eastAsia="es-ES"/>
        </w:rPr>
        <w:t>LXXX.</w:t>
      </w:r>
      <w:r w:rsidRPr="001634B4">
        <w:rPr>
          <w:rFonts w:ascii="Times New Roman" w:eastAsia="Montserrat" w:hAnsi="Times New Roman" w:cs="Times New Roman"/>
          <w:bCs/>
          <w:sz w:val="20"/>
          <w:szCs w:val="20"/>
          <w:lang w:val="es-ES" w:eastAsia="es-ES"/>
        </w:rPr>
        <w:t xml:space="preserve"> a </w:t>
      </w:r>
      <w:r w:rsidRPr="001634B4">
        <w:rPr>
          <w:rFonts w:ascii="Times New Roman" w:eastAsia="Montserrat" w:hAnsi="Times New Roman" w:cs="Times New Roman"/>
          <w:b/>
          <w:bCs/>
          <w:sz w:val="20"/>
          <w:szCs w:val="20"/>
          <w:lang w:val="es-ES" w:eastAsia="es-ES"/>
        </w:rPr>
        <w:t>LXXXIII.</w:t>
      </w:r>
      <w:r w:rsidRPr="001634B4">
        <w:rPr>
          <w:rFonts w:ascii="Times New Roman" w:eastAsia="Montserrat" w:hAnsi="Times New Roman" w:cs="Times New Roman"/>
          <w:bCs/>
          <w:sz w:val="20"/>
          <w:szCs w:val="20"/>
          <w:lang w:val="es-ES" w:eastAsia="es-ES"/>
        </w:rPr>
        <w:t xml:space="preserve"> …</w:t>
      </w:r>
    </w:p>
    <w:p w:rsidR="001634B4" w:rsidRPr="001634B4" w:rsidRDefault="001634B4" w:rsidP="001634B4">
      <w:pPr>
        <w:spacing w:after="0" w:line="240" w:lineRule="auto"/>
        <w:ind w:left="72"/>
        <w:jc w:val="both"/>
        <w:rPr>
          <w:rFonts w:ascii="Times New Roman" w:eastAsia="Montserrat" w:hAnsi="Times New Roman" w:cs="Times New Roman"/>
          <w:b/>
          <w:bCs/>
          <w:sz w:val="20"/>
          <w:szCs w:val="20"/>
          <w:lang w:val="es-ES" w:eastAsia="es-ES"/>
        </w:rPr>
      </w:pP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Cs/>
          <w:sz w:val="20"/>
          <w:szCs w:val="20"/>
          <w:lang w:val="es-ES" w:eastAsia="es-ES"/>
        </w:rPr>
        <w:lastRenderedPageBreak/>
        <w:t>…</w:t>
      </w:r>
    </w:p>
    <w:p w:rsidR="001634B4" w:rsidRPr="001634B4" w:rsidRDefault="001634B4" w:rsidP="001634B4">
      <w:pPr>
        <w:spacing w:after="0" w:line="240" w:lineRule="auto"/>
        <w:ind w:left="72"/>
        <w:jc w:val="both"/>
        <w:rPr>
          <w:rFonts w:ascii="Times New Roman" w:eastAsia="Montserrat" w:hAnsi="Times New Roman" w:cs="Times New Roman"/>
          <w:b/>
          <w:bCs/>
          <w:sz w:val="20"/>
          <w:szCs w:val="20"/>
          <w:lang w:val="es-ES" w:eastAsia="es-ES"/>
        </w:rPr>
      </w:pP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
          <w:bCs/>
          <w:sz w:val="20"/>
          <w:szCs w:val="20"/>
          <w:lang w:val="es-ES" w:eastAsia="es-ES"/>
        </w:rPr>
        <w:t xml:space="preserve">Artículo 9.- </w:t>
      </w:r>
      <w:r w:rsidRPr="001634B4">
        <w:rPr>
          <w:rFonts w:ascii="Times New Roman" w:eastAsia="Montserrat" w:hAnsi="Times New Roman" w:cs="Times New Roman"/>
          <w:bCs/>
          <w:sz w:val="20"/>
          <w:szCs w:val="20"/>
          <w:lang w:val="es-ES" w:eastAsia="es-ES"/>
        </w:rPr>
        <w:t>…</w:t>
      </w: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
          <w:bCs/>
          <w:sz w:val="20"/>
          <w:szCs w:val="20"/>
          <w:lang w:val="es-ES" w:eastAsia="es-ES"/>
        </w:rPr>
        <w:t>I.</w:t>
      </w:r>
      <w:r w:rsidRPr="001634B4">
        <w:rPr>
          <w:rFonts w:ascii="Times New Roman" w:eastAsia="Montserrat" w:hAnsi="Times New Roman" w:cs="Times New Roman"/>
          <w:bCs/>
          <w:sz w:val="20"/>
          <w:szCs w:val="20"/>
          <w:lang w:val="es-ES" w:eastAsia="es-ES"/>
        </w:rPr>
        <w:t xml:space="preserve"> a </w:t>
      </w:r>
      <w:r w:rsidRPr="001634B4">
        <w:rPr>
          <w:rFonts w:ascii="Times New Roman" w:eastAsia="Montserrat" w:hAnsi="Times New Roman" w:cs="Times New Roman"/>
          <w:b/>
          <w:bCs/>
          <w:sz w:val="20"/>
          <w:szCs w:val="20"/>
          <w:lang w:val="es-ES" w:eastAsia="es-ES"/>
        </w:rPr>
        <w:t xml:space="preserve">II. </w:t>
      </w:r>
      <w:r w:rsidRPr="001634B4">
        <w:rPr>
          <w:rFonts w:ascii="Times New Roman" w:eastAsia="Montserrat" w:hAnsi="Times New Roman" w:cs="Times New Roman"/>
          <w:bCs/>
          <w:sz w:val="20"/>
          <w:szCs w:val="20"/>
          <w:lang w:val="es-ES" w:eastAsia="es-ES"/>
        </w:rPr>
        <w:t>…</w:t>
      </w: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val="es-ES" w:eastAsia="es-ES"/>
        </w:rPr>
      </w:pPr>
    </w:p>
    <w:p w:rsidR="001634B4" w:rsidRPr="001634B4" w:rsidRDefault="001634B4" w:rsidP="001634B4">
      <w:pPr>
        <w:spacing w:after="0" w:line="240" w:lineRule="auto"/>
        <w:ind w:left="406" w:hanging="334"/>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
          <w:bCs/>
          <w:sz w:val="20"/>
          <w:szCs w:val="20"/>
          <w:lang w:val="es-ES" w:eastAsia="es-ES"/>
        </w:rPr>
        <w:t>III</w:t>
      </w:r>
      <w:r w:rsidRPr="001634B4">
        <w:rPr>
          <w:rFonts w:ascii="Times New Roman" w:eastAsia="Montserrat" w:hAnsi="Times New Roman" w:cs="Times New Roman"/>
          <w:bCs/>
          <w:sz w:val="20"/>
          <w:szCs w:val="20"/>
          <w:lang w:val="es-ES" w:eastAsia="es-ES"/>
        </w:rPr>
        <w:t xml:space="preserve">. </w:t>
      </w:r>
      <w:r w:rsidRPr="001634B4">
        <w:rPr>
          <w:rFonts w:ascii="Times New Roman" w:eastAsia="Montserrat" w:hAnsi="Times New Roman" w:cs="Times New Roman"/>
          <w:bCs/>
          <w:sz w:val="20"/>
          <w:szCs w:val="20"/>
          <w:lang w:val="es-ES" w:eastAsia="es-ES"/>
        </w:rPr>
        <w:tab/>
        <w:t>Contribuciones o Aportaciones de Mejoras. Son las establecidas en este Código, a cargo de las personas físicas y jurídicas colectivas, que con independencia de la utilidad general, obtengan un beneficio diferencial particular derivado de la realización de obras públicas o de acciones de beneficio social; las que efectúen las personas a favor del Estado para la realización de obras de impacto vial regional, que directa o indirectamente las beneficien, las derivadas de Servicios Ambientales o de Movilidad Sustentable, así como las relativas a la mitigación del impacto en la infraestructura vial estatal.</w:t>
      </w:r>
    </w:p>
    <w:p w:rsidR="001634B4" w:rsidRPr="001634B4" w:rsidRDefault="001634B4" w:rsidP="001634B4">
      <w:pPr>
        <w:spacing w:after="0" w:line="240" w:lineRule="auto"/>
        <w:ind w:left="72"/>
        <w:jc w:val="both"/>
        <w:rPr>
          <w:rFonts w:ascii="Times New Roman" w:eastAsia="Montserrat" w:hAnsi="Times New Roman" w:cs="Times New Roman"/>
          <w:b/>
          <w:bCs/>
          <w:sz w:val="20"/>
          <w:szCs w:val="20"/>
          <w:lang w:val="es-ES" w:eastAsia="es-ES"/>
        </w:rPr>
      </w:pPr>
    </w:p>
    <w:p w:rsidR="001634B4" w:rsidRPr="001634B4" w:rsidRDefault="001634B4" w:rsidP="001634B4">
      <w:pPr>
        <w:spacing w:after="0" w:line="240" w:lineRule="auto"/>
        <w:ind w:left="72"/>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val="es-ES" w:eastAsia="es-ES"/>
        </w:rPr>
        <w:t xml:space="preserve">IV. </w:t>
      </w:r>
      <w:r w:rsidRPr="001634B4">
        <w:rPr>
          <w:rFonts w:ascii="Times New Roman" w:eastAsia="Montserrat"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bCs/>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b/>
          <w:bCs/>
          <w:kern w:val="2"/>
          <w:sz w:val="20"/>
          <w:szCs w:val="20"/>
          <w:lang w:val="es-ES" w:eastAsia="es-ES"/>
          <w14:ligatures w14:val="standardContextual"/>
        </w:rPr>
        <w:t>Artículo 43.-</w:t>
      </w:r>
      <w:r w:rsidRPr="001634B4">
        <w:rPr>
          <w:rFonts w:ascii="Times New Roman" w:eastAsia="Times New Roman" w:hAnsi="Times New Roman" w:cs="Times New Roman"/>
          <w:bCs/>
          <w:kern w:val="2"/>
          <w:sz w:val="20"/>
          <w:szCs w:val="20"/>
          <w:lang w:val="es-ES" w:eastAsia="es-ES"/>
          <w14:ligatures w14:val="standardContextual"/>
        </w:rPr>
        <w:t xml:space="preserve"> …</w:t>
      </w: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bCs/>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bCs/>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 xml:space="preserve">Cuando se suspenda el procedimiento administrativo de ejecución, también se suspende el plazo de la prescripción. Igualmente se suspende el plazo a que se refiere este artículo, cuando el contribuyente desocupe su domicilio fiscal sin haber presentado el aviso de cambio </w:t>
      </w:r>
      <w:r w:rsidRPr="001634B4">
        <w:rPr>
          <w:rFonts w:ascii="Times New Roman" w:eastAsia="Times New Roman" w:hAnsi="Times New Roman" w:cs="Times New Roman"/>
          <w:bCs/>
          <w:kern w:val="2"/>
          <w:sz w:val="20"/>
          <w:szCs w:val="20"/>
          <w:lang w:val="es-ES" w:eastAsia="es-ES"/>
          <w14:ligatures w14:val="standardContextual"/>
        </w:rPr>
        <w:t>de domicilio</w:t>
      </w:r>
      <w:r w:rsidRPr="001634B4">
        <w:rPr>
          <w:rFonts w:ascii="Times New Roman" w:eastAsia="Times New Roman" w:hAnsi="Times New Roman" w:cs="Times New Roman"/>
          <w:kern w:val="2"/>
          <w:sz w:val="20"/>
          <w:szCs w:val="20"/>
          <w:lang w:val="es-ES" w:eastAsia="es-ES"/>
          <w14:ligatures w14:val="standardContextual"/>
        </w:rPr>
        <w:t>, cuando lo señale de manera incorrecta o sea falso el mismo, continuando el cómputo del plazo a partir de que el contribuyente sea localizado.</w:t>
      </w:r>
    </w:p>
    <w:p w:rsidR="001634B4" w:rsidRPr="001634B4" w:rsidRDefault="001634B4" w:rsidP="001634B4">
      <w:pPr>
        <w:spacing w:after="0" w:line="240" w:lineRule="auto"/>
        <w:ind w:left="282"/>
        <w:jc w:val="both"/>
        <w:rPr>
          <w:rFonts w:ascii="Times New Roman" w:eastAsia="Times New Roman" w:hAnsi="Times New Roman" w:cs="Times New Roman"/>
          <w:bCs/>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Cs/>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Artículo 45.-</w:t>
      </w:r>
      <w:r w:rsidRPr="001634B4">
        <w:rPr>
          <w:rFonts w:ascii="Times New Roman" w:eastAsia="Times New Roman" w:hAnsi="Times New Roman" w:cs="Times New Roman"/>
          <w:kern w:val="2"/>
          <w:sz w:val="20"/>
          <w:szCs w:val="20"/>
          <w:lang w:val="es-ES" w:eastAsia="es-ES"/>
          <w14:ligatures w14:val="standardContextual"/>
        </w:rPr>
        <w:t xml:space="preserve"> …</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Existe imposibilidad práctica de cobro, entre otras circunstancias, cuando</w:t>
      </w:r>
      <w:r w:rsidRPr="001634B4">
        <w:rPr>
          <w:rFonts w:ascii="Times New Roman" w:eastAsia="Times New Roman" w:hAnsi="Times New Roman" w:cs="Times New Roman"/>
          <w:bCs/>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strike/>
          <w:kern w:val="2"/>
          <w:sz w:val="20"/>
          <w:szCs w:val="20"/>
          <w:lang w:val="es-ES" w:eastAsia="es-ES"/>
          <w14:ligatures w14:val="standardContextual"/>
        </w:rPr>
      </w:pPr>
    </w:p>
    <w:p w:rsidR="001634B4" w:rsidRPr="001634B4" w:rsidRDefault="001634B4" w:rsidP="001634B4">
      <w:pPr>
        <w:spacing w:after="0" w:line="240" w:lineRule="auto"/>
        <w:ind w:left="378" w:hanging="236"/>
        <w:contextualSpacing/>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I. </w:t>
      </w:r>
      <w:r w:rsidRPr="001634B4">
        <w:rPr>
          <w:rFonts w:ascii="Times New Roman" w:eastAsia="Times New Roman" w:hAnsi="Times New Roman" w:cs="Times New Roman"/>
          <w:b/>
          <w:kern w:val="2"/>
          <w:sz w:val="20"/>
          <w:szCs w:val="20"/>
          <w:lang w:val="es-ES" w:eastAsia="es-ES"/>
          <w14:ligatures w14:val="standardContextual"/>
        </w:rPr>
        <w:tab/>
      </w:r>
      <w:r w:rsidRPr="001634B4">
        <w:rPr>
          <w:rFonts w:ascii="Times New Roman" w:eastAsia="Times New Roman" w:hAnsi="Times New Roman" w:cs="Times New Roman"/>
          <w:kern w:val="2"/>
          <w:sz w:val="20"/>
          <w:szCs w:val="20"/>
          <w:lang w:val="es-ES" w:eastAsia="es-ES"/>
          <w14:ligatures w14:val="standardContextual"/>
        </w:rPr>
        <w:t>Los deudores</w:t>
      </w:r>
      <w:r w:rsidRPr="001634B4">
        <w:rPr>
          <w:rFonts w:ascii="Times New Roman" w:eastAsia="Times New Roman" w:hAnsi="Times New Roman" w:cs="Times New Roman"/>
          <w:b/>
          <w:kern w:val="2"/>
          <w:sz w:val="20"/>
          <w:szCs w:val="20"/>
          <w:lang w:val="es-ES" w:eastAsia="es-ES"/>
          <w14:ligatures w14:val="standardContextual"/>
        </w:rPr>
        <w:t xml:space="preserve"> </w:t>
      </w:r>
      <w:r w:rsidRPr="001634B4">
        <w:rPr>
          <w:rFonts w:ascii="Times New Roman" w:eastAsia="Times New Roman" w:hAnsi="Times New Roman" w:cs="Times New Roman"/>
          <w:kern w:val="2"/>
          <w:sz w:val="20"/>
          <w:szCs w:val="20"/>
          <w:lang w:val="es-ES" w:eastAsia="es-ES"/>
          <w14:ligatures w14:val="standardContextual"/>
        </w:rPr>
        <w:t xml:space="preserve">no sean localizables </w:t>
      </w:r>
      <w:r w:rsidRPr="001634B4">
        <w:rPr>
          <w:rFonts w:ascii="Times New Roman" w:eastAsia="Times New Roman" w:hAnsi="Times New Roman" w:cs="Times New Roman"/>
          <w:bCs/>
          <w:kern w:val="2"/>
          <w:sz w:val="20"/>
          <w:szCs w:val="20"/>
          <w:lang w:val="es-ES" w:eastAsia="es-ES"/>
          <w14:ligatures w14:val="standardContextual"/>
        </w:rPr>
        <w:t>en el domicilio señalado en el Registro Estatal de Contribuyentes o desocupen su domicilio fiscal, sin presentar el aviso correspondiente</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ind w:left="142"/>
        <w:contextualSpacing/>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ind w:left="142"/>
        <w:contextualSpacing/>
        <w:jc w:val="both"/>
        <w:rPr>
          <w:rFonts w:ascii="Times New Roman" w:eastAsia="Times New Roman" w:hAnsi="Times New Roman" w:cs="Times New Roman"/>
          <w:b/>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II. </w:t>
      </w:r>
      <w:r w:rsidRPr="001634B4">
        <w:rPr>
          <w:rFonts w:ascii="Times New Roman" w:eastAsia="Times New Roman" w:hAnsi="Times New Roman" w:cs="Times New Roman"/>
          <w:kern w:val="2"/>
          <w:sz w:val="20"/>
          <w:szCs w:val="20"/>
          <w:lang w:val="es-ES" w:eastAsia="es-ES"/>
          <w14:ligatures w14:val="standardContextual"/>
        </w:rPr>
        <w:t>Cuando no tengan bienes embargables.</w:t>
      </w:r>
    </w:p>
    <w:p w:rsidR="001634B4" w:rsidRPr="001634B4" w:rsidRDefault="001634B4" w:rsidP="001634B4">
      <w:pPr>
        <w:spacing w:after="0" w:line="240" w:lineRule="auto"/>
        <w:ind w:left="142"/>
        <w:contextualSpacing/>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ind w:left="434" w:hanging="292"/>
        <w:contextualSpacing/>
        <w:jc w:val="both"/>
        <w:rPr>
          <w:rFonts w:ascii="Times New Roman" w:eastAsia="Times New Roman" w:hAnsi="Times New Roman" w:cs="Times New Roman"/>
          <w:b/>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III. </w:t>
      </w:r>
      <w:r w:rsidRPr="001634B4">
        <w:rPr>
          <w:rFonts w:ascii="Times New Roman" w:eastAsia="Times New Roman" w:hAnsi="Times New Roman" w:cs="Times New Roman"/>
          <w:kern w:val="2"/>
          <w:sz w:val="20"/>
          <w:szCs w:val="20"/>
          <w:lang w:val="es-ES" w:eastAsia="es-ES"/>
          <w14:ligatures w14:val="standardContextual"/>
        </w:rPr>
        <w:t>El deudor hubiera fallecido, o desaparecido sin dejar bienes a su nombre que puedan ser objeto del procedimiento administrativo de ejecución.</w:t>
      </w:r>
    </w:p>
    <w:p w:rsidR="001634B4" w:rsidRPr="001634B4" w:rsidRDefault="001634B4" w:rsidP="001634B4">
      <w:pPr>
        <w:spacing w:after="0" w:line="240" w:lineRule="auto"/>
        <w:ind w:left="142"/>
        <w:contextualSpacing/>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ind w:left="142"/>
        <w:contextualSpacing/>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IV. </w:t>
      </w:r>
      <w:r w:rsidRPr="001634B4">
        <w:rPr>
          <w:rFonts w:ascii="Times New Roman" w:eastAsia="Times New Roman" w:hAnsi="Times New Roman" w:cs="Times New Roman"/>
          <w:kern w:val="2"/>
          <w:sz w:val="20"/>
          <w:szCs w:val="20"/>
          <w:lang w:val="es-ES" w:eastAsia="es-ES"/>
          <w14:ligatures w14:val="standardContextual"/>
        </w:rPr>
        <w:t>Por sentencia firme hubiera sido declarado en quiebra por falta de activos.</w:t>
      </w:r>
    </w:p>
    <w:p w:rsidR="001634B4" w:rsidRPr="001634B4" w:rsidRDefault="001634B4" w:rsidP="001634B4">
      <w:pPr>
        <w:spacing w:after="0" w:line="240" w:lineRule="auto"/>
        <w:ind w:left="142"/>
        <w:contextualSpacing/>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ind w:left="392" w:hanging="250"/>
        <w:contextualSpacing/>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bCs/>
          <w:kern w:val="2"/>
          <w:sz w:val="20"/>
          <w:szCs w:val="20"/>
          <w:lang w:val="es-ES" w:eastAsia="es-ES"/>
          <w14:ligatures w14:val="standardContextual"/>
        </w:rPr>
        <w:t xml:space="preserve">V. </w:t>
      </w:r>
      <w:r w:rsidRPr="001634B4">
        <w:rPr>
          <w:rFonts w:ascii="Times New Roman" w:eastAsia="Times New Roman" w:hAnsi="Times New Roman" w:cs="Times New Roman"/>
          <w:bCs/>
          <w:kern w:val="2"/>
          <w:sz w:val="20"/>
          <w:szCs w:val="20"/>
          <w:lang w:val="es-ES" w:eastAsia="es-ES"/>
          <w14:ligatures w14:val="standardContextual"/>
        </w:rPr>
        <w:t>Tratándose de la solicitud de cobro de créditos fiscales firmes, no se pueda identificar al deudor; se considera que no se puede identificar al deudor, cuando de la información remitida por las autoridades solicitantes, de conformidad con lo previsto en las Reglas de Carácter General que emita y publique la Secretaría en el Periódico Oficial, no se señale el Registro Federal de Contribuyentes o Registro Estatal de Contribuyentes.</w:t>
      </w:r>
    </w:p>
    <w:p w:rsidR="001634B4" w:rsidRPr="001634B4" w:rsidRDefault="001634B4" w:rsidP="001634B4">
      <w:pPr>
        <w:spacing w:after="0" w:line="240" w:lineRule="auto"/>
        <w:contextualSpacing/>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Artículo 47.-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lastRenderedPageBreak/>
        <w:t>…</w:t>
      </w:r>
    </w:p>
    <w:p w:rsidR="001634B4" w:rsidRPr="001634B4" w:rsidRDefault="001634B4" w:rsidP="001634B4">
      <w:pPr>
        <w:spacing w:after="0" w:line="240" w:lineRule="auto"/>
        <w:ind w:left="210"/>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En el caso del Impuesto sobre Tenencia o Uso de Vehículos de motocicletas, motonetas, trimotos y cuadrimotos, inscribir el vehículo en el padrón vehicular de la Entidad</w:t>
      </w:r>
      <w:r w:rsidRPr="001634B4">
        <w:rPr>
          <w:rFonts w:ascii="Times New Roman" w:eastAsia="Times New Roman" w:hAnsi="Times New Roman" w:cs="Times New Roman"/>
          <w:b/>
          <w:sz w:val="20"/>
          <w:szCs w:val="20"/>
          <w:lang w:eastAsia="es-ES"/>
        </w:rPr>
        <w:t>,</w:t>
      </w:r>
      <w:r w:rsidRPr="001634B4">
        <w:rPr>
          <w:rFonts w:ascii="Times New Roman" w:eastAsia="Times New Roman" w:hAnsi="Times New Roman" w:cs="Times New Roman"/>
          <w:sz w:val="20"/>
          <w:szCs w:val="20"/>
          <w:lang w:eastAsia="es-ES"/>
        </w:rPr>
        <w:t xml:space="preserve"> dentro de los quince días siguientes, contados a partir de la fecha de adquisición, o de su importación definitiva tratándose de motocicletas usadas; así como realizar todos aquellos trámites de control vehicular que modifiquen y actualicen el registro de la motocicleta, motoneta, trimoto y cuadrimoto, conforme a los procedimientos y requisitos que establezca la Secretaría.</w:t>
      </w:r>
    </w:p>
    <w:p w:rsidR="001634B4" w:rsidRPr="001634B4" w:rsidRDefault="001634B4" w:rsidP="001634B4">
      <w:pPr>
        <w:spacing w:after="0" w:line="240" w:lineRule="auto"/>
        <w:ind w:left="210"/>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firstLine="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firstLine="210"/>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firstLine="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 </w:t>
      </w:r>
      <w:r w:rsidRPr="001634B4">
        <w:rPr>
          <w:rFonts w:ascii="Times New Roman" w:eastAsia="Times New Roman" w:hAnsi="Times New Roman" w:cs="Times New Roman"/>
          <w:sz w:val="20"/>
          <w:szCs w:val="20"/>
          <w:lang w:eastAsia="es-ES"/>
        </w:rPr>
        <w:t>a</w:t>
      </w:r>
      <w:r w:rsidRPr="001634B4">
        <w:rPr>
          <w:rFonts w:ascii="Times New Roman" w:eastAsia="Times New Roman" w:hAnsi="Times New Roman" w:cs="Times New Roman"/>
          <w:b/>
          <w:sz w:val="20"/>
          <w:szCs w:val="20"/>
          <w:lang w:eastAsia="es-ES"/>
        </w:rPr>
        <w:t xml:space="preserve"> XIV.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406" w:hanging="406"/>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XV.</w:t>
      </w:r>
      <w:r w:rsidRPr="001634B4">
        <w:rPr>
          <w:rFonts w:ascii="Times New Roman" w:eastAsia="Times New Roman" w:hAnsi="Times New Roman" w:cs="Times New Roman"/>
          <w:sz w:val="20"/>
          <w:szCs w:val="20"/>
          <w:lang w:val="es-ES" w:eastAsia="es-ES"/>
        </w:rPr>
        <w:t xml:space="preserve"> Entregar</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constancias de retención, en caso de estar obligado conforme a las disposiciones de este Código. A falta de disposición expresa, el plazo para entregar dicha constancia será dentro de los quince días del mes siguiente al en que se realice el hecho generador. </w:t>
      </w:r>
    </w:p>
    <w:p w:rsidR="001634B4" w:rsidRPr="001634B4" w:rsidRDefault="001634B4" w:rsidP="001634B4">
      <w:pPr>
        <w:spacing w:after="0" w:line="240" w:lineRule="auto"/>
        <w:ind w:left="406" w:hanging="406"/>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39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XVI. </w:t>
      </w:r>
      <w:r w:rsidRPr="001634B4">
        <w:rPr>
          <w:rFonts w:ascii="Times New Roman" w:eastAsia="Times New Roman" w:hAnsi="Times New Roman" w:cs="Times New Roman"/>
          <w:sz w:val="20"/>
          <w:szCs w:val="20"/>
          <w:lang w:eastAsia="es-ES"/>
        </w:rPr>
        <w:t>a</w:t>
      </w:r>
      <w:r w:rsidRPr="001634B4">
        <w:rPr>
          <w:rFonts w:ascii="Times New Roman" w:eastAsia="Times New Roman" w:hAnsi="Times New Roman" w:cs="Times New Roman"/>
          <w:b/>
          <w:sz w:val="20"/>
          <w:szCs w:val="20"/>
          <w:lang w:eastAsia="es-ES"/>
        </w:rPr>
        <w:t xml:space="preserve"> </w:t>
      </w:r>
      <w:r w:rsidRPr="001634B4">
        <w:rPr>
          <w:rFonts w:ascii="Times New Roman" w:eastAsia="Times New Roman" w:hAnsi="Times New Roman" w:cs="Times New Roman"/>
          <w:b/>
          <w:sz w:val="20"/>
          <w:szCs w:val="20"/>
          <w:lang w:val="es-ES" w:eastAsia="es-ES"/>
        </w:rPr>
        <w:t>XVIII</w:t>
      </w:r>
      <w:r w:rsidRPr="001634B4">
        <w:rPr>
          <w:rFonts w:ascii="Times New Roman" w:eastAsia="Times New Roman" w:hAnsi="Times New Roman" w:cs="Times New Roman"/>
          <w:sz w:val="20"/>
          <w:szCs w:val="20"/>
          <w:lang w:eastAsia="es-ES"/>
        </w:rPr>
        <w:t>. …</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4"/>
          <w:szCs w:val="4"/>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Artículo 48 Bis.- </w:t>
      </w:r>
      <w:r w:rsidRPr="001634B4">
        <w:rPr>
          <w:rFonts w:ascii="Times New Roman" w:eastAsia="Times New Roman" w:hAnsi="Times New Roman" w:cs="Times New Roman"/>
          <w:sz w:val="20"/>
          <w:szCs w:val="20"/>
          <w:lang w:eastAsia="es-ES"/>
        </w:rPr>
        <w:t>Cuando los contribuyentes, responsables solidarios o terceros relacionados con ellos, según corresponda; se opongan, obstaculicen o impidan de cualquier forma o por cualquier medio, el inicio o desarrollo de las facultades de comprobación, las autoridades fiscales podrán emplear las medidas de apremio que se indican a continuación, observando estrictamente el siguiente orden:</w:t>
      </w:r>
    </w:p>
    <w:p w:rsidR="001634B4" w:rsidRPr="001634B4" w:rsidRDefault="001634B4" w:rsidP="001634B4">
      <w:pPr>
        <w:spacing w:after="0" w:line="240" w:lineRule="auto"/>
        <w:jc w:val="both"/>
        <w:rPr>
          <w:rFonts w:ascii="Times New Roman" w:eastAsia="Times New Roman" w:hAnsi="Times New Roman" w:cs="Times New Roman"/>
          <w:b/>
          <w:sz w:val="16"/>
          <w:szCs w:val="16"/>
          <w:lang w:eastAsia="es-ES"/>
        </w:rPr>
      </w:pPr>
    </w:p>
    <w:p w:rsidR="001634B4" w:rsidRPr="001634B4" w:rsidRDefault="001634B4" w:rsidP="001634B4">
      <w:pPr>
        <w:spacing w:after="0" w:line="240" w:lineRule="auto"/>
        <w:ind w:left="322" w:hanging="18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 </w:t>
      </w:r>
      <w:r w:rsidRPr="001634B4">
        <w:rPr>
          <w:rFonts w:ascii="Times New Roman" w:eastAsia="Times New Roman" w:hAnsi="Times New Roman" w:cs="Times New Roman"/>
          <w:sz w:val="20"/>
          <w:szCs w:val="20"/>
          <w:lang w:eastAsia="es-ES"/>
        </w:rPr>
        <w:t>Solicitar el auxilio de la fuerza pública, en términos de la normativa aplicable que regula la seguridad pública en el Estado o Municipios, según corresponda; para lo cual, los cuerpos encargados de la seguridad pública, deberán prestar en forma expedita el apoyo que solicite la autoridad fiscal.</w:t>
      </w:r>
    </w:p>
    <w:p w:rsidR="001634B4" w:rsidRPr="001634B4" w:rsidRDefault="001634B4" w:rsidP="001634B4">
      <w:pPr>
        <w:spacing w:after="0" w:line="240" w:lineRule="auto"/>
        <w:ind w:left="142"/>
        <w:jc w:val="both"/>
        <w:rPr>
          <w:rFonts w:ascii="Times New Roman" w:eastAsia="Times New Roman" w:hAnsi="Times New Roman" w:cs="Times New Roman"/>
          <w:b/>
          <w:sz w:val="16"/>
          <w:szCs w:val="16"/>
          <w:lang w:eastAsia="es-ES"/>
        </w:rPr>
      </w:pPr>
    </w:p>
    <w:p w:rsidR="001634B4" w:rsidRPr="001634B4" w:rsidRDefault="001634B4" w:rsidP="001634B4">
      <w:pPr>
        <w:spacing w:after="0" w:line="240" w:lineRule="auto"/>
        <w:ind w:left="28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El apoyo a que se refiere el párrafo anterior, consistirá en efectuar las acciones necesarias para permitir que las autoridades fiscales ingresen al domicilio fiscal, establecimientos, sucursales, oficinas, locales, puestos fijos o semifijos y, en general, cualquier establecimiento donde los contribuyentes, responsables solidarios o terceros relacionados con ellos, según corresponda, realicen actividades que generen obligaciones fiscales en la Entidad.</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336" w:hanging="19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 </w:t>
      </w:r>
      <w:r w:rsidRPr="001634B4">
        <w:rPr>
          <w:rFonts w:ascii="Times New Roman" w:eastAsia="Times New Roman" w:hAnsi="Times New Roman" w:cs="Times New Roman"/>
          <w:sz w:val="20"/>
          <w:szCs w:val="20"/>
          <w:lang w:eastAsia="es-ES"/>
        </w:rPr>
        <w:t>Decretar el aseguramiento precautorio, de conformidad con lo establecido por el artículo 380-A de este Código.</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30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No se aplicará esta medida, cuando los contribuyentes, responsables solidarios o terceros relacionados con ellos, según corresponda; manifiesten por escrito a la autoridad, que se encuentran impedidos de atender completa o parcialmente la solicitud que se les haya realizado, por causa de fuerza mayor o caso fortuito, y lo acrediten exhibiendo las pruebas correspondientes.</w:t>
      </w:r>
    </w:p>
    <w:p w:rsidR="001634B4" w:rsidRPr="001634B4" w:rsidRDefault="001634B4" w:rsidP="001634B4">
      <w:pPr>
        <w:spacing w:after="0" w:line="240" w:lineRule="auto"/>
        <w:jc w:val="both"/>
        <w:rPr>
          <w:rFonts w:ascii="Times New Roman" w:eastAsia="Times New Roman" w:hAnsi="Times New Roman" w:cs="Times New Roman"/>
          <w:b/>
          <w:sz w:val="16"/>
          <w:szCs w:val="16"/>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Artículo 56.-</w:t>
      </w:r>
      <w:r w:rsidRPr="001634B4">
        <w:rPr>
          <w:rFonts w:ascii="Times New Roman" w:eastAsia="Times New Roman" w:hAnsi="Times New Roman" w:cs="Times New Roman"/>
          <w:sz w:val="20"/>
          <w:szCs w:val="20"/>
          <w:lang w:val="es-ES" w:eastAsia="es-ES"/>
        </w:rPr>
        <w:t xml:space="preserve"> Están obligadas al pago de este impuesto, las personas físicas y jurídicas colectivas, que realicen pagos en efectivo, especie o servicio por concepto de remuneraciones al trabajo personal, prestado dentro del territorio del Estado, independientemente de la denominación que se les otorgue.</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kern w:val="2"/>
          <w:sz w:val="16"/>
          <w:szCs w:val="16"/>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Artículo 57.-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16"/>
          <w:szCs w:val="16"/>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 xml:space="preserve">Tratándose de personas físicas con hasta 4 trabajadores, el impuesto se pagará aplicando la cuota señalada en la siguiente tabla: </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tbl>
      <w:tblPr>
        <w:tblStyle w:val="Tablaconcuadrcula30"/>
        <w:tblW w:w="0" w:type="auto"/>
        <w:tblInd w:w="2093" w:type="dxa"/>
        <w:tblLook w:val="06A0" w:firstRow="1" w:lastRow="0" w:firstColumn="1" w:lastColumn="0" w:noHBand="1" w:noVBand="1"/>
      </w:tblPr>
      <w:tblGrid>
        <w:gridCol w:w="1913"/>
        <w:gridCol w:w="1914"/>
      </w:tblGrid>
      <w:tr w:rsidR="001634B4" w:rsidRPr="001634B4" w:rsidTr="001634B4">
        <w:trPr>
          <w:trHeight w:val="300"/>
        </w:trPr>
        <w:tc>
          <w:tcPr>
            <w:tcW w:w="1913" w:type="dxa"/>
            <w:tcBorders>
              <w:top w:val="single" w:sz="4" w:space="0" w:color="auto"/>
              <w:left w:val="single" w:sz="4" w:space="0" w:color="auto"/>
              <w:bottom w:val="single" w:sz="4" w:space="0" w:color="auto"/>
              <w:right w:val="single" w:sz="4" w:space="0" w:color="auto"/>
            </w:tcBorders>
            <w:hideMark/>
          </w:tcPr>
          <w:p w:rsidR="001634B4" w:rsidRPr="001634B4" w:rsidRDefault="001634B4" w:rsidP="001634B4">
            <w:pPr>
              <w:spacing w:line="240" w:lineRule="auto"/>
              <w:jc w:val="center"/>
              <w:rPr>
                <w:b/>
                <w:bCs/>
                <w:lang w:val="es-ES"/>
              </w:rPr>
            </w:pPr>
            <w:r w:rsidRPr="001634B4">
              <w:rPr>
                <w:b/>
                <w:bCs/>
                <w:lang w:val="es-ES" w:eastAsia="es-ES"/>
              </w:rPr>
              <w:t>Número de Trabajadores</w:t>
            </w:r>
          </w:p>
        </w:tc>
        <w:tc>
          <w:tcPr>
            <w:tcW w:w="1914" w:type="dxa"/>
            <w:tcBorders>
              <w:top w:val="single" w:sz="4" w:space="0" w:color="auto"/>
              <w:left w:val="single" w:sz="4" w:space="0" w:color="auto"/>
              <w:bottom w:val="single" w:sz="4" w:space="0" w:color="auto"/>
              <w:right w:val="single" w:sz="4" w:space="0" w:color="auto"/>
            </w:tcBorders>
            <w:hideMark/>
          </w:tcPr>
          <w:p w:rsidR="001634B4" w:rsidRPr="001634B4" w:rsidRDefault="001634B4" w:rsidP="001634B4">
            <w:pPr>
              <w:spacing w:line="240" w:lineRule="auto"/>
              <w:jc w:val="center"/>
              <w:rPr>
                <w:b/>
                <w:bCs/>
                <w:lang w:val="es-ES"/>
              </w:rPr>
            </w:pPr>
            <w:r w:rsidRPr="001634B4">
              <w:rPr>
                <w:b/>
                <w:bCs/>
                <w:lang w:val="es-ES" w:eastAsia="es-ES"/>
              </w:rPr>
              <w:t>Cuota aplicable por trabajador</w:t>
            </w:r>
          </w:p>
        </w:tc>
      </w:tr>
      <w:tr w:rsidR="001634B4" w:rsidRPr="001634B4" w:rsidTr="001634B4">
        <w:trPr>
          <w:trHeight w:val="300"/>
        </w:trPr>
        <w:tc>
          <w:tcPr>
            <w:tcW w:w="1913" w:type="dxa"/>
            <w:tcBorders>
              <w:top w:val="single" w:sz="4" w:space="0" w:color="auto"/>
              <w:left w:val="single" w:sz="4" w:space="0" w:color="auto"/>
              <w:bottom w:val="single" w:sz="4" w:space="0" w:color="auto"/>
              <w:right w:val="single" w:sz="4" w:space="0" w:color="auto"/>
            </w:tcBorders>
            <w:hideMark/>
          </w:tcPr>
          <w:p w:rsidR="001634B4" w:rsidRPr="001634B4" w:rsidRDefault="001634B4" w:rsidP="001634B4">
            <w:pPr>
              <w:spacing w:line="240" w:lineRule="auto"/>
              <w:jc w:val="center"/>
              <w:rPr>
                <w:bCs/>
                <w:lang w:val="es-ES"/>
              </w:rPr>
            </w:pPr>
            <w:r w:rsidRPr="001634B4">
              <w:rPr>
                <w:bCs/>
                <w:lang w:val="es-ES" w:eastAsia="es-ES"/>
              </w:rPr>
              <w:t>1 a 4</w:t>
            </w:r>
          </w:p>
        </w:tc>
        <w:tc>
          <w:tcPr>
            <w:tcW w:w="1914" w:type="dxa"/>
            <w:tcBorders>
              <w:top w:val="single" w:sz="4" w:space="0" w:color="auto"/>
              <w:left w:val="single" w:sz="4" w:space="0" w:color="auto"/>
              <w:bottom w:val="single" w:sz="4" w:space="0" w:color="auto"/>
              <w:right w:val="single" w:sz="4" w:space="0" w:color="auto"/>
            </w:tcBorders>
            <w:hideMark/>
          </w:tcPr>
          <w:p w:rsidR="001634B4" w:rsidRPr="001634B4" w:rsidRDefault="001634B4" w:rsidP="001634B4">
            <w:pPr>
              <w:spacing w:line="240" w:lineRule="auto"/>
              <w:jc w:val="center"/>
              <w:rPr>
                <w:bCs/>
                <w:lang w:val="es-ES"/>
              </w:rPr>
            </w:pPr>
            <w:r w:rsidRPr="001634B4">
              <w:rPr>
                <w:bCs/>
                <w:lang w:val="es-ES" w:eastAsia="es-ES"/>
              </w:rPr>
              <w:t>$250</w:t>
            </w:r>
          </w:p>
        </w:tc>
      </w:tr>
    </w:tbl>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Lo dispuesto en el párrafo anterior, será aplicable únicamente respecto de aquellos pagos por concepto de remuneraciones al trabajo personal realizados en el mes de calendario de que se trate y hasta por un equivalente a 1.5 salarios mínimos mensuales por cada trabajador.</w:t>
      </w:r>
    </w:p>
    <w:p w:rsidR="001634B4" w:rsidRPr="001634B4" w:rsidRDefault="001634B4" w:rsidP="001634B4">
      <w:pPr>
        <w:spacing w:after="0" w:line="240" w:lineRule="auto"/>
        <w:jc w:val="both"/>
        <w:rPr>
          <w:rFonts w:ascii="Times New Roman" w:eastAsia="Times New Roman" w:hAnsi="Times New Roman" w:cs="Times New Roman"/>
          <w:b/>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Artículo 62.-</w:t>
      </w:r>
      <w:r w:rsidRPr="001634B4">
        <w:rPr>
          <w:rFonts w:ascii="Times New Roman" w:eastAsia="Times New Roman" w:hAnsi="Times New Roman" w:cs="Times New Roman"/>
          <w:sz w:val="20"/>
          <w:szCs w:val="20"/>
          <w:lang w:val="es-ES" w:eastAsia="es-ES"/>
        </w:rPr>
        <w:t xml:space="preserve"> Están obligadas al pago de este impuesto, las personas físicas y jurídicas colectivas que adquieran vehículos automotores usados dentro del territorio del Estado, cuando no se cause </w:t>
      </w:r>
      <w:r w:rsidRPr="001634B4">
        <w:rPr>
          <w:rFonts w:ascii="Times New Roman" w:eastAsia="Times New Roman" w:hAnsi="Times New Roman" w:cs="Times New Roman"/>
          <w:bCs/>
          <w:sz w:val="20"/>
          <w:szCs w:val="20"/>
          <w:lang w:val="es-ES" w:eastAsia="es-ES"/>
        </w:rPr>
        <w:t xml:space="preserve">o esté exento </w:t>
      </w:r>
      <w:r w:rsidRPr="001634B4">
        <w:rPr>
          <w:rFonts w:ascii="Times New Roman" w:eastAsia="Times New Roman" w:hAnsi="Times New Roman" w:cs="Times New Roman"/>
          <w:sz w:val="20"/>
          <w:szCs w:val="20"/>
          <w:lang w:val="es-ES" w:eastAsia="es-ES"/>
        </w:rPr>
        <w:t xml:space="preserve">el Impuesto al Valor Agregado. </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Se considera que la adquisición se realizó en el Estado cuando la compra-venta se realizó en el territorio del Estado o el adquiriente deba llevar a cabo los trámites de cambio de propietario, ante las autoridades competentes del Estado de México.</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 xml:space="preserve">Se entiende por adquisición de vehículos automotores usados, la que derive de todo acto por el que se transmita la propiedad, incluyendo </w:t>
      </w:r>
      <w:r w:rsidRPr="001634B4">
        <w:rPr>
          <w:rFonts w:ascii="Times New Roman" w:eastAsia="Times New Roman" w:hAnsi="Times New Roman" w:cs="Times New Roman"/>
          <w:bCs/>
          <w:sz w:val="20"/>
          <w:szCs w:val="20"/>
          <w:lang w:val="es-ES" w:eastAsia="es-ES"/>
        </w:rPr>
        <w:t xml:space="preserve">la </w:t>
      </w:r>
      <w:r w:rsidRPr="001634B4">
        <w:rPr>
          <w:rFonts w:ascii="Times New Roman" w:eastAsia="Times New Roman" w:hAnsi="Times New Roman" w:cs="Times New Roman"/>
          <w:sz w:val="20"/>
          <w:szCs w:val="20"/>
          <w:lang w:val="es-ES" w:eastAsia="es-ES"/>
        </w:rPr>
        <w:t>donación, sucesión,</w:t>
      </w:r>
      <w:r w:rsidRPr="001634B4">
        <w:rPr>
          <w:rFonts w:ascii="Times New Roman" w:eastAsia="Times New Roman" w:hAnsi="Times New Roman" w:cs="Times New Roman"/>
          <w:bCs/>
          <w:sz w:val="20"/>
          <w:szCs w:val="20"/>
          <w:lang w:val="es-ES" w:eastAsia="es-ES"/>
        </w:rPr>
        <w:t xml:space="preserve"> dación en pago, adjudicación, aportación a sociedad, permuta, usucapión de bienes muebles y ventas judiciales.</w:t>
      </w:r>
      <w:r w:rsidRPr="001634B4">
        <w:rPr>
          <w:rFonts w:ascii="Times New Roman" w:eastAsia="Times New Roman" w:hAnsi="Times New Roman" w:cs="Times New Roman"/>
          <w:sz w:val="20"/>
          <w:szCs w:val="20"/>
          <w:lang w:val="es-ES" w:eastAsia="es-ES"/>
        </w:rPr>
        <w:t xml:space="preserve"> En las permutas se considerará que se efectúan dos adquisiciones.</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15"/>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sz w:val="20"/>
          <w:szCs w:val="20"/>
          <w:lang w:val="es-ES" w:eastAsia="es-ES"/>
        </w:rPr>
        <w:t xml:space="preserve">Están obligadas a retener y enterar el impuesto en términos de este </w:t>
      </w:r>
      <w:r w:rsidRPr="001634B4">
        <w:rPr>
          <w:rFonts w:ascii="Times New Roman" w:eastAsia="Times New Roman" w:hAnsi="Times New Roman" w:cs="Times New Roman"/>
          <w:bCs/>
          <w:sz w:val="20"/>
          <w:szCs w:val="20"/>
          <w:lang w:val="es-ES" w:eastAsia="es-ES"/>
        </w:rPr>
        <w:t xml:space="preserve">Código, las </w:t>
      </w:r>
      <w:r w:rsidRPr="001634B4">
        <w:rPr>
          <w:rFonts w:ascii="Times New Roman" w:eastAsia="Times New Roman" w:hAnsi="Times New Roman" w:cs="Times New Roman"/>
          <w:sz w:val="20"/>
          <w:szCs w:val="20"/>
          <w:lang w:val="es-ES" w:eastAsia="es-ES"/>
        </w:rPr>
        <w:t xml:space="preserve">personas físicas o jurídicas colectivas, que habitualmente se dediquen a la enajenación de vehículos objeto de este impuesto, incluyendo aquellos actos que tengan su origen en la intermediación o consignación vehicular, en términos de la normativa aplicable. </w:t>
      </w:r>
      <w:r w:rsidRPr="001634B4">
        <w:rPr>
          <w:rFonts w:ascii="Times New Roman" w:eastAsia="Times New Roman" w:hAnsi="Times New Roman" w:cs="Times New Roman"/>
          <w:bCs/>
          <w:sz w:val="20"/>
          <w:szCs w:val="20"/>
          <w:lang w:val="es-ES" w:eastAsia="es-ES"/>
        </w:rPr>
        <w:t xml:space="preserve">En este caso, deberán entregar la constancia de retención correspondiente a la persona física o jurídica colectiva que adquiera el vehículo, dentro de los primeros quince días del mes siguiente al en que se realice la adquisición, de </w:t>
      </w:r>
      <w:r w:rsidRPr="001634B4">
        <w:rPr>
          <w:rFonts w:ascii="Times New Roman" w:eastAsia="Times New Roman" w:hAnsi="Times New Roman" w:cs="Times New Roman"/>
          <w:bCs/>
          <w:kern w:val="2"/>
          <w:sz w:val="20"/>
          <w:szCs w:val="20"/>
          <w:lang w:val="es-ES" w:eastAsia="es-ES"/>
          <w14:ligatures w14:val="standardContextual"/>
        </w:rPr>
        <w:t>conformidad con lo previsto en las Reglas de Carácter General que emita y publique la Secretaría en el Periódico Oficial.</w:t>
      </w:r>
    </w:p>
    <w:p w:rsidR="001634B4" w:rsidRPr="001634B4" w:rsidRDefault="001634B4" w:rsidP="001634B4">
      <w:pPr>
        <w:spacing w:after="0" w:line="240" w:lineRule="auto"/>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Artículo 63.-</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182" w:hanging="182"/>
        <w:contextualSpacing/>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 </w:t>
      </w:r>
      <w:r w:rsidRPr="001634B4">
        <w:rPr>
          <w:rFonts w:ascii="Times New Roman" w:eastAsia="Times New Roman" w:hAnsi="Times New Roman" w:cs="Times New Roman"/>
          <w:sz w:val="20"/>
          <w:szCs w:val="20"/>
          <w:lang w:val="es-ES" w:eastAsia="es-ES"/>
        </w:rPr>
        <w:t xml:space="preserve">Tratándose de automóviles cuyo año modelo sea de hasta diez años de antigüedad, con respecto al ejercicio fiscal que corresponda </w:t>
      </w:r>
      <w:r w:rsidRPr="001634B4">
        <w:rPr>
          <w:rFonts w:ascii="Times New Roman" w:eastAsia="Times New Roman" w:hAnsi="Times New Roman" w:cs="Times New Roman"/>
          <w:bCs/>
          <w:sz w:val="20"/>
          <w:szCs w:val="20"/>
          <w:lang w:val="es-ES" w:eastAsia="es-ES"/>
        </w:rPr>
        <w:t>al año de adquisición</w:t>
      </w:r>
      <w:r w:rsidRPr="001634B4">
        <w:rPr>
          <w:rFonts w:ascii="Times New Roman" w:eastAsia="Times New Roman" w:hAnsi="Times New Roman" w:cs="Times New Roman"/>
          <w:sz w:val="20"/>
          <w:szCs w:val="20"/>
          <w:lang w:val="es-ES" w:eastAsia="es-ES"/>
        </w:rPr>
        <w:t xml:space="preserve">, se calculará de acuerdo con lo siguiente: </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A)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8"/>
          <w:szCs w:val="18"/>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73"/>
        <w:gridCol w:w="1707"/>
      </w:tblGrid>
      <w:tr w:rsidR="001634B4" w:rsidRPr="001634B4" w:rsidTr="001634B4">
        <w:trPr>
          <w:trHeight w:val="20"/>
          <w:jc w:val="center"/>
        </w:trPr>
        <w:tc>
          <w:tcPr>
            <w:tcW w:w="1673" w:type="dxa"/>
            <w:tcBorders>
              <w:top w:val="single" w:sz="4" w:space="0" w:color="auto"/>
            </w:tcBorders>
          </w:tcPr>
          <w:p w:rsidR="001634B4" w:rsidRPr="001634B4" w:rsidRDefault="001634B4" w:rsidP="001634B4">
            <w:pPr>
              <w:spacing w:after="0" w:line="240" w:lineRule="auto"/>
              <w:jc w:val="center"/>
              <w:rPr>
                <w:rFonts w:ascii="Times New Roman" w:eastAsia="Times New Roman" w:hAnsi="Times New Roman" w:cs="Times New Roman"/>
                <w:b/>
                <w:color w:val="000000"/>
                <w:sz w:val="20"/>
                <w:szCs w:val="20"/>
                <w:lang w:val="es-ES" w:eastAsia="es-MX"/>
              </w:rPr>
            </w:pPr>
            <w:r w:rsidRPr="001634B4">
              <w:rPr>
                <w:rFonts w:ascii="Times New Roman" w:eastAsia="Times New Roman" w:hAnsi="Times New Roman" w:cs="Times New Roman"/>
                <w:b/>
                <w:sz w:val="20"/>
                <w:szCs w:val="20"/>
                <w:lang w:val="es-ES" w:eastAsia="es-ES"/>
              </w:rPr>
              <w:t>AÑOS DE ANTIGÜEDAD</w:t>
            </w:r>
          </w:p>
        </w:tc>
        <w:tc>
          <w:tcPr>
            <w:tcW w:w="1629" w:type="dxa"/>
            <w:noWrap/>
          </w:tcPr>
          <w:p w:rsidR="001634B4" w:rsidRPr="001634B4" w:rsidRDefault="001634B4" w:rsidP="001634B4">
            <w:pPr>
              <w:spacing w:after="0" w:line="240" w:lineRule="auto"/>
              <w:jc w:val="center"/>
              <w:rPr>
                <w:rFonts w:ascii="Times New Roman" w:eastAsia="Times New Roman" w:hAnsi="Times New Roman" w:cs="Times New Roman"/>
                <w:b/>
                <w:color w:val="000000"/>
                <w:sz w:val="20"/>
                <w:szCs w:val="20"/>
                <w:lang w:val="es-ES" w:eastAsia="es-MX"/>
              </w:rPr>
            </w:pPr>
            <w:r w:rsidRPr="001634B4">
              <w:rPr>
                <w:rFonts w:ascii="Times New Roman" w:eastAsia="Times New Roman" w:hAnsi="Times New Roman" w:cs="Times New Roman"/>
                <w:b/>
                <w:sz w:val="20"/>
                <w:szCs w:val="20"/>
                <w:lang w:val="es-ES" w:eastAsia="es-ES"/>
              </w:rPr>
              <w:t>FACTOR DE DEPRECIACIÓN</w:t>
            </w:r>
          </w:p>
        </w:tc>
      </w:tr>
      <w:tr w:rsidR="001634B4" w:rsidRPr="001634B4" w:rsidTr="001634B4">
        <w:trPr>
          <w:trHeight w:val="20"/>
          <w:jc w:val="center"/>
        </w:trPr>
        <w:tc>
          <w:tcPr>
            <w:tcW w:w="1673" w:type="dxa"/>
            <w:tcBorders>
              <w:top w:val="single" w:sz="4" w:space="0" w:color="auto"/>
            </w:tcBorders>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0</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 xml:space="preserve">1.000     </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1</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0.975</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2</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0.875</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3</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0.750</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4</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0.625</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5</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0.525</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6</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0.425</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7</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0.325</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8</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0.250</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9</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0.175</w:t>
            </w:r>
          </w:p>
        </w:tc>
      </w:tr>
      <w:tr w:rsidR="001634B4" w:rsidRPr="001634B4" w:rsidTr="001634B4">
        <w:trPr>
          <w:trHeight w:val="20"/>
          <w:jc w:val="center"/>
        </w:trPr>
        <w:tc>
          <w:tcPr>
            <w:tcW w:w="1673"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color w:val="000000"/>
                <w:sz w:val="20"/>
                <w:szCs w:val="20"/>
                <w:lang w:val="es-ES" w:eastAsia="es-MX"/>
              </w:rPr>
            </w:pPr>
            <w:r w:rsidRPr="001634B4">
              <w:rPr>
                <w:rFonts w:ascii="Times New Roman" w:eastAsia="Times New Roman" w:hAnsi="Times New Roman" w:cs="Times New Roman"/>
                <w:color w:val="000000"/>
                <w:sz w:val="20"/>
                <w:szCs w:val="20"/>
                <w:lang w:val="es-ES" w:eastAsia="es-MX"/>
              </w:rPr>
              <w:t>10</w:t>
            </w:r>
          </w:p>
        </w:tc>
        <w:tc>
          <w:tcPr>
            <w:tcW w:w="1629" w:type="dxa"/>
            <w:noWrap/>
            <w:vAlign w:val="center"/>
            <w:hideMark/>
          </w:tcPr>
          <w:p w:rsidR="001634B4" w:rsidRPr="001634B4" w:rsidRDefault="001634B4" w:rsidP="001634B4">
            <w:pPr>
              <w:spacing w:after="0" w:line="240" w:lineRule="auto"/>
              <w:jc w:val="center"/>
              <w:rPr>
                <w:rFonts w:ascii="Times New Roman" w:eastAsia="Times New Roman" w:hAnsi="Times New Roman" w:cs="Times New Roman"/>
                <w:bCs/>
                <w:color w:val="000000"/>
                <w:sz w:val="20"/>
                <w:szCs w:val="20"/>
                <w:lang w:val="es-ES" w:eastAsia="es-MX"/>
              </w:rPr>
            </w:pPr>
            <w:r w:rsidRPr="001634B4">
              <w:rPr>
                <w:rFonts w:ascii="Times New Roman" w:eastAsia="Times New Roman" w:hAnsi="Times New Roman" w:cs="Times New Roman"/>
                <w:bCs/>
                <w:color w:val="000000"/>
                <w:sz w:val="20"/>
                <w:szCs w:val="20"/>
                <w:lang w:val="es-ES" w:eastAsia="es-MX"/>
              </w:rPr>
              <w:t>0.100</w:t>
            </w:r>
          </w:p>
        </w:tc>
      </w:tr>
    </w:tbl>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firstLine="168"/>
        <w:contextualSpacing/>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B)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C)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ind w:left="238" w:hanging="238"/>
        <w:contextualSpacing/>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lastRenderedPageBreak/>
        <w:t xml:space="preserve">II. </w:t>
      </w:r>
      <w:r w:rsidRPr="001634B4">
        <w:rPr>
          <w:rFonts w:ascii="Times New Roman" w:eastAsia="Times New Roman" w:hAnsi="Times New Roman" w:cs="Times New Roman"/>
          <w:sz w:val="20"/>
          <w:szCs w:val="20"/>
          <w:lang w:val="es-ES" w:eastAsia="es-ES"/>
        </w:rPr>
        <w:t xml:space="preserve">En el caso de vehículos cuyo año modelo sea de más de diez años de antigüedad, con respecto al ejercicio fiscal que corresponda </w:t>
      </w:r>
      <w:r w:rsidRPr="001634B4">
        <w:rPr>
          <w:rFonts w:ascii="Times New Roman" w:eastAsia="Times New Roman" w:hAnsi="Times New Roman" w:cs="Times New Roman"/>
          <w:bCs/>
          <w:sz w:val="20"/>
          <w:szCs w:val="20"/>
          <w:lang w:val="es-ES" w:eastAsia="es-ES"/>
        </w:rPr>
        <w:t>al año de adquisición</w:t>
      </w:r>
      <w:r w:rsidRPr="001634B4">
        <w:rPr>
          <w:rFonts w:ascii="Times New Roman" w:eastAsia="Times New Roman" w:hAnsi="Times New Roman" w:cs="Times New Roman"/>
          <w:sz w:val="20"/>
          <w:szCs w:val="20"/>
          <w:lang w:val="es-ES" w:eastAsia="es-ES"/>
        </w:rPr>
        <w:t>, se calculará de acuerdo con el número de cilindros del motor conforme a lo siguiente:</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1002"/>
      </w:tblGrid>
      <w:tr w:rsidR="001634B4" w:rsidRPr="001634B4" w:rsidTr="001634B4">
        <w:trPr>
          <w:trHeight w:val="188"/>
          <w:jc w:val="center"/>
        </w:trPr>
        <w:tc>
          <w:tcPr>
            <w:tcW w:w="1727" w:type="dxa"/>
            <w:vAlign w:val="center"/>
          </w:tcPr>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bCs/>
                <w:sz w:val="20"/>
                <w:szCs w:val="20"/>
                <w:lang w:val="es-ES" w:eastAsia="es-ES"/>
              </w:rPr>
              <w:t>LÍMITE</w:t>
            </w:r>
            <w:r w:rsidRPr="001634B4">
              <w:rPr>
                <w:rFonts w:ascii="Times New Roman" w:eastAsia="Times New Roman" w:hAnsi="Times New Roman" w:cs="Times New Roman"/>
                <w:b/>
                <w:sz w:val="20"/>
                <w:szCs w:val="20"/>
                <w:lang w:val="es-ES" w:eastAsia="es-ES"/>
              </w:rPr>
              <w:t xml:space="preserve"> CILINDRAJE</w:t>
            </w:r>
          </w:p>
        </w:tc>
        <w:tc>
          <w:tcPr>
            <w:tcW w:w="1002" w:type="dxa"/>
            <w:vAlign w:val="center"/>
          </w:tcPr>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TARIFA</w:t>
            </w:r>
          </w:p>
        </w:tc>
      </w:tr>
      <w:tr w:rsidR="001634B4" w:rsidRPr="001634B4" w:rsidTr="001634B4">
        <w:trPr>
          <w:trHeight w:val="121"/>
          <w:jc w:val="center"/>
        </w:trPr>
        <w:tc>
          <w:tcPr>
            <w:tcW w:w="1727" w:type="dxa"/>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Hasta 4</w:t>
            </w:r>
          </w:p>
        </w:tc>
        <w:tc>
          <w:tcPr>
            <w:tcW w:w="1002" w:type="dxa"/>
            <w:vAlign w:val="center"/>
          </w:tcPr>
          <w:p w:rsidR="001634B4" w:rsidRPr="001634B4" w:rsidRDefault="001634B4" w:rsidP="001634B4">
            <w:pPr>
              <w:spacing w:after="0" w:line="240" w:lineRule="auto"/>
              <w:jc w:val="center"/>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$506</w:t>
            </w:r>
          </w:p>
        </w:tc>
      </w:tr>
      <w:tr w:rsidR="001634B4" w:rsidRPr="001634B4" w:rsidTr="001634B4">
        <w:trPr>
          <w:trHeight w:val="127"/>
          <w:jc w:val="center"/>
        </w:trPr>
        <w:tc>
          <w:tcPr>
            <w:tcW w:w="1727" w:type="dxa"/>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De 5 a 6</w:t>
            </w:r>
          </w:p>
        </w:tc>
        <w:tc>
          <w:tcPr>
            <w:tcW w:w="1002" w:type="dxa"/>
            <w:vAlign w:val="center"/>
          </w:tcPr>
          <w:p w:rsidR="001634B4" w:rsidRPr="001634B4" w:rsidRDefault="001634B4" w:rsidP="001634B4">
            <w:pPr>
              <w:spacing w:after="0" w:line="240" w:lineRule="auto"/>
              <w:jc w:val="center"/>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$729</w:t>
            </w:r>
          </w:p>
        </w:tc>
      </w:tr>
      <w:tr w:rsidR="001634B4" w:rsidRPr="001634B4" w:rsidTr="001634B4">
        <w:trPr>
          <w:trHeight w:val="99"/>
          <w:jc w:val="center"/>
        </w:trPr>
        <w:tc>
          <w:tcPr>
            <w:tcW w:w="1727" w:type="dxa"/>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De más de 6</w:t>
            </w:r>
          </w:p>
        </w:tc>
        <w:tc>
          <w:tcPr>
            <w:tcW w:w="1002" w:type="dxa"/>
            <w:vAlign w:val="center"/>
          </w:tcPr>
          <w:p w:rsidR="001634B4" w:rsidRPr="001634B4" w:rsidRDefault="001634B4" w:rsidP="001634B4">
            <w:pPr>
              <w:spacing w:after="0" w:line="240" w:lineRule="auto"/>
              <w:jc w:val="center"/>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$889</w:t>
            </w:r>
          </w:p>
        </w:tc>
      </w:tr>
    </w:tbl>
    <w:p w:rsidR="001634B4" w:rsidRPr="001634B4" w:rsidRDefault="001634B4" w:rsidP="001634B4">
      <w:pPr>
        <w:spacing w:after="0" w:line="240" w:lineRule="auto"/>
        <w:jc w:val="both"/>
        <w:rPr>
          <w:rFonts w:ascii="Times New Roman" w:eastAsia="Times New Roman" w:hAnsi="Times New Roman" w:cs="Times New Roman"/>
          <w:b/>
          <w:kern w:val="2"/>
          <w:sz w:val="16"/>
          <w:szCs w:val="16"/>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Artículo 64.-</w:t>
      </w:r>
      <w:r w:rsidRPr="001634B4">
        <w:rPr>
          <w:rFonts w:ascii="Times New Roman" w:eastAsia="Times New Roman" w:hAnsi="Times New Roman" w:cs="Times New Roman"/>
          <w:sz w:val="20"/>
          <w:szCs w:val="20"/>
          <w:lang w:val="es-ES" w:eastAsia="es-ES"/>
        </w:rPr>
        <w:t xml:space="preserve"> El impuesto debe pagarse dentro de los quince días siguientes </w:t>
      </w:r>
      <w:r w:rsidRPr="001634B4">
        <w:rPr>
          <w:rFonts w:ascii="Times New Roman" w:eastAsia="Times New Roman" w:hAnsi="Times New Roman" w:cs="Times New Roman"/>
          <w:bCs/>
          <w:sz w:val="20"/>
          <w:szCs w:val="20"/>
          <w:lang w:val="es-ES" w:eastAsia="es-ES"/>
        </w:rPr>
        <w:t>a la fecha</w:t>
      </w:r>
      <w:r w:rsidRPr="001634B4">
        <w:rPr>
          <w:rFonts w:ascii="Times New Roman" w:eastAsia="Times New Roman" w:hAnsi="Times New Roman" w:cs="Times New Roman"/>
          <w:b/>
          <w:bCs/>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de adquisición del vehículo, junto con los derechos </w:t>
      </w:r>
      <w:r w:rsidRPr="001634B4">
        <w:rPr>
          <w:rFonts w:ascii="Times New Roman" w:eastAsia="Times New Roman" w:hAnsi="Times New Roman" w:cs="Times New Roman"/>
          <w:bCs/>
          <w:sz w:val="20"/>
          <w:szCs w:val="20"/>
          <w:lang w:val="es-ES" w:eastAsia="es-ES"/>
        </w:rPr>
        <w:t>por el cambio de propietario.</w:t>
      </w:r>
    </w:p>
    <w:p w:rsidR="001634B4" w:rsidRPr="001634B4" w:rsidRDefault="001634B4" w:rsidP="001634B4">
      <w:pPr>
        <w:spacing w:after="0" w:line="240" w:lineRule="auto"/>
        <w:jc w:val="both"/>
        <w:rPr>
          <w:rFonts w:ascii="Times New Roman" w:eastAsia="Times New Roman" w:hAnsi="Times New Roman" w:cs="Times New Roman"/>
          <w:b/>
          <w:bCs/>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Tratándose de motocicletas, motonetas, trimotos y cuadrimotos, el impuesto debe pagarse dentro de los quince días siguientes, contados a partir de la fecha de adquisición.</w:t>
      </w:r>
    </w:p>
    <w:p w:rsidR="001634B4" w:rsidRPr="001634B4" w:rsidRDefault="001634B4" w:rsidP="001634B4">
      <w:pPr>
        <w:spacing w:after="0" w:line="240" w:lineRule="auto"/>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sz w:val="20"/>
          <w:szCs w:val="20"/>
          <w:lang w:val="es-ES" w:eastAsia="es-ES"/>
        </w:rPr>
        <w:t xml:space="preserve">Tratándose de las personas físicas o jurídicas colectivas, obligadas a retener el impuesto, deberán enterarlo mediante declaración en la forma oficial aprobada, la cual deberá presentarse a más tardar el día diez del mes siguiente a aquél en que se causó el impuesto, respecto de la totalidad de actos objeto del impuesto, realizados durante el mes que se declare. La declaración deberá cumplir con los requisitos establecidos mediante </w:t>
      </w:r>
      <w:r w:rsidRPr="001634B4">
        <w:rPr>
          <w:rFonts w:ascii="Times New Roman" w:eastAsia="Times New Roman" w:hAnsi="Times New Roman" w:cs="Times New Roman"/>
          <w:bCs/>
          <w:kern w:val="2"/>
          <w:sz w:val="20"/>
          <w:szCs w:val="20"/>
          <w:lang w:val="es-ES" w:eastAsia="es-ES"/>
          <w14:ligatures w14:val="standardContextual"/>
        </w:rPr>
        <w:t>las Reglas de Carácter General que emita y publique la Secretaría en el Periódico Oficial.</w:t>
      </w:r>
    </w:p>
    <w:p w:rsidR="001634B4" w:rsidRPr="001634B4" w:rsidRDefault="001634B4" w:rsidP="001634B4">
      <w:pPr>
        <w:spacing w:after="0" w:line="240" w:lineRule="auto"/>
        <w:jc w:val="both"/>
        <w:rPr>
          <w:rFonts w:ascii="Times New Roman" w:eastAsia="Times New Roman" w:hAnsi="Times New Roman" w:cs="Times New Roman"/>
          <w:b/>
          <w:sz w:val="16"/>
          <w:szCs w:val="16"/>
          <w:lang w:val="es-ES" w:eastAsia="es-ES"/>
        </w:rPr>
      </w:pPr>
    </w:p>
    <w:p w:rsidR="001634B4" w:rsidRPr="001634B4" w:rsidRDefault="001634B4" w:rsidP="001634B4">
      <w:pPr>
        <w:spacing w:after="0" w:line="240" w:lineRule="auto"/>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 xml:space="preserve">Artículo 64 Bis.- </w:t>
      </w:r>
      <w:r w:rsidRPr="001634B4">
        <w:rPr>
          <w:rFonts w:ascii="Times New Roman" w:eastAsia="Times New Roman" w:hAnsi="Times New Roman" w:cs="Times New Roman"/>
          <w:bCs/>
          <w:sz w:val="20"/>
          <w:szCs w:val="20"/>
          <w:lang w:val="es-ES" w:eastAsia="es-ES"/>
        </w:rPr>
        <w:t>Derogado.</w:t>
      </w:r>
    </w:p>
    <w:p w:rsidR="001634B4" w:rsidRPr="001634B4" w:rsidRDefault="001634B4" w:rsidP="001634B4">
      <w:pPr>
        <w:spacing w:after="0" w:line="240" w:lineRule="auto"/>
        <w:jc w:val="both"/>
        <w:rPr>
          <w:rFonts w:ascii="Times New Roman" w:eastAsia="Times New Roman" w:hAnsi="Times New Roman" w:cs="Times New Roman"/>
          <w:b/>
          <w:kern w:val="2"/>
          <w:sz w:val="16"/>
          <w:szCs w:val="16"/>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69 U.-</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 xml:space="preserve">Están obligados a retener y enterar este impuesto, los Sitios de disposición final de residuos sólidos urbanos y/o de manejo especial, Rellenos sanitarios, Centros Integrales de Residuos o Centros Integrales de Residuos de la Construcción y Demolición, todos estos autorizados o no autorizados, ubicados en la Entidad, que respecto de generadores de residuos no residentes en el Estado, reciban, ya sea de manera directa o a través de intermediarios, residuos para su disposición, confinamiento o almacenamiento, en sus diferentes modalidades. </w:t>
      </w:r>
    </w:p>
    <w:p w:rsidR="001634B4" w:rsidRPr="001634B4" w:rsidRDefault="001634B4" w:rsidP="001634B4">
      <w:pPr>
        <w:spacing w:after="0" w:line="240" w:lineRule="auto"/>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La retención del impuesto, se efectuará al momento de que los Sitios  de disposición final de residuos sólidos urbanos y/o de manejo especial, Rellenos sanitarios, Centros Integrales de Residuos o Centros Integrales de Residuos de la Construcción y Demolición, reciban dichos residuos. Dicha retención se plasmará de forma expresa y por separado en el comprobante correspondiente. El comprobante que se emita para tal efecto, se asimilará a una constancia de retención.</w:t>
      </w:r>
    </w:p>
    <w:p w:rsidR="001634B4" w:rsidRPr="001634B4" w:rsidRDefault="001634B4" w:rsidP="001634B4">
      <w:pPr>
        <w:spacing w:after="0" w:line="240" w:lineRule="auto"/>
        <w:jc w:val="both"/>
        <w:rPr>
          <w:rFonts w:ascii="Times New Roman" w:eastAsia="Times New Roman" w:hAnsi="Times New Roman" w:cs="Times New Roman"/>
          <w:b/>
          <w:sz w:val="16"/>
          <w:szCs w:val="16"/>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69 U Ter.-</w:t>
      </w:r>
      <w:r w:rsidRPr="001634B4">
        <w:rPr>
          <w:rFonts w:ascii="Times New Roman" w:eastAsia="Times New Roman" w:hAnsi="Times New Roman" w:cs="Times New Roman"/>
          <w:sz w:val="20"/>
          <w:szCs w:val="20"/>
          <w:lang w:val="es-ES" w:eastAsia="es-ES"/>
        </w:rPr>
        <w:t xml:space="preserve"> El pago del impuesto se determinará considerando la cantidad en tonelada de residuos dispuestos, confinados o almacenados durante un mes de calendario o fracción del mismo en Sitios de disposición final de residuos sólidos urbanos y/o de manejo especial, Rellenos sanitarios, Centros Integrales de Residuos o Centros Integrales de Residuos de la Construcción y Demolición, todos estos autorizados o no autorizados, situados en el Estado.</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b/>
          <w:bCs/>
          <w:sz w:val="20"/>
          <w:szCs w:val="20"/>
          <w:lang w:eastAsia="es-MX"/>
        </w:rPr>
        <w:t xml:space="preserve">Artículo 69 U Quinquies.- </w:t>
      </w:r>
      <w:r w:rsidRPr="001634B4">
        <w:rPr>
          <w:rFonts w:ascii="Times New Roman" w:eastAsia="Times New Roman" w:hAnsi="Times New Roman" w:cs="Times New Roman"/>
          <w:sz w:val="20"/>
          <w:szCs w:val="20"/>
          <w:lang w:eastAsia="es-MX"/>
        </w:rPr>
        <w:t xml:space="preserve">Este impuesto se pagará </w:t>
      </w:r>
      <w:r w:rsidRPr="001634B4">
        <w:rPr>
          <w:rFonts w:ascii="Times New Roman" w:eastAsia="Times New Roman" w:hAnsi="Times New Roman" w:cs="Times New Roman"/>
          <w:bCs/>
          <w:sz w:val="20"/>
          <w:szCs w:val="20"/>
          <w:lang w:eastAsia="es-MX"/>
        </w:rPr>
        <w:t>o enterará</w:t>
      </w:r>
      <w:r w:rsidRPr="001634B4">
        <w:rPr>
          <w:rFonts w:ascii="Times New Roman" w:eastAsia="Times New Roman" w:hAnsi="Times New Roman" w:cs="Times New Roman"/>
          <w:sz w:val="20"/>
          <w:szCs w:val="20"/>
          <w:lang w:eastAsia="es-MX"/>
        </w:rPr>
        <w:t xml:space="preserve"> mediante declaraciones mensuales, a través de la forma oficial aprobada por la autoridad fiscal, a más tardar el día diez del mes siguiente a aquél en el que se causó el impuesto, de </w:t>
      </w:r>
      <w:r w:rsidRPr="001634B4">
        <w:rPr>
          <w:rFonts w:ascii="Times New Roman" w:eastAsia="Times New Roman" w:hAnsi="Times New Roman" w:cs="Times New Roman"/>
          <w:bCs/>
          <w:kern w:val="2"/>
          <w:sz w:val="20"/>
          <w:szCs w:val="20"/>
          <w:lang w:val="es-ES" w:eastAsia="es-ES"/>
          <w14:ligatures w14:val="standardContextual"/>
        </w:rPr>
        <w:t>conformidad con lo previsto en las Reglas de Carácter General que emita y publique la Secretaría en el Periódico Oficial.</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MX"/>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bCs/>
          <w:kern w:val="2"/>
          <w:sz w:val="20"/>
          <w:szCs w:val="20"/>
          <w:lang w:val="es-ES" w:eastAsia="es-ES"/>
          <w14:ligatures w14:val="standardContextual"/>
        </w:rPr>
        <w:t xml:space="preserve">Artículo 69 U Sexies.- </w:t>
      </w:r>
      <w:r w:rsidRPr="001634B4">
        <w:rPr>
          <w:rFonts w:ascii="Times New Roman" w:eastAsia="Times New Roman" w:hAnsi="Times New Roman" w:cs="Times New Roman"/>
          <w:kern w:val="2"/>
          <w:sz w:val="20"/>
          <w:szCs w:val="20"/>
          <w:lang w:val="es-ES" w:eastAsia="es-ES"/>
          <w14:ligatures w14:val="standardContextual"/>
        </w:rPr>
        <w:t>Los</w:t>
      </w:r>
      <w:r w:rsidRPr="001634B4">
        <w:rPr>
          <w:rFonts w:ascii="Times New Roman" w:eastAsia="Times New Roman" w:hAnsi="Times New Roman" w:cs="Times New Roman"/>
          <w:b/>
          <w:bCs/>
          <w:kern w:val="2"/>
          <w:sz w:val="20"/>
          <w:szCs w:val="20"/>
          <w:lang w:val="es-ES" w:eastAsia="es-ES"/>
          <w14:ligatures w14:val="standardContextual"/>
        </w:rPr>
        <w:t xml:space="preserve"> </w:t>
      </w:r>
      <w:r w:rsidRPr="001634B4">
        <w:rPr>
          <w:rFonts w:ascii="Times New Roman" w:eastAsia="Times New Roman" w:hAnsi="Times New Roman" w:cs="Times New Roman"/>
          <w:bCs/>
          <w:kern w:val="2"/>
          <w:sz w:val="20"/>
          <w:szCs w:val="20"/>
          <w:lang w:val="es-ES" w:eastAsia="es-ES"/>
          <w14:ligatures w14:val="standardContextual"/>
        </w:rPr>
        <w:t>generadores</w:t>
      </w:r>
      <w:r w:rsidRPr="001634B4">
        <w:rPr>
          <w:rFonts w:ascii="Times New Roman" w:eastAsia="Times New Roman" w:hAnsi="Times New Roman" w:cs="Times New Roman"/>
          <w:b/>
          <w:bCs/>
          <w:kern w:val="2"/>
          <w:sz w:val="20"/>
          <w:szCs w:val="20"/>
          <w:lang w:val="es-ES" w:eastAsia="es-ES"/>
          <w14:ligatures w14:val="standardContextual"/>
        </w:rPr>
        <w:t xml:space="preserve"> </w:t>
      </w:r>
      <w:r w:rsidRPr="001634B4">
        <w:rPr>
          <w:rFonts w:ascii="Times New Roman" w:eastAsia="Times New Roman" w:hAnsi="Times New Roman" w:cs="Times New Roman"/>
          <w:kern w:val="2"/>
          <w:sz w:val="20"/>
          <w:szCs w:val="20"/>
          <w:lang w:val="es-ES" w:eastAsia="es-ES"/>
          <w14:ligatures w14:val="standardContextual"/>
        </w:rPr>
        <w:t>de</w:t>
      </w:r>
      <w:r w:rsidRPr="001634B4">
        <w:rPr>
          <w:rFonts w:ascii="Times New Roman" w:eastAsia="Times New Roman" w:hAnsi="Times New Roman" w:cs="Times New Roman"/>
          <w:b/>
          <w:bCs/>
          <w:kern w:val="2"/>
          <w:sz w:val="20"/>
          <w:szCs w:val="20"/>
          <w:lang w:val="es-ES" w:eastAsia="es-ES"/>
          <w14:ligatures w14:val="standardContextual"/>
        </w:rPr>
        <w:t xml:space="preserve"> </w:t>
      </w:r>
      <w:r w:rsidRPr="001634B4">
        <w:rPr>
          <w:rFonts w:ascii="Times New Roman" w:eastAsia="Times New Roman" w:hAnsi="Times New Roman" w:cs="Times New Roman"/>
          <w:kern w:val="2"/>
          <w:sz w:val="20"/>
          <w:szCs w:val="20"/>
          <w:lang w:val="es-ES" w:eastAsia="es-ES"/>
          <w14:ligatures w14:val="standardContextual"/>
        </w:rPr>
        <w:t>residuos objeto de este impuesto, además de las obligaciones establecidas en este Código y en las demás disposiciones fiscales aplicables, tendrán las siguientes:</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ind w:left="588" w:hanging="280"/>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b/>
          <w:bCs/>
          <w:kern w:val="2"/>
          <w:sz w:val="20"/>
          <w:szCs w:val="20"/>
          <w:lang w:val="es-ES" w:eastAsia="es-ES"/>
          <w14:ligatures w14:val="standardContextual"/>
        </w:rPr>
        <w:lastRenderedPageBreak/>
        <w:t xml:space="preserve">a) </w:t>
      </w:r>
      <w:r w:rsidRPr="001634B4">
        <w:rPr>
          <w:rFonts w:ascii="Times New Roman" w:eastAsia="Times New Roman" w:hAnsi="Times New Roman" w:cs="Times New Roman"/>
          <w:kern w:val="2"/>
          <w:sz w:val="20"/>
          <w:szCs w:val="20"/>
          <w:lang w:val="es-ES" w:eastAsia="es-ES"/>
          <w14:ligatures w14:val="standardContextual"/>
        </w:rPr>
        <w:t xml:space="preserve">Presentar el comprobante del registro respectivo, </w:t>
      </w:r>
      <w:r w:rsidRPr="001634B4">
        <w:rPr>
          <w:rFonts w:ascii="Times New Roman" w:eastAsia="Times New Roman" w:hAnsi="Times New Roman" w:cs="Times New Roman"/>
          <w:bCs/>
          <w:kern w:val="2"/>
          <w:sz w:val="20"/>
          <w:szCs w:val="20"/>
          <w:lang w:val="es-ES" w:eastAsia="es-ES"/>
          <w14:ligatures w14:val="standardContextual"/>
        </w:rPr>
        <w:t>como generador de residuos</w:t>
      </w:r>
      <w:r w:rsidRPr="001634B4">
        <w:rPr>
          <w:rFonts w:ascii="Times New Roman" w:eastAsia="Times New Roman" w:hAnsi="Times New Roman" w:cs="Times New Roman"/>
          <w:kern w:val="2"/>
          <w:sz w:val="20"/>
          <w:szCs w:val="20"/>
          <w:lang w:val="es-ES" w:eastAsia="es-ES"/>
          <w14:ligatures w14:val="standardContextual"/>
        </w:rPr>
        <w:t xml:space="preserve"> ante la autoridad </w:t>
      </w:r>
      <w:r w:rsidRPr="001634B4">
        <w:rPr>
          <w:rFonts w:ascii="Times New Roman" w:eastAsia="Times New Roman" w:hAnsi="Times New Roman" w:cs="Times New Roman"/>
          <w:bCs/>
          <w:kern w:val="2"/>
          <w:sz w:val="20"/>
          <w:szCs w:val="20"/>
          <w:lang w:val="es-ES" w:eastAsia="es-ES"/>
          <w14:ligatures w14:val="standardContextual"/>
        </w:rPr>
        <w:t>fiscal, cuando lo requiera, y</w:t>
      </w:r>
    </w:p>
    <w:p w:rsidR="001634B4" w:rsidRPr="001634B4" w:rsidRDefault="001634B4" w:rsidP="001634B4">
      <w:pPr>
        <w:spacing w:after="0" w:line="240" w:lineRule="auto"/>
        <w:jc w:val="both"/>
        <w:rPr>
          <w:rFonts w:ascii="Times New Roman" w:eastAsia="Times New Roman" w:hAnsi="Times New Roman" w:cs="Times New Roman"/>
          <w:bCs/>
          <w:kern w:val="2"/>
          <w:sz w:val="20"/>
          <w:szCs w:val="20"/>
          <w:lang w:val="es-ES" w:eastAsia="es-ES"/>
          <w14:ligatures w14:val="standardContextual"/>
        </w:rPr>
      </w:pPr>
    </w:p>
    <w:p w:rsidR="001634B4" w:rsidRPr="001634B4" w:rsidRDefault="001634B4" w:rsidP="001634B4">
      <w:pPr>
        <w:spacing w:after="0" w:line="240" w:lineRule="auto"/>
        <w:ind w:left="308" w:firstLine="14"/>
        <w:jc w:val="both"/>
        <w:rPr>
          <w:rFonts w:ascii="Times New Roman" w:eastAsia="Times New Roman" w:hAnsi="Times New Roman" w:cs="Times New Roman"/>
          <w:bCs/>
          <w:kern w:val="2"/>
          <w:sz w:val="20"/>
          <w:szCs w:val="20"/>
          <w:lang w:val="es-ES" w:eastAsia="es-ES"/>
          <w14:ligatures w14:val="standardContextual"/>
        </w:rPr>
      </w:pPr>
      <w:r w:rsidRPr="001634B4">
        <w:rPr>
          <w:rFonts w:ascii="Times New Roman" w:eastAsia="Times New Roman" w:hAnsi="Times New Roman" w:cs="Times New Roman"/>
          <w:b/>
          <w:bCs/>
          <w:kern w:val="2"/>
          <w:sz w:val="20"/>
          <w:szCs w:val="20"/>
          <w:lang w:val="es-ES" w:eastAsia="es-ES"/>
          <w14:ligatures w14:val="standardContextual"/>
        </w:rPr>
        <w:t xml:space="preserve">b) </w:t>
      </w:r>
      <w:r w:rsidRPr="001634B4">
        <w:rPr>
          <w:rFonts w:ascii="Times New Roman" w:eastAsia="Times New Roman" w:hAnsi="Times New Roman" w:cs="Times New Roman"/>
          <w:bCs/>
          <w:kern w:val="2"/>
          <w:sz w:val="20"/>
          <w:szCs w:val="20"/>
          <w:lang w:val="es-ES" w:eastAsia="es-ES"/>
          <w14:ligatures w14:val="standardContextual"/>
        </w:rPr>
        <w:t>Llevar un registro de residuos.</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Para el correcto cumplimiento de las obligaciones citadas, la Secretaría emitirá las Reglas de Carácter General correspondientes, que serán publicadas en el Periódico Oficial.</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textAlignment w:val="baseline"/>
        <w:rPr>
          <w:rFonts w:ascii="Times New Roman" w:eastAsia="Times New Roman" w:hAnsi="Times New Roman" w:cs="Times New Roman"/>
          <w:sz w:val="20"/>
          <w:szCs w:val="20"/>
          <w:lang w:eastAsia="es-MX"/>
        </w:rPr>
      </w:pPr>
      <w:r w:rsidRPr="001634B4">
        <w:rPr>
          <w:rFonts w:ascii="Times New Roman" w:eastAsia="Times New Roman" w:hAnsi="Times New Roman" w:cs="Times New Roman"/>
          <w:b/>
          <w:bCs/>
          <w:sz w:val="20"/>
          <w:szCs w:val="20"/>
          <w:lang w:val="es-ES" w:eastAsia="es-MX"/>
        </w:rPr>
        <w:t>Artículo 69 U Septies.-</w:t>
      </w:r>
      <w:r w:rsidRPr="001634B4">
        <w:rPr>
          <w:rFonts w:ascii="Times New Roman" w:eastAsia="Times New Roman" w:hAnsi="Times New Roman" w:cs="Times New Roman"/>
          <w:sz w:val="20"/>
          <w:szCs w:val="20"/>
          <w:lang w:val="es-ES" w:eastAsia="es-MX"/>
        </w:rPr>
        <w:t xml:space="preserve"> Para determinar la base gravable, las autoridades fiscales podrán considerar:</w:t>
      </w:r>
    </w:p>
    <w:p w:rsidR="001634B4" w:rsidRPr="001634B4" w:rsidRDefault="001634B4" w:rsidP="001634B4">
      <w:pPr>
        <w:spacing w:after="0" w:line="240" w:lineRule="auto"/>
        <w:jc w:val="both"/>
        <w:textAlignment w:val="baseline"/>
        <w:rPr>
          <w:rFonts w:ascii="Times New Roman" w:eastAsia="Times New Roman" w:hAnsi="Times New Roman" w:cs="Times New Roman"/>
          <w:sz w:val="20"/>
          <w:szCs w:val="20"/>
          <w:lang w:eastAsia="es-MX"/>
        </w:rPr>
      </w:pPr>
    </w:p>
    <w:p w:rsidR="001634B4" w:rsidRPr="001634B4" w:rsidRDefault="001634B4" w:rsidP="001634B4">
      <w:pPr>
        <w:spacing w:after="0" w:line="240" w:lineRule="auto"/>
        <w:jc w:val="both"/>
        <w:textAlignment w:val="baseline"/>
        <w:rPr>
          <w:rFonts w:ascii="Times New Roman" w:eastAsia="Times New Roman" w:hAnsi="Times New Roman" w:cs="Times New Roman"/>
          <w:sz w:val="20"/>
          <w:szCs w:val="20"/>
          <w:lang w:eastAsia="es-MX"/>
        </w:rPr>
      </w:pPr>
      <w:r w:rsidRPr="001634B4">
        <w:rPr>
          <w:rFonts w:ascii="Times New Roman" w:eastAsia="Times New Roman" w:hAnsi="Times New Roman" w:cs="Times New Roman"/>
          <w:b/>
          <w:sz w:val="20"/>
          <w:szCs w:val="20"/>
          <w:lang w:val="es-ES" w:eastAsia="es-MX"/>
        </w:rPr>
        <w:t xml:space="preserve">I. </w:t>
      </w:r>
      <w:r w:rsidRPr="001634B4">
        <w:rPr>
          <w:rFonts w:ascii="Times New Roman" w:eastAsia="Times New Roman" w:hAnsi="Times New Roman" w:cs="Times New Roman"/>
          <w:sz w:val="20"/>
          <w:szCs w:val="20"/>
          <w:lang w:val="es-ES" w:eastAsia="es-MX"/>
        </w:rPr>
        <w:t>…</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294" w:hanging="294"/>
        <w:jc w:val="both"/>
        <w:rPr>
          <w:rFonts w:ascii="Times New Roman" w:eastAsia="Times New Roman" w:hAnsi="Times New Roman" w:cs="Times New Roman"/>
          <w:b/>
          <w:bCs/>
          <w:sz w:val="20"/>
          <w:szCs w:val="20"/>
          <w:lang w:val="es-ES" w:eastAsia="es-ES"/>
        </w:rPr>
      </w:pPr>
      <w:r w:rsidRPr="001634B4">
        <w:rPr>
          <w:rFonts w:ascii="Times New Roman" w:eastAsia="Times New Roman" w:hAnsi="Times New Roman" w:cs="Times New Roman"/>
          <w:b/>
          <w:sz w:val="20"/>
          <w:szCs w:val="20"/>
          <w:lang w:val="es-ES" w:eastAsia="es-ES"/>
        </w:rPr>
        <w:t>II.</w:t>
      </w:r>
      <w:r w:rsidRPr="001634B4">
        <w:rPr>
          <w:rFonts w:ascii="Times New Roman" w:eastAsia="Times New Roman" w:hAnsi="Times New Roman" w:cs="Times New Roman"/>
          <w:sz w:val="20"/>
          <w:szCs w:val="20"/>
          <w:lang w:val="es-ES" w:eastAsia="es-ES"/>
        </w:rPr>
        <w:t xml:space="preserve"> </w:t>
      </w:r>
      <w:r w:rsidRPr="001634B4">
        <w:rPr>
          <w:rFonts w:ascii="Times New Roman" w:eastAsia="Times New Roman" w:hAnsi="Times New Roman" w:cs="Times New Roman"/>
          <w:sz w:val="20"/>
          <w:szCs w:val="20"/>
          <w:lang w:val="es-ES" w:eastAsia="es-ES"/>
        </w:rPr>
        <w:tab/>
        <w:t>Cuando no sea posible determinar la base gravable en los términos de la fracción anterior las autoridades fiscales podrán estimar la cantidad de los residuos dispuestos, confinados o almacenados, conforme a la información que se obtenga de terceros</w:t>
      </w:r>
      <w:r w:rsidRPr="001634B4">
        <w:rPr>
          <w:rFonts w:ascii="Times New Roman" w:eastAsia="Times New Roman" w:hAnsi="Times New Roman" w:cs="Times New Roman"/>
          <w:bCs/>
          <w:sz w:val="20"/>
          <w:szCs w:val="20"/>
          <w:lang w:val="es-ES" w:eastAsia="es-ES"/>
        </w:rPr>
        <w:t>,</w:t>
      </w:r>
      <w:r w:rsidRPr="001634B4">
        <w:rPr>
          <w:rFonts w:ascii="Times New Roman" w:eastAsia="Times New Roman" w:hAnsi="Times New Roman" w:cs="Times New Roman"/>
          <w:sz w:val="20"/>
          <w:szCs w:val="20"/>
          <w:lang w:val="es-ES" w:eastAsia="es-ES"/>
        </w:rPr>
        <w:t xml:space="preserve"> </w:t>
      </w:r>
      <w:r w:rsidRPr="001634B4">
        <w:rPr>
          <w:rFonts w:ascii="Times New Roman" w:eastAsia="Times New Roman" w:hAnsi="Times New Roman" w:cs="Times New Roman"/>
          <w:bCs/>
          <w:sz w:val="20"/>
          <w:szCs w:val="20"/>
          <w:lang w:val="es-ES" w:eastAsia="es-ES"/>
        </w:rPr>
        <w:t xml:space="preserve">de la Secretaría de Medio Ambiente y Recursos Naturales, de la Secretaría del Medio Ambiente y Desarrollo Sostenible y </w:t>
      </w:r>
      <w:r w:rsidRPr="001634B4">
        <w:rPr>
          <w:rFonts w:ascii="Times New Roman" w:eastAsia="Times New Roman" w:hAnsi="Times New Roman" w:cs="Times New Roman"/>
          <w:sz w:val="20"/>
          <w:szCs w:val="20"/>
          <w:lang w:val="es-ES" w:eastAsia="es-ES"/>
        </w:rPr>
        <w:t>de otras autoridades en materia ambiental</w:t>
      </w:r>
      <w:r w:rsidRPr="001634B4">
        <w:rPr>
          <w:rFonts w:ascii="Times New Roman" w:eastAsia="Times New Roman" w:hAnsi="Times New Roman" w:cs="Times New Roman"/>
          <w:bCs/>
          <w:sz w:val="20"/>
          <w:szCs w:val="20"/>
          <w:lang w:val="es-ES" w:eastAsia="es-ES"/>
        </w:rPr>
        <w:t>; así como de la información que reporten los sujetos obligados de este impuesto a través del Manifiesto de Impacto Ambiental, de la Cédula de Operación Anual, de su Plan de Manejo de Residuos, de la Bitácora Anual de Generación de Residuos de Sólidos Urbanos y/o de Manejo Especial, y del Manifiesto de trazabilidad,</w:t>
      </w:r>
      <w:r w:rsidRPr="001634B4">
        <w:rPr>
          <w:rFonts w:ascii="Times New Roman" w:eastAsia="Times New Roman" w:hAnsi="Times New Roman" w:cs="Times New Roman"/>
          <w:b/>
          <w:bCs/>
          <w:sz w:val="20"/>
          <w:szCs w:val="20"/>
          <w:lang w:val="es-ES" w:eastAsia="es-ES"/>
        </w:rPr>
        <w:t xml:space="preserve"> </w:t>
      </w:r>
      <w:r w:rsidRPr="001634B4">
        <w:rPr>
          <w:rFonts w:ascii="Times New Roman" w:eastAsia="Times New Roman" w:hAnsi="Times New Roman" w:cs="Times New Roman"/>
          <w:sz w:val="20"/>
          <w:szCs w:val="20"/>
          <w:lang w:val="es-ES" w:eastAsia="es-ES"/>
        </w:rPr>
        <w:t>considerando el tipo de actividades realizadas por el contribuyente</w:t>
      </w:r>
      <w:r w:rsidRPr="001634B4">
        <w:rPr>
          <w:rFonts w:ascii="Times New Roman" w:eastAsia="Times New Roman" w:hAnsi="Times New Roman" w:cs="Times New Roman"/>
          <w:b/>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Artículo 75.-</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TARIFA</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CONCEPTO</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I.</w:t>
      </w:r>
      <w:r w:rsidRPr="001634B4">
        <w:rPr>
          <w:rFonts w:ascii="Times New Roman" w:eastAsia="Times New Roman" w:hAnsi="Times New Roman" w:cs="Times New Roman"/>
          <w:bCs/>
          <w:sz w:val="20"/>
          <w:szCs w:val="20"/>
          <w:lang w:val="es-ES" w:eastAsia="es-ES"/>
        </w:rPr>
        <w:t xml:space="preserve"> a </w:t>
      </w:r>
      <w:r w:rsidRPr="001634B4">
        <w:rPr>
          <w:rFonts w:ascii="Times New Roman" w:eastAsia="Times New Roman" w:hAnsi="Times New Roman" w:cs="Times New Roman"/>
          <w:b/>
          <w:bCs/>
          <w:sz w:val="20"/>
          <w:szCs w:val="20"/>
          <w:lang w:val="es-ES" w:eastAsia="es-ES"/>
        </w:rPr>
        <w:t>V.</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VI.</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8"/>
          <w:szCs w:val="28"/>
          <w:lang w:val="es-ES" w:eastAsia="es-ES"/>
        </w:rPr>
      </w:pPr>
    </w:p>
    <w:p w:rsidR="001634B4" w:rsidRPr="001634B4" w:rsidRDefault="001634B4" w:rsidP="001634B4">
      <w:pPr>
        <w:spacing w:after="0" w:line="240" w:lineRule="auto"/>
        <w:ind w:firstLine="284"/>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A).</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ind w:firstLine="284"/>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firstLine="616"/>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1.</w:t>
      </w:r>
      <w:r w:rsidRPr="001634B4">
        <w:rPr>
          <w:rFonts w:ascii="Times New Roman" w:eastAsia="Times New Roman" w:hAnsi="Times New Roman" w:cs="Times New Roman"/>
          <w:bCs/>
          <w:sz w:val="20"/>
          <w:szCs w:val="20"/>
          <w:lang w:val="es-ES" w:eastAsia="es-ES"/>
        </w:rPr>
        <w:t xml:space="preserve"> a </w:t>
      </w:r>
      <w:r w:rsidRPr="001634B4">
        <w:rPr>
          <w:rFonts w:ascii="Times New Roman" w:eastAsia="Times New Roman" w:hAnsi="Times New Roman" w:cs="Times New Roman"/>
          <w:b/>
          <w:bCs/>
          <w:sz w:val="20"/>
          <w:szCs w:val="20"/>
          <w:lang w:val="es-ES" w:eastAsia="es-ES"/>
        </w:rPr>
        <w:t>6.</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firstLine="616"/>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7.</w:t>
      </w:r>
      <w:r w:rsidRPr="001634B4">
        <w:rPr>
          <w:rFonts w:ascii="Times New Roman" w:eastAsia="Times New Roman" w:hAnsi="Times New Roman" w:cs="Times New Roman"/>
          <w:bCs/>
          <w:sz w:val="20"/>
          <w:szCs w:val="20"/>
          <w:lang w:val="es-ES" w:eastAsia="es-ES"/>
        </w:rPr>
        <w:t xml:space="preserve"> Derogado.</w:t>
      </w:r>
    </w:p>
    <w:p w:rsidR="001634B4" w:rsidRPr="001634B4" w:rsidRDefault="001634B4" w:rsidP="001634B4">
      <w:pPr>
        <w:spacing w:after="0" w:line="240" w:lineRule="auto"/>
        <w:ind w:firstLine="616"/>
        <w:jc w:val="both"/>
        <w:rPr>
          <w:rFonts w:ascii="Times New Roman" w:eastAsia="Times New Roman" w:hAnsi="Times New Roman" w:cs="Times New Roman"/>
          <w:b/>
          <w:bCs/>
          <w:sz w:val="20"/>
          <w:szCs w:val="20"/>
          <w:lang w:val="es-ES" w:eastAsia="es-ES"/>
        </w:rPr>
      </w:pPr>
    </w:p>
    <w:p w:rsidR="001634B4" w:rsidRPr="001634B4" w:rsidRDefault="001634B4" w:rsidP="001634B4">
      <w:pPr>
        <w:spacing w:after="0" w:line="240" w:lineRule="auto"/>
        <w:ind w:firstLine="616"/>
        <w:jc w:val="both"/>
        <w:rPr>
          <w:rFonts w:ascii="Times New Roman" w:eastAsia="Times New Roman" w:hAnsi="Times New Roman" w:cs="Times New Roman"/>
          <w:b/>
          <w:bCs/>
          <w:sz w:val="20"/>
          <w:szCs w:val="20"/>
          <w:lang w:val="es-ES" w:eastAsia="es-ES"/>
        </w:rPr>
      </w:pPr>
      <w:r w:rsidRPr="001634B4">
        <w:rPr>
          <w:rFonts w:ascii="Times New Roman" w:eastAsia="Times New Roman" w:hAnsi="Times New Roman" w:cs="Times New Roman"/>
          <w:b/>
          <w:bCs/>
          <w:sz w:val="20"/>
          <w:szCs w:val="20"/>
          <w:lang w:val="es-ES" w:eastAsia="es-ES"/>
        </w:rPr>
        <w:t>8.</w:t>
      </w:r>
      <w:r w:rsidRPr="001634B4">
        <w:rPr>
          <w:rFonts w:ascii="Times New Roman" w:eastAsia="Times New Roman" w:hAnsi="Times New Roman" w:cs="Times New Roman"/>
          <w:bCs/>
          <w:sz w:val="20"/>
          <w:szCs w:val="20"/>
          <w:lang w:val="es-ES" w:eastAsia="es-ES"/>
        </w:rPr>
        <w:t xml:space="preserve"> a </w:t>
      </w:r>
      <w:r w:rsidRPr="001634B4">
        <w:rPr>
          <w:rFonts w:ascii="Times New Roman" w:eastAsia="Times New Roman" w:hAnsi="Times New Roman" w:cs="Times New Roman"/>
          <w:b/>
          <w:bCs/>
          <w:sz w:val="20"/>
          <w:szCs w:val="20"/>
          <w:lang w:val="es-ES" w:eastAsia="es-ES"/>
        </w:rPr>
        <w:t>9.</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28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B).</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firstLine="616"/>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1.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firstLine="616"/>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firstLine="616"/>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2.</w:t>
      </w:r>
      <w:r w:rsidRPr="001634B4">
        <w:rPr>
          <w:rFonts w:ascii="Times New Roman" w:eastAsia="Times New Roman" w:hAnsi="Times New Roman" w:cs="Times New Roman"/>
          <w:sz w:val="20"/>
          <w:szCs w:val="20"/>
          <w:lang w:val="es-ES" w:eastAsia="es-ES"/>
        </w:rPr>
        <w:t xml:space="preserve"> Rescate</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con Cuerdas, Módulo I.   </w:t>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002864FB">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t>$...</w:t>
      </w:r>
    </w:p>
    <w:p w:rsidR="001634B4" w:rsidRPr="001634B4" w:rsidRDefault="001634B4" w:rsidP="001634B4">
      <w:pPr>
        <w:spacing w:after="0" w:line="240" w:lineRule="auto"/>
        <w:ind w:firstLine="616"/>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firstLine="616"/>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3.</w:t>
      </w:r>
      <w:r w:rsidRPr="001634B4">
        <w:rPr>
          <w:rFonts w:ascii="Times New Roman" w:eastAsia="Times New Roman" w:hAnsi="Times New Roman" w:cs="Times New Roman"/>
          <w:sz w:val="20"/>
          <w:szCs w:val="20"/>
          <w:lang w:val="es-ES" w:eastAsia="es-ES"/>
        </w:rPr>
        <w:t xml:space="preserve"> Rescate</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con Cuerdas, Módulo II.  </w:t>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t>$...</w:t>
      </w:r>
    </w:p>
    <w:p w:rsidR="001634B4" w:rsidRPr="001634B4" w:rsidRDefault="001634B4" w:rsidP="001634B4">
      <w:pPr>
        <w:spacing w:after="0" w:line="240" w:lineRule="auto"/>
        <w:ind w:firstLine="616"/>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firstLine="616"/>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4.</w:t>
      </w:r>
      <w:r w:rsidRPr="001634B4">
        <w:rPr>
          <w:rFonts w:ascii="Times New Roman" w:eastAsia="Times New Roman" w:hAnsi="Times New Roman" w:cs="Times New Roman"/>
          <w:sz w:val="20"/>
          <w:szCs w:val="20"/>
          <w:lang w:val="es-ES" w:eastAsia="es-ES"/>
        </w:rPr>
        <w:t xml:space="preserve"> Rescate</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con Cuerdas, Módulo III. </w:t>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t>$...</w:t>
      </w:r>
    </w:p>
    <w:p w:rsidR="001634B4" w:rsidRPr="001634B4" w:rsidRDefault="001634B4" w:rsidP="001634B4">
      <w:pPr>
        <w:spacing w:after="0" w:line="240" w:lineRule="auto"/>
        <w:ind w:firstLine="616"/>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firstLine="616"/>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5.</w:t>
      </w:r>
      <w:r w:rsidRPr="001634B4">
        <w:rPr>
          <w:rFonts w:ascii="Times New Roman" w:eastAsia="Times New Roman" w:hAnsi="Times New Roman" w:cs="Times New Roman"/>
          <w:sz w:val="20"/>
          <w:szCs w:val="20"/>
          <w:lang w:val="es-ES" w:eastAsia="es-ES"/>
        </w:rPr>
        <w:t xml:space="preserve"> Rescate</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con Cuerdas, Módulo IV. </w:t>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t>$...</w:t>
      </w:r>
    </w:p>
    <w:p w:rsidR="001634B4" w:rsidRPr="001634B4" w:rsidRDefault="001634B4" w:rsidP="001634B4">
      <w:pPr>
        <w:spacing w:after="0" w:line="240" w:lineRule="auto"/>
        <w:ind w:firstLine="616"/>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firstLine="616"/>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6.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9.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firstLine="284"/>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C).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8"/>
          <w:szCs w:val="28"/>
          <w:lang w:eastAsia="es-ES"/>
        </w:rPr>
      </w:pPr>
    </w:p>
    <w:p w:rsidR="001634B4" w:rsidRPr="001634B4" w:rsidRDefault="001634B4" w:rsidP="001634B4">
      <w:pPr>
        <w:spacing w:after="0" w:line="240" w:lineRule="auto"/>
        <w:ind w:firstLine="616"/>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1. </w:t>
      </w:r>
      <w:r w:rsidRPr="001634B4">
        <w:rPr>
          <w:rFonts w:ascii="Times New Roman" w:eastAsia="Times New Roman" w:hAnsi="Times New Roman" w:cs="Times New Roman"/>
          <w:sz w:val="20"/>
          <w:szCs w:val="20"/>
          <w:lang w:eastAsia="es-ES"/>
        </w:rPr>
        <w:t>Soporte Básico de Vida.</w:t>
      </w:r>
      <w:r w:rsidRPr="001634B4">
        <w:rPr>
          <w:rFonts w:ascii="Times New Roman" w:eastAsia="Times New Roman" w:hAnsi="Times New Roman" w:cs="Times New Roman"/>
          <w:b/>
          <w:sz w:val="20"/>
          <w:szCs w:val="20"/>
          <w:lang w:eastAsia="es-ES"/>
        </w:rPr>
        <w:t xml:space="preserve">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b/>
          <w:sz w:val="20"/>
          <w:szCs w:val="20"/>
          <w:lang w:eastAsia="es-ES"/>
        </w:rPr>
        <w:tab/>
      </w:r>
      <w:r w:rsidR="002864FB">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firstLine="616"/>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616"/>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2. </w:t>
      </w:r>
      <w:r w:rsidRPr="001634B4">
        <w:rPr>
          <w:rFonts w:ascii="Times New Roman" w:eastAsia="Times New Roman" w:hAnsi="Times New Roman" w:cs="Times New Roman"/>
          <w:sz w:val="20"/>
          <w:szCs w:val="20"/>
          <w:lang w:eastAsia="es-ES"/>
        </w:rPr>
        <w:t>a</w:t>
      </w:r>
      <w:r w:rsidRPr="001634B4">
        <w:rPr>
          <w:rFonts w:ascii="Times New Roman" w:eastAsia="Times New Roman" w:hAnsi="Times New Roman" w:cs="Times New Roman"/>
          <w:b/>
          <w:sz w:val="20"/>
          <w:szCs w:val="20"/>
          <w:lang w:eastAsia="es-ES"/>
        </w:rPr>
        <w:t xml:space="preserve"> 6.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28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D).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644" w:hanging="2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1.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firstLine="602"/>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60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2. </w:t>
      </w:r>
      <w:r w:rsidRPr="001634B4">
        <w:rPr>
          <w:rFonts w:ascii="Times New Roman" w:eastAsia="Times New Roman" w:hAnsi="Times New Roman" w:cs="Times New Roman"/>
          <w:sz w:val="20"/>
          <w:szCs w:val="20"/>
          <w:lang w:eastAsia="es-ES"/>
        </w:rPr>
        <w:t>Derogado.</w:t>
      </w:r>
    </w:p>
    <w:p w:rsidR="001634B4" w:rsidRPr="001634B4" w:rsidRDefault="001634B4" w:rsidP="001634B4">
      <w:pPr>
        <w:spacing w:after="0" w:line="240" w:lineRule="auto"/>
        <w:ind w:firstLine="602"/>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60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3. </w:t>
      </w:r>
      <w:r w:rsidRPr="001634B4">
        <w:rPr>
          <w:rFonts w:ascii="Times New Roman" w:eastAsia="Times New Roman" w:hAnsi="Times New Roman" w:cs="Times New Roman"/>
          <w:sz w:val="20"/>
          <w:szCs w:val="20"/>
          <w:lang w:eastAsia="es-ES"/>
        </w:rPr>
        <w:t>a</w:t>
      </w:r>
      <w:r w:rsidRPr="001634B4">
        <w:rPr>
          <w:rFonts w:ascii="Times New Roman" w:eastAsia="Times New Roman" w:hAnsi="Times New Roman" w:cs="Times New Roman"/>
          <w:b/>
          <w:sz w:val="20"/>
          <w:szCs w:val="20"/>
          <w:lang w:eastAsia="es-ES"/>
        </w:rPr>
        <w:t xml:space="preserve"> 7.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firstLine="602"/>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60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8. </w:t>
      </w:r>
      <w:r w:rsidRPr="001634B4">
        <w:rPr>
          <w:rFonts w:ascii="Times New Roman" w:eastAsia="Times New Roman" w:hAnsi="Times New Roman" w:cs="Times New Roman"/>
          <w:sz w:val="20"/>
          <w:szCs w:val="20"/>
          <w:lang w:eastAsia="es-ES"/>
        </w:rPr>
        <w:t>Derogado.</w:t>
      </w:r>
    </w:p>
    <w:p w:rsidR="001634B4" w:rsidRPr="001634B4" w:rsidRDefault="001634B4" w:rsidP="001634B4">
      <w:pPr>
        <w:spacing w:after="0" w:line="240" w:lineRule="auto"/>
        <w:ind w:firstLine="602"/>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60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9. </w:t>
      </w:r>
      <w:r w:rsidRPr="001634B4">
        <w:rPr>
          <w:rFonts w:ascii="Times New Roman" w:eastAsia="Times New Roman" w:hAnsi="Times New Roman" w:cs="Times New Roman"/>
          <w:sz w:val="20"/>
          <w:szCs w:val="20"/>
          <w:lang w:eastAsia="es-ES"/>
        </w:rPr>
        <w:t>a</w:t>
      </w:r>
      <w:r w:rsidRPr="001634B4">
        <w:rPr>
          <w:rFonts w:ascii="Times New Roman" w:eastAsia="Times New Roman" w:hAnsi="Times New Roman" w:cs="Times New Roman"/>
          <w:b/>
          <w:sz w:val="20"/>
          <w:szCs w:val="20"/>
          <w:lang w:eastAsia="es-ES"/>
        </w:rPr>
        <w:t xml:space="preserve"> 13.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firstLine="602"/>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60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14. </w:t>
      </w:r>
      <w:r w:rsidRPr="001634B4">
        <w:rPr>
          <w:rFonts w:ascii="Times New Roman" w:eastAsia="Times New Roman" w:hAnsi="Times New Roman" w:cs="Times New Roman"/>
          <w:sz w:val="20"/>
          <w:szCs w:val="20"/>
          <w:lang w:eastAsia="es-ES"/>
        </w:rPr>
        <w:t xml:space="preserve">Curso de Sistema de Comando de Incidentes (SCI).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t>$2,100</w:t>
      </w:r>
    </w:p>
    <w:p w:rsidR="001634B4" w:rsidRPr="001634B4" w:rsidRDefault="001634B4" w:rsidP="001634B4">
      <w:pPr>
        <w:spacing w:after="0" w:line="240" w:lineRule="auto"/>
        <w:ind w:firstLine="602"/>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firstLine="60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15. </w:t>
      </w:r>
      <w:r w:rsidRPr="001634B4">
        <w:rPr>
          <w:rFonts w:ascii="Times New Roman" w:eastAsia="Times New Roman" w:hAnsi="Times New Roman" w:cs="Times New Roman"/>
          <w:sz w:val="20"/>
          <w:szCs w:val="20"/>
          <w:lang w:eastAsia="es-ES"/>
        </w:rPr>
        <w:t xml:space="preserve">Acciones Preventivas en el Uso y Manejo de Pirotecnia.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002864FB">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t>$2,100</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VII.</w:t>
      </w:r>
      <w:r w:rsidRPr="001634B4">
        <w:rPr>
          <w:rFonts w:ascii="Times New Roman" w:eastAsia="Times New Roman" w:hAnsi="Times New Roman" w:cs="Times New Roman"/>
          <w:bCs/>
          <w:sz w:val="20"/>
          <w:szCs w:val="20"/>
          <w:lang w:val="es-ES" w:eastAsia="es-ES"/>
        </w:rPr>
        <w:t xml:space="preserve"> a </w:t>
      </w:r>
      <w:r w:rsidRPr="001634B4">
        <w:rPr>
          <w:rFonts w:ascii="Times New Roman" w:eastAsia="Times New Roman" w:hAnsi="Times New Roman" w:cs="Times New Roman"/>
          <w:b/>
          <w:bCs/>
          <w:sz w:val="20"/>
          <w:szCs w:val="20"/>
          <w:lang w:val="es-ES" w:eastAsia="es-ES"/>
        </w:rPr>
        <w:t>XII.</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Artículo 77.-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TARIFA</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CONCEPTO</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I.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ind w:firstLine="210"/>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A). </w:t>
      </w:r>
      <w:r w:rsidRPr="001634B4">
        <w:rPr>
          <w:rFonts w:ascii="Times New Roman" w:eastAsia="Times New Roman" w:hAnsi="Times New Roman" w:cs="Times New Roman"/>
          <w:kern w:val="2"/>
          <w:sz w:val="20"/>
          <w:szCs w:val="20"/>
          <w:lang w:val="es-ES" w:eastAsia="es-ES"/>
          <w14:ligatures w14:val="standardContextual"/>
        </w:rPr>
        <w:t xml:space="preserve">a </w:t>
      </w:r>
      <w:r w:rsidRPr="001634B4">
        <w:rPr>
          <w:rFonts w:ascii="Times New Roman" w:eastAsia="Times New Roman" w:hAnsi="Times New Roman" w:cs="Times New Roman"/>
          <w:b/>
          <w:kern w:val="2"/>
          <w:sz w:val="20"/>
          <w:szCs w:val="20"/>
          <w:lang w:val="es-ES" w:eastAsia="es-ES"/>
          <w14:ligatures w14:val="standardContextual"/>
        </w:rPr>
        <w:t xml:space="preserve">D).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ind w:firstLine="210"/>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ind w:firstLine="210"/>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E). </w:t>
      </w:r>
      <w:r w:rsidRPr="001634B4">
        <w:rPr>
          <w:rFonts w:ascii="Times New Roman" w:eastAsia="Times New Roman" w:hAnsi="Times New Roman" w:cs="Times New Roman"/>
          <w:kern w:val="2"/>
          <w:sz w:val="20"/>
          <w:szCs w:val="20"/>
          <w:lang w:val="es-ES" w:eastAsia="es-ES"/>
          <w14:ligatures w14:val="standardContextual"/>
        </w:rPr>
        <w:t xml:space="preserve">… </w:t>
      </w:r>
    </w:p>
    <w:p w:rsidR="001634B4" w:rsidRPr="001634B4" w:rsidRDefault="001634B4" w:rsidP="001634B4">
      <w:pPr>
        <w:spacing w:after="0" w:line="240" w:lineRule="auto"/>
        <w:ind w:firstLine="210"/>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ind w:left="560" w:firstLine="1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 xml:space="preserve">Para efectos del presente inciso, se entiende por auto antiguo, aquel vehículo con una antigüedad mínima de 30 años a partir de la fecha de su fabricación, que sus componentes mecánicos y de carrocería conserven sus características de originalidad y funcionalidad en un porcentaje del 85 por ciento o más, debiendo contar con un Reporte Técnico, </w:t>
      </w:r>
      <w:r w:rsidRPr="001634B4">
        <w:rPr>
          <w:rFonts w:ascii="Times New Roman" w:eastAsia="Times New Roman" w:hAnsi="Times New Roman" w:cs="Times New Roman"/>
          <w:bCs/>
          <w:sz w:val="20"/>
          <w:szCs w:val="20"/>
          <w:lang w:val="es-ES" w:eastAsia="es-ES"/>
        </w:rPr>
        <w:t>expedido</w:t>
      </w:r>
      <w:r w:rsidRPr="001634B4">
        <w:rPr>
          <w:rFonts w:ascii="Times New Roman" w:eastAsia="Times New Roman" w:hAnsi="Times New Roman" w:cs="Times New Roman"/>
          <w:sz w:val="20"/>
          <w:szCs w:val="20"/>
          <w:lang w:val="es-ES" w:eastAsia="es-ES"/>
        </w:rPr>
        <w:t xml:space="preserve"> por el fabricante o institución pública o privada reconocida por la Secretaría, previo cumplimiento de los requisitos que establezca en Reglas de Carácter General.</w:t>
      </w:r>
    </w:p>
    <w:p w:rsidR="001634B4" w:rsidRPr="001634B4" w:rsidRDefault="001634B4" w:rsidP="001634B4">
      <w:pPr>
        <w:spacing w:after="0" w:line="240" w:lineRule="auto"/>
        <w:ind w:left="560" w:firstLine="14"/>
        <w:jc w:val="both"/>
        <w:rPr>
          <w:rFonts w:ascii="Times New Roman" w:eastAsia="Times New Roman" w:hAnsi="Times New Roman" w:cs="Times New Roman"/>
          <w:sz w:val="18"/>
          <w:szCs w:val="18"/>
          <w:lang w:val="es-ES" w:eastAsia="es-ES"/>
        </w:rPr>
      </w:pPr>
    </w:p>
    <w:p w:rsidR="001634B4" w:rsidRPr="001634B4" w:rsidRDefault="001634B4" w:rsidP="001634B4">
      <w:pPr>
        <w:spacing w:after="0" w:line="240" w:lineRule="auto"/>
        <w:ind w:left="252" w:hanging="1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F).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H).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left="252" w:hanging="14"/>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firstLine="210"/>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II. </w:t>
      </w:r>
      <w:r w:rsidRPr="001634B4">
        <w:rPr>
          <w:rFonts w:ascii="Times New Roman" w:eastAsia="Times New Roman" w:hAnsi="Times New Roman" w:cs="Times New Roman"/>
          <w:kern w:val="2"/>
          <w:sz w:val="20"/>
          <w:szCs w:val="20"/>
          <w:lang w:val="es-ES" w:eastAsia="es-ES"/>
          <w14:ligatures w14:val="standardContextual"/>
        </w:rPr>
        <w:t xml:space="preserve">a </w:t>
      </w:r>
      <w:r w:rsidRPr="001634B4">
        <w:rPr>
          <w:rFonts w:ascii="Times New Roman" w:eastAsia="Times New Roman" w:hAnsi="Times New Roman" w:cs="Times New Roman"/>
          <w:b/>
          <w:kern w:val="2"/>
          <w:sz w:val="20"/>
          <w:szCs w:val="20"/>
          <w:lang w:val="es-ES" w:eastAsia="es-ES"/>
          <w14:ligatures w14:val="standardContextual"/>
        </w:rPr>
        <w:t xml:space="preserve">VIII.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IX.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ind w:left="322" w:firstLine="14"/>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A).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ind w:firstLine="714"/>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ind w:firstLine="714"/>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1. </w:t>
      </w:r>
      <w:r w:rsidRPr="001634B4">
        <w:rPr>
          <w:rFonts w:ascii="Times New Roman" w:eastAsia="Times New Roman" w:hAnsi="Times New Roman" w:cs="Times New Roman"/>
          <w:kern w:val="2"/>
          <w:sz w:val="20"/>
          <w:szCs w:val="20"/>
          <w:lang w:val="es-ES" w:eastAsia="es-ES"/>
          <w14:ligatures w14:val="standardContextual"/>
        </w:rPr>
        <w:t>a</w:t>
      </w:r>
      <w:r w:rsidRPr="001634B4">
        <w:rPr>
          <w:rFonts w:ascii="Times New Roman" w:eastAsia="Times New Roman" w:hAnsi="Times New Roman" w:cs="Times New Roman"/>
          <w:b/>
          <w:kern w:val="2"/>
          <w:sz w:val="20"/>
          <w:szCs w:val="20"/>
          <w:lang w:val="es-ES" w:eastAsia="es-ES"/>
          <w14:ligatures w14:val="standardContextual"/>
        </w:rPr>
        <w:t xml:space="preserve"> 2.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ind w:firstLine="714"/>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ind w:firstLine="714"/>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3.</w:t>
      </w:r>
      <w:r w:rsidRPr="001634B4">
        <w:rPr>
          <w:rFonts w:ascii="Times New Roman" w:eastAsia="Times New Roman" w:hAnsi="Times New Roman" w:cs="Times New Roman"/>
          <w:kern w:val="2"/>
          <w:sz w:val="20"/>
          <w:szCs w:val="20"/>
          <w:lang w:val="es-ES" w:eastAsia="es-ES"/>
          <w14:ligatures w14:val="standardContextual"/>
        </w:rPr>
        <w:t xml:space="preserve"> Para motocicletas, motonetas, trimotos y cuadrimotos.</w:t>
      </w:r>
      <w:r w:rsidRPr="001634B4">
        <w:rPr>
          <w:rFonts w:ascii="Times New Roman" w:eastAsia="Times New Roman" w:hAnsi="Times New Roman" w:cs="Times New Roman"/>
          <w:kern w:val="2"/>
          <w:sz w:val="20"/>
          <w:szCs w:val="20"/>
          <w:lang w:val="es-ES" w:eastAsia="es-ES"/>
          <w14:ligatures w14:val="standardContextual"/>
        </w:rPr>
        <w:tab/>
      </w:r>
      <w:r w:rsidRPr="001634B4">
        <w:rPr>
          <w:rFonts w:ascii="Times New Roman" w:eastAsia="Times New Roman" w:hAnsi="Times New Roman" w:cs="Times New Roman"/>
          <w:kern w:val="2"/>
          <w:sz w:val="20"/>
          <w:szCs w:val="20"/>
          <w:lang w:val="es-ES" w:eastAsia="es-ES"/>
          <w14:ligatures w14:val="standardContextual"/>
        </w:rPr>
        <w:tab/>
      </w:r>
      <w:r w:rsidRPr="001634B4">
        <w:rPr>
          <w:rFonts w:ascii="Times New Roman" w:eastAsia="Times New Roman" w:hAnsi="Times New Roman" w:cs="Times New Roman"/>
          <w:kern w:val="2"/>
          <w:sz w:val="20"/>
          <w:szCs w:val="20"/>
          <w:lang w:val="es-ES" w:eastAsia="es-ES"/>
          <w14:ligatures w14:val="standardContextual"/>
        </w:rPr>
        <w:tab/>
        <w:t>$473</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ind w:firstLine="714"/>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Derogado.</w:t>
      </w:r>
    </w:p>
    <w:p w:rsidR="001634B4" w:rsidRPr="001634B4" w:rsidRDefault="001634B4" w:rsidP="001634B4">
      <w:pPr>
        <w:spacing w:after="0" w:line="240" w:lineRule="auto"/>
        <w:ind w:firstLine="714"/>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ind w:firstLine="364"/>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B). </w:t>
      </w:r>
      <w:r w:rsidRPr="001634B4">
        <w:rPr>
          <w:rFonts w:ascii="Times New Roman" w:eastAsia="Times New Roman" w:hAnsi="Times New Roman" w:cs="Times New Roman"/>
          <w:kern w:val="2"/>
          <w:sz w:val="20"/>
          <w:szCs w:val="20"/>
          <w:lang w:val="es-ES" w:eastAsia="es-ES"/>
          <w14:ligatures w14:val="standardContextual"/>
        </w:rPr>
        <w:t xml:space="preserve">a </w:t>
      </w:r>
      <w:r w:rsidRPr="001634B4">
        <w:rPr>
          <w:rFonts w:ascii="Times New Roman" w:eastAsia="Times New Roman" w:hAnsi="Times New Roman" w:cs="Times New Roman"/>
          <w:b/>
          <w:kern w:val="2"/>
          <w:sz w:val="20"/>
          <w:szCs w:val="20"/>
          <w:lang w:val="es-ES" w:eastAsia="es-ES"/>
          <w14:ligatures w14:val="standardContextual"/>
        </w:rPr>
        <w:t xml:space="preserve">C).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ind w:firstLine="364"/>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X. </w:t>
      </w:r>
      <w:r w:rsidRPr="001634B4">
        <w:rPr>
          <w:rFonts w:ascii="Times New Roman" w:eastAsia="Times New Roman" w:hAnsi="Times New Roman" w:cs="Times New Roman"/>
          <w:kern w:val="2"/>
          <w:sz w:val="20"/>
          <w:szCs w:val="20"/>
          <w:lang w:val="es-ES" w:eastAsia="es-ES"/>
          <w14:ligatures w14:val="standardContextual"/>
        </w:rPr>
        <w:t xml:space="preserve">a </w:t>
      </w:r>
      <w:r w:rsidRPr="001634B4">
        <w:rPr>
          <w:rFonts w:ascii="Times New Roman" w:eastAsia="Times New Roman" w:hAnsi="Times New Roman" w:cs="Times New Roman"/>
          <w:b/>
          <w:kern w:val="2"/>
          <w:sz w:val="20"/>
          <w:szCs w:val="20"/>
          <w:lang w:val="es-ES" w:eastAsia="es-ES"/>
          <w14:ligatures w14:val="standardContextual"/>
        </w:rPr>
        <w:t xml:space="preserve">XI.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 xml:space="preserve">Artículo 81.- </w:t>
      </w: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 xml:space="preserve">I. </w:t>
      </w: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210"/>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En el caso de que se conceda prórroga para concluir las obras de urbanización, infraestructura y equipamiento del conjunto urbano y subdivisión o lotificación en condominio, que no se hayan ejecutado dentro del plazo fijado en la autorización correspondiente, se pagará el 2% sobre el importe del presupuesto aprobado a costo directo y actualizado de las obras por ejecutar en el período de vigencia de la prórroga concedida.</w:t>
      </w:r>
    </w:p>
    <w:p w:rsidR="001634B4" w:rsidRPr="001634B4" w:rsidRDefault="001634B4" w:rsidP="001634B4">
      <w:pPr>
        <w:spacing w:after="0" w:line="240" w:lineRule="auto"/>
        <w:ind w:left="210"/>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left="210"/>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II.</w:t>
      </w:r>
      <w:r w:rsidRPr="001634B4">
        <w:rPr>
          <w:rFonts w:ascii="Times New Roman" w:eastAsia="Times New Roman" w:hAnsi="Times New Roman" w:cs="Times New Roman"/>
          <w:bCs/>
          <w:sz w:val="20"/>
          <w:szCs w:val="20"/>
          <w:lang w:val="es-ES" w:eastAsia="es-ES"/>
        </w:rPr>
        <w:t xml:space="preserve"> a </w:t>
      </w:r>
      <w:r w:rsidRPr="001634B4">
        <w:rPr>
          <w:rFonts w:ascii="Times New Roman" w:eastAsia="Times New Roman" w:hAnsi="Times New Roman" w:cs="Times New Roman"/>
          <w:b/>
          <w:bCs/>
          <w:sz w:val="20"/>
          <w:szCs w:val="20"/>
          <w:lang w:val="es-ES" w:eastAsia="es-ES"/>
        </w:rPr>
        <w:t>X.</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Artículo 82.-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 </w:t>
      </w:r>
      <w:r w:rsidRPr="001634B4">
        <w:rPr>
          <w:rFonts w:ascii="Times New Roman" w:eastAsia="Times New Roman" w:hAnsi="Times New Roman" w:cs="Times New Roman"/>
          <w:sz w:val="20"/>
          <w:szCs w:val="20"/>
          <w:lang w:eastAsia="es-ES"/>
        </w:rPr>
        <w:t>a</w:t>
      </w:r>
      <w:r w:rsidRPr="001634B4">
        <w:rPr>
          <w:rFonts w:ascii="Times New Roman" w:eastAsia="Times New Roman" w:hAnsi="Times New Roman" w:cs="Times New Roman"/>
          <w:b/>
          <w:sz w:val="20"/>
          <w:szCs w:val="20"/>
          <w:lang w:eastAsia="es-ES"/>
        </w:rPr>
        <w:t xml:space="preserve"> III.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IV. </w:t>
      </w:r>
      <w:r w:rsidRPr="001634B4">
        <w:rPr>
          <w:rFonts w:ascii="Times New Roman" w:eastAsia="Times New Roman" w:hAnsi="Times New Roman" w:cs="Times New Roman"/>
          <w:sz w:val="20"/>
          <w:szCs w:val="20"/>
          <w:lang w:eastAsia="es-ES"/>
        </w:rPr>
        <w:t>Por la inscripción al catálogo de contratistas de obra pública:</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317"/>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A).</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 xml:space="preserve">Por la expedición de la cédula de inscripción, por cada una.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t>$2,474</w:t>
      </w:r>
    </w:p>
    <w:p w:rsidR="001634B4" w:rsidRPr="001634B4" w:rsidRDefault="001634B4" w:rsidP="001634B4">
      <w:pPr>
        <w:spacing w:after="0" w:line="240" w:lineRule="auto"/>
        <w:ind w:left="317"/>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317"/>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B).</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 xml:space="preserve">Por la revalidación del registro de inscripción, por cada una.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t>$2,474</w:t>
      </w:r>
    </w:p>
    <w:p w:rsidR="001634B4" w:rsidRPr="001634B4" w:rsidRDefault="001634B4" w:rsidP="001634B4">
      <w:pPr>
        <w:spacing w:after="0" w:line="240" w:lineRule="auto"/>
        <w:ind w:left="317"/>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709" w:hanging="39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C).</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 xml:space="preserve">Por la reposición de la cédula de inscripción o de la revalidación </w:t>
      </w:r>
    </w:p>
    <w:p w:rsidR="001634B4" w:rsidRPr="001634B4" w:rsidRDefault="001634B4" w:rsidP="001634B4">
      <w:pPr>
        <w:spacing w:after="0" w:line="240" w:lineRule="auto"/>
        <w:ind w:left="709" w:hanging="39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del registro, por cada una.</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t>$2,474</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Artículo 87.-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TARIFA</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CONCEPTO</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 </w:t>
      </w:r>
      <w:r w:rsidRPr="001634B4">
        <w:rPr>
          <w:rFonts w:ascii="Times New Roman" w:eastAsia="Times New Roman" w:hAnsi="Times New Roman" w:cs="Times New Roman"/>
          <w:sz w:val="20"/>
          <w:szCs w:val="20"/>
          <w:lang w:val="es-ES" w:eastAsia="es-ES"/>
        </w:rPr>
        <w:t>a</w:t>
      </w:r>
      <w:r w:rsidRPr="001634B4">
        <w:rPr>
          <w:rFonts w:ascii="Times New Roman" w:eastAsia="Times New Roman" w:hAnsi="Times New Roman" w:cs="Times New Roman"/>
          <w:b/>
          <w:sz w:val="20"/>
          <w:szCs w:val="20"/>
          <w:lang w:val="es-ES" w:eastAsia="es-ES"/>
        </w:rPr>
        <w:t xml:space="preserve"> II.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III.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firstLine="336"/>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A).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B).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firstLine="336"/>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firstLine="336"/>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C).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firstLine="64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1.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2.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firstLine="644"/>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left="882" w:right="-2" w:hanging="238"/>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3. </w:t>
      </w:r>
      <w:r w:rsidRPr="001634B4">
        <w:rPr>
          <w:rFonts w:ascii="Times New Roman" w:eastAsia="Times New Roman" w:hAnsi="Times New Roman" w:cs="Times New Roman"/>
          <w:sz w:val="20"/>
          <w:szCs w:val="20"/>
          <w:lang w:val="es-ES" w:eastAsia="es-ES"/>
        </w:rPr>
        <w:t>…</w:t>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t xml:space="preserve">           </w:t>
      </w:r>
      <w:r w:rsidRPr="001634B4">
        <w:rPr>
          <w:rFonts w:ascii="Times New Roman" w:eastAsia="Times New Roman" w:hAnsi="Times New Roman" w:cs="Times New Roman"/>
          <w:sz w:val="20"/>
          <w:szCs w:val="20"/>
          <w:lang w:val="es-ES" w:eastAsia="es-ES"/>
        </w:rPr>
        <w:t>$29,830</w:t>
      </w:r>
    </w:p>
    <w:p w:rsidR="001634B4" w:rsidRPr="001634B4" w:rsidRDefault="001634B4" w:rsidP="001634B4">
      <w:pPr>
        <w:spacing w:after="0" w:line="240" w:lineRule="auto"/>
        <w:ind w:left="882" w:right="-2" w:hanging="238"/>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IV.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VI.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VII.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644" w:right="-2" w:hanging="29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A). </w:t>
      </w:r>
      <w:r w:rsidRPr="001634B4">
        <w:rPr>
          <w:rFonts w:ascii="Times New Roman" w:eastAsia="Times New Roman" w:hAnsi="Times New Roman" w:cs="Times New Roman"/>
          <w:sz w:val="20"/>
          <w:szCs w:val="20"/>
          <w:lang w:val="es-ES" w:eastAsia="es-ES"/>
        </w:rPr>
        <w:t xml:space="preserve">Autorización de ruta o área geográfica de operación del servicio público </w:t>
      </w:r>
    </w:p>
    <w:p w:rsidR="001634B4" w:rsidRPr="001634B4" w:rsidRDefault="001634B4" w:rsidP="001634B4">
      <w:pPr>
        <w:spacing w:after="0" w:line="240" w:lineRule="auto"/>
        <w:ind w:left="644" w:right="-2" w:firstLine="70"/>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de transporte, en las modalidades</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de masivo o alta capacidad, colectivo, </w:t>
      </w:r>
    </w:p>
    <w:p w:rsidR="001634B4" w:rsidRPr="001634B4" w:rsidRDefault="001634B4" w:rsidP="001634B4">
      <w:pPr>
        <w:spacing w:after="0" w:line="240" w:lineRule="auto"/>
        <w:ind w:left="644" w:right="-2" w:firstLine="70"/>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mixto, de arrastre, salvamento y depósito vehicular, por cada vehículo.</w:t>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t>$...</w:t>
      </w:r>
    </w:p>
    <w:p w:rsidR="001634B4" w:rsidRPr="001634B4" w:rsidRDefault="001634B4" w:rsidP="001634B4">
      <w:pPr>
        <w:spacing w:after="0" w:line="240" w:lineRule="auto"/>
        <w:ind w:left="364" w:right="-2" w:hanging="14"/>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364" w:right="-2" w:hanging="1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B).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F).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sz w:val="8"/>
          <w:szCs w:val="8"/>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VIII.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left="644" w:right="-2" w:hanging="29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A). </w:t>
      </w:r>
      <w:r w:rsidRPr="001634B4">
        <w:rPr>
          <w:rFonts w:ascii="Times New Roman" w:eastAsia="Times New Roman" w:hAnsi="Times New Roman" w:cs="Times New Roman"/>
          <w:sz w:val="20"/>
          <w:szCs w:val="20"/>
          <w:lang w:val="es-ES" w:eastAsia="es-ES"/>
        </w:rPr>
        <w:t xml:space="preserve">Chofer de servicio público por un año de vigencia que incluye </w:t>
      </w:r>
    </w:p>
    <w:p w:rsidR="001634B4" w:rsidRPr="001634B4" w:rsidRDefault="001634B4" w:rsidP="001634B4">
      <w:pPr>
        <w:spacing w:after="0" w:line="240" w:lineRule="auto"/>
        <w:ind w:left="700" w:right="-2" w:hanging="1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lastRenderedPageBreak/>
        <w:t xml:space="preserve">el certificado médico toxicológico. </w:t>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left="644" w:right="-2" w:hanging="294"/>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left="644" w:right="-2" w:firstLine="28"/>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left="686" w:right="-2" w:hanging="294"/>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left="364" w:right="-2" w:hanging="1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B).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F).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left="364" w:right="-2" w:hanging="14"/>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364" w:right="-2" w:hanging="1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IX.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280" w:right="-2" w:hanging="280"/>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X. </w:t>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sz w:val="20"/>
          <w:szCs w:val="20"/>
          <w:lang w:val="es-ES" w:eastAsia="es-ES"/>
        </w:rPr>
        <w:t xml:space="preserve">Por la expedición de la reposición de la Licencia de Chofer para Servicio </w:t>
      </w:r>
    </w:p>
    <w:p w:rsidR="001634B4" w:rsidRPr="001634B4" w:rsidRDefault="001634B4" w:rsidP="001634B4">
      <w:pPr>
        <w:spacing w:after="0" w:line="240" w:lineRule="auto"/>
        <w:ind w:left="280" w:right="-2" w:firstLine="1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Público</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y Certificado Médico Toxicológico</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sz w:val="20"/>
          <w:szCs w:val="20"/>
          <w:lang w:val="es-ES" w:eastAsia="es-ES"/>
        </w:rPr>
        <w:t xml:space="preserve">con la vigencia del documento </w:t>
      </w:r>
    </w:p>
    <w:p w:rsidR="001634B4" w:rsidRPr="001634B4" w:rsidRDefault="001634B4" w:rsidP="001634B4">
      <w:pPr>
        <w:spacing w:after="0" w:line="240" w:lineRule="auto"/>
        <w:ind w:left="280" w:right="-2" w:firstLine="14"/>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expedido originalmente y con la leyenda “Reposición”.</w:t>
      </w:r>
      <w:r w:rsidRPr="001634B4">
        <w:rPr>
          <w:rFonts w:ascii="Times New Roman" w:eastAsia="Times New Roman" w:hAnsi="Times New Roman" w:cs="Times New Roman"/>
          <w:b/>
          <w:sz w:val="20"/>
          <w:szCs w:val="20"/>
          <w:lang w:val="es-ES" w:eastAsia="es-ES"/>
        </w:rPr>
        <w:t xml:space="preserve"> </w:t>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r>
      <w:r w:rsidR="00AD6E2A">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b/>
          <w:sz w:val="20"/>
          <w:szCs w:val="20"/>
          <w:lang w:val="es-ES" w:eastAsia="es-ES"/>
        </w:rPr>
        <w:tab/>
        <w:t xml:space="preserve">         </w:t>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XI.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 xml:space="preserve">XVI.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172"/>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 xml:space="preserve">Artículo 88.- </w:t>
      </w:r>
      <w:r w:rsidRPr="001634B4">
        <w:rPr>
          <w:rFonts w:ascii="Times New Roman" w:eastAsia="Montserrat" w:hAnsi="Times New Roman" w:cs="Times New Roman"/>
          <w:bCs/>
          <w:sz w:val="20"/>
          <w:szCs w:val="20"/>
          <w:lang w:eastAsia="es-ES"/>
        </w:rPr>
        <w:t>…</w:t>
      </w:r>
    </w:p>
    <w:p w:rsidR="001634B4" w:rsidRPr="001634B4" w:rsidRDefault="001634B4" w:rsidP="001634B4">
      <w:pPr>
        <w:spacing w:after="0" w:line="240" w:lineRule="auto"/>
        <w:ind w:right="172"/>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right="-2"/>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TARIFA</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CONCEPTO</w:t>
      </w:r>
    </w:p>
    <w:p w:rsidR="001634B4" w:rsidRPr="001634B4" w:rsidRDefault="001634B4" w:rsidP="001634B4">
      <w:pPr>
        <w:spacing w:after="0" w:line="240" w:lineRule="auto"/>
        <w:ind w:right="172"/>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right="172"/>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I.</w:t>
      </w:r>
      <w:r w:rsidRPr="001634B4">
        <w:rPr>
          <w:rFonts w:ascii="Times New Roman" w:eastAsia="Montserrat" w:hAnsi="Times New Roman" w:cs="Times New Roman"/>
          <w:bCs/>
          <w:sz w:val="20"/>
          <w:szCs w:val="20"/>
          <w:lang w:eastAsia="es-ES"/>
        </w:rPr>
        <w:t xml:space="preserve"> a </w:t>
      </w:r>
      <w:r w:rsidRPr="001634B4">
        <w:rPr>
          <w:rFonts w:ascii="Times New Roman" w:eastAsia="Montserrat" w:hAnsi="Times New Roman" w:cs="Times New Roman"/>
          <w:b/>
          <w:bCs/>
          <w:sz w:val="20"/>
          <w:szCs w:val="20"/>
          <w:lang w:eastAsia="es-ES"/>
        </w:rPr>
        <w:t>V</w:t>
      </w:r>
      <w:r w:rsidRPr="001634B4">
        <w:rPr>
          <w:rFonts w:ascii="Times New Roman" w:eastAsia="Montserrat" w:hAnsi="Times New Roman" w:cs="Times New Roman"/>
          <w:bCs/>
          <w:sz w:val="20"/>
          <w:szCs w:val="20"/>
          <w:lang w:eastAsia="es-ES"/>
        </w:rPr>
        <w:t>. …</w:t>
      </w:r>
    </w:p>
    <w:p w:rsidR="001634B4" w:rsidRPr="001634B4" w:rsidRDefault="001634B4" w:rsidP="001634B4">
      <w:pPr>
        <w:spacing w:after="0" w:line="240" w:lineRule="auto"/>
        <w:ind w:right="172"/>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right="172"/>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VI.</w:t>
      </w:r>
      <w:r w:rsidRPr="001634B4">
        <w:rPr>
          <w:rFonts w:ascii="Times New Roman" w:eastAsia="Montserrat" w:hAnsi="Times New Roman" w:cs="Times New Roman"/>
          <w:bCs/>
          <w:sz w:val="20"/>
          <w:szCs w:val="20"/>
          <w:lang w:eastAsia="es-ES"/>
        </w:rPr>
        <w:t xml:space="preserve"> …</w:t>
      </w:r>
    </w:p>
    <w:p w:rsidR="001634B4" w:rsidRPr="001634B4" w:rsidRDefault="001634B4" w:rsidP="001634B4">
      <w:pPr>
        <w:spacing w:after="0" w:line="240" w:lineRule="auto"/>
        <w:ind w:right="172"/>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A).</w:t>
      </w:r>
      <w:r w:rsidRPr="001634B4">
        <w:rPr>
          <w:rFonts w:ascii="Times New Roman" w:eastAsia="Montserrat" w:hAnsi="Times New Roman" w:cs="Times New Roman"/>
          <w:b/>
          <w:bCs/>
          <w:iCs/>
          <w:sz w:val="20"/>
          <w:szCs w:val="20"/>
          <w:lang w:eastAsia="es-ES"/>
        </w:rPr>
        <w:t xml:space="preserve"> </w:t>
      </w:r>
      <w:r w:rsidRPr="001634B4">
        <w:rPr>
          <w:rFonts w:ascii="Times New Roman" w:eastAsia="Montserrat" w:hAnsi="Times New Roman" w:cs="Times New Roman"/>
          <w:bCs/>
          <w:iCs/>
          <w:sz w:val="20"/>
          <w:szCs w:val="20"/>
          <w:lang w:eastAsia="es-ES"/>
        </w:rPr>
        <w:t>Constancia</w:t>
      </w:r>
      <w:r w:rsidRPr="001634B4">
        <w:rPr>
          <w:rFonts w:ascii="Times New Roman" w:eastAsia="Montserrat" w:hAnsi="Times New Roman" w:cs="Times New Roman"/>
          <w:bCs/>
          <w:sz w:val="20"/>
          <w:szCs w:val="20"/>
          <w:lang w:eastAsia="es-ES"/>
        </w:rPr>
        <w:t xml:space="preserve"> </w:t>
      </w:r>
      <w:r w:rsidRPr="001634B4">
        <w:rPr>
          <w:rFonts w:ascii="Times New Roman" w:eastAsia="Montserrat" w:hAnsi="Times New Roman" w:cs="Times New Roman"/>
          <w:bCs/>
          <w:iCs/>
          <w:sz w:val="20"/>
          <w:szCs w:val="20"/>
          <w:lang w:eastAsia="es-ES"/>
        </w:rPr>
        <w:t>con</w:t>
      </w:r>
      <w:r w:rsidRPr="001634B4">
        <w:rPr>
          <w:rFonts w:ascii="Times New Roman" w:eastAsia="Montserrat" w:hAnsi="Times New Roman" w:cs="Times New Roman"/>
          <w:bCs/>
          <w:sz w:val="20"/>
          <w:szCs w:val="20"/>
          <w:lang w:eastAsia="es-ES"/>
        </w:rPr>
        <w:t xml:space="preserve"> holograma “Tipo Doble Cero". </w:t>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t>$630</w:t>
      </w: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B).</w:t>
      </w:r>
      <w:r w:rsidRPr="001634B4">
        <w:rPr>
          <w:rFonts w:ascii="Times New Roman" w:eastAsia="Montserrat" w:hAnsi="Times New Roman" w:cs="Times New Roman"/>
          <w:bCs/>
          <w:sz w:val="20"/>
          <w:szCs w:val="20"/>
          <w:lang w:eastAsia="es-ES"/>
        </w:rPr>
        <w:t xml:space="preserve"> </w:t>
      </w:r>
      <w:r w:rsidRPr="001634B4">
        <w:rPr>
          <w:rFonts w:ascii="Times New Roman" w:eastAsia="Montserrat" w:hAnsi="Times New Roman" w:cs="Times New Roman"/>
          <w:bCs/>
          <w:iCs/>
          <w:sz w:val="20"/>
          <w:szCs w:val="20"/>
          <w:lang w:eastAsia="es-ES"/>
        </w:rPr>
        <w:t>Constancia</w:t>
      </w:r>
      <w:r w:rsidRPr="001634B4">
        <w:rPr>
          <w:rFonts w:ascii="Times New Roman" w:eastAsia="Montserrat" w:hAnsi="Times New Roman" w:cs="Times New Roman"/>
          <w:bCs/>
          <w:sz w:val="20"/>
          <w:szCs w:val="20"/>
          <w:lang w:eastAsia="es-ES"/>
        </w:rPr>
        <w:t xml:space="preserve"> </w:t>
      </w:r>
      <w:r w:rsidRPr="001634B4">
        <w:rPr>
          <w:rFonts w:ascii="Times New Roman" w:eastAsia="Montserrat" w:hAnsi="Times New Roman" w:cs="Times New Roman"/>
          <w:bCs/>
          <w:iCs/>
          <w:sz w:val="20"/>
          <w:szCs w:val="20"/>
          <w:lang w:eastAsia="es-ES"/>
        </w:rPr>
        <w:t>con</w:t>
      </w:r>
      <w:r w:rsidRPr="001634B4">
        <w:rPr>
          <w:rFonts w:ascii="Times New Roman" w:eastAsia="Montserrat" w:hAnsi="Times New Roman" w:cs="Times New Roman"/>
          <w:bCs/>
          <w:sz w:val="20"/>
          <w:szCs w:val="20"/>
          <w:lang w:eastAsia="es-ES"/>
        </w:rPr>
        <w:t xml:space="preserve"> holograma "Tipo Cero". </w:t>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t>$152</w:t>
      </w: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C).</w:t>
      </w:r>
      <w:r w:rsidRPr="001634B4">
        <w:rPr>
          <w:rFonts w:ascii="Times New Roman" w:eastAsia="Montserrat" w:hAnsi="Times New Roman" w:cs="Times New Roman"/>
          <w:bCs/>
          <w:sz w:val="20"/>
          <w:szCs w:val="20"/>
          <w:lang w:eastAsia="es-ES"/>
        </w:rPr>
        <w:t xml:space="preserve"> </w:t>
      </w:r>
      <w:r w:rsidRPr="001634B4">
        <w:rPr>
          <w:rFonts w:ascii="Times New Roman" w:eastAsia="Montserrat" w:hAnsi="Times New Roman" w:cs="Times New Roman"/>
          <w:bCs/>
          <w:iCs/>
          <w:sz w:val="20"/>
          <w:szCs w:val="20"/>
          <w:lang w:eastAsia="es-ES"/>
        </w:rPr>
        <w:t>Constancia</w:t>
      </w:r>
      <w:r w:rsidRPr="001634B4">
        <w:rPr>
          <w:rFonts w:ascii="Times New Roman" w:eastAsia="Montserrat" w:hAnsi="Times New Roman" w:cs="Times New Roman"/>
          <w:bCs/>
          <w:sz w:val="20"/>
          <w:szCs w:val="20"/>
          <w:lang w:eastAsia="es-ES"/>
        </w:rPr>
        <w:t xml:space="preserve"> </w:t>
      </w:r>
      <w:r w:rsidRPr="001634B4">
        <w:rPr>
          <w:rFonts w:ascii="Times New Roman" w:eastAsia="Montserrat" w:hAnsi="Times New Roman" w:cs="Times New Roman"/>
          <w:bCs/>
          <w:iCs/>
          <w:sz w:val="20"/>
          <w:szCs w:val="20"/>
          <w:lang w:eastAsia="es-ES"/>
        </w:rPr>
        <w:t>con</w:t>
      </w:r>
      <w:r w:rsidRPr="001634B4">
        <w:rPr>
          <w:rFonts w:ascii="Times New Roman" w:eastAsia="Montserrat" w:hAnsi="Times New Roman" w:cs="Times New Roman"/>
          <w:bCs/>
          <w:sz w:val="20"/>
          <w:szCs w:val="20"/>
          <w:lang w:eastAsia="es-ES"/>
        </w:rPr>
        <w:t xml:space="preserve"> holograma “Tipo Uno”. </w:t>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t xml:space="preserve">$152 </w:t>
      </w: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D).</w:t>
      </w:r>
      <w:r w:rsidRPr="001634B4">
        <w:rPr>
          <w:rFonts w:ascii="Times New Roman" w:eastAsia="Montserrat" w:hAnsi="Times New Roman" w:cs="Times New Roman"/>
          <w:b/>
          <w:bCs/>
          <w:iCs/>
          <w:sz w:val="20"/>
          <w:szCs w:val="20"/>
          <w:lang w:eastAsia="es-ES"/>
        </w:rPr>
        <w:t xml:space="preserve"> </w:t>
      </w:r>
      <w:r w:rsidRPr="001634B4">
        <w:rPr>
          <w:rFonts w:ascii="Times New Roman" w:eastAsia="Montserrat" w:hAnsi="Times New Roman" w:cs="Times New Roman"/>
          <w:bCs/>
          <w:iCs/>
          <w:sz w:val="20"/>
          <w:szCs w:val="20"/>
          <w:lang w:eastAsia="es-ES"/>
        </w:rPr>
        <w:t>Constancia</w:t>
      </w:r>
      <w:r w:rsidRPr="001634B4">
        <w:rPr>
          <w:rFonts w:ascii="Times New Roman" w:eastAsia="Montserrat" w:hAnsi="Times New Roman" w:cs="Times New Roman"/>
          <w:bCs/>
          <w:sz w:val="20"/>
          <w:szCs w:val="20"/>
          <w:lang w:eastAsia="es-ES"/>
        </w:rPr>
        <w:t xml:space="preserve"> </w:t>
      </w:r>
      <w:r w:rsidRPr="001634B4">
        <w:rPr>
          <w:rFonts w:ascii="Times New Roman" w:eastAsia="Montserrat" w:hAnsi="Times New Roman" w:cs="Times New Roman"/>
          <w:bCs/>
          <w:iCs/>
          <w:sz w:val="20"/>
          <w:szCs w:val="20"/>
          <w:lang w:eastAsia="es-ES"/>
        </w:rPr>
        <w:t>con</w:t>
      </w:r>
      <w:r w:rsidRPr="001634B4">
        <w:rPr>
          <w:rFonts w:ascii="Times New Roman" w:eastAsia="Montserrat" w:hAnsi="Times New Roman" w:cs="Times New Roman"/>
          <w:bCs/>
          <w:sz w:val="20"/>
          <w:szCs w:val="20"/>
          <w:lang w:eastAsia="es-ES"/>
        </w:rPr>
        <w:t xml:space="preserve"> holograma “Tipo Dos”. </w:t>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t>$152</w:t>
      </w: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E).</w:t>
      </w:r>
      <w:r w:rsidRPr="001634B4">
        <w:rPr>
          <w:rFonts w:ascii="Times New Roman" w:eastAsia="Times New Roman" w:hAnsi="Times New Roman" w:cs="Times New Roman"/>
          <w:b/>
          <w:bCs/>
          <w:iCs/>
          <w:sz w:val="20"/>
          <w:szCs w:val="20"/>
          <w:lang w:eastAsia="es-ES"/>
        </w:rPr>
        <w:t xml:space="preserve"> </w:t>
      </w:r>
      <w:r w:rsidRPr="001634B4">
        <w:rPr>
          <w:rFonts w:ascii="Times New Roman" w:eastAsia="Montserrat" w:hAnsi="Times New Roman" w:cs="Times New Roman"/>
          <w:bCs/>
          <w:iCs/>
          <w:sz w:val="20"/>
          <w:szCs w:val="20"/>
          <w:lang w:eastAsia="es-ES"/>
        </w:rPr>
        <w:t xml:space="preserve">Constancia con holograma "Tipo Exento Voluntario". </w:t>
      </w:r>
      <w:r w:rsidRPr="001634B4">
        <w:rPr>
          <w:rFonts w:ascii="Times New Roman" w:eastAsia="Montserrat" w:hAnsi="Times New Roman" w:cs="Times New Roman"/>
          <w:bCs/>
          <w:iCs/>
          <w:sz w:val="20"/>
          <w:szCs w:val="20"/>
          <w:lang w:eastAsia="es-ES"/>
        </w:rPr>
        <w:tab/>
      </w:r>
      <w:r w:rsidRPr="001634B4">
        <w:rPr>
          <w:rFonts w:ascii="Times New Roman" w:eastAsia="Montserrat" w:hAnsi="Times New Roman" w:cs="Times New Roman"/>
          <w:bCs/>
          <w:iCs/>
          <w:sz w:val="20"/>
          <w:szCs w:val="20"/>
          <w:lang w:eastAsia="es-ES"/>
        </w:rPr>
        <w:tab/>
      </w:r>
      <w:r w:rsidRPr="001634B4">
        <w:rPr>
          <w:rFonts w:ascii="Times New Roman" w:eastAsia="Montserrat" w:hAnsi="Times New Roman" w:cs="Times New Roman"/>
          <w:bCs/>
          <w:iCs/>
          <w:sz w:val="20"/>
          <w:szCs w:val="20"/>
          <w:lang w:eastAsia="es-ES"/>
        </w:rPr>
        <w:tab/>
      </w:r>
      <w:r w:rsidRPr="001634B4">
        <w:rPr>
          <w:rFonts w:ascii="Times New Roman" w:eastAsia="Montserrat" w:hAnsi="Times New Roman" w:cs="Times New Roman"/>
          <w:bCs/>
          <w:iCs/>
          <w:sz w:val="20"/>
          <w:szCs w:val="20"/>
          <w:lang w:eastAsia="es-ES"/>
        </w:rPr>
        <w:tab/>
      </w:r>
      <w:r w:rsidRPr="001634B4">
        <w:rPr>
          <w:rFonts w:ascii="Times New Roman" w:eastAsia="Montserrat" w:hAnsi="Times New Roman" w:cs="Times New Roman"/>
          <w:bCs/>
          <w:iCs/>
          <w:sz w:val="20"/>
          <w:szCs w:val="20"/>
          <w:lang w:val="es-ES" w:eastAsia="es-ES"/>
        </w:rPr>
        <w:t>$630</w:t>
      </w:r>
    </w:p>
    <w:p w:rsidR="001634B4" w:rsidRPr="001634B4" w:rsidRDefault="001634B4" w:rsidP="001634B4">
      <w:pPr>
        <w:spacing w:after="0" w:line="240" w:lineRule="auto"/>
        <w:ind w:right="172" w:firstLine="364"/>
        <w:jc w:val="both"/>
        <w:rPr>
          <w:rFonts w:ascii="Times New Roman" w:eastAsia="Montserrat" w:hAnsi="Times New Roman" w:cs="Times New Roman"/>
          <w:b/>
          <w:bCs/>
          <w:sz w:val="20"/>
          <w:szCs w:val="20"/>
          <w:lang w:eastAsia="es-ES"/>
        </w:rPr>
      </w:pPr>
    </w:p>
    <w:p w:rsidR="001634B4" w:rsidRPr="001634B4" w:rsidRDefault="001634B4" w:rsidP="001634B4">
      <w:pPr>
        <w:spacing w:after="0" w:line="240" w:lineRule="auto"/>
        <w:ind w:right="172" w:firstLine="36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iCs/>
          <w:sz w:val="20"/>
          <w:szCs w:val="20"/>
          <w:lang w:eastAsia="es-ES"/>
        </w:rPr>
        <w:t xml:space="preserve">F). </w:t>
      </w:r>
      <w:r w:rsidRPr="001634B4">
        <w:rPr>
          <w:rFonts w:ascii="Times New Roman" w:eastAsia="Montserrat" w:hAnsi="Times New Roman" w:cs="Times New Roman"/>
          <w:bCs/>
          <w:iCs/>
          <w:sz w:val="20"/>
          <w:szCs w:val="20"/>
          <w:lang w:eastAsia="es-ES"/>
        </w:rPr>
        <w:t>Constancia</w:t>
      </w:r>
      <w:r w:rsidRPr="001634B4">
        <w:rPr>
          <w:rFonts w:ascii="Times New Roman" w:eastAsia="Montserrat" w:hAnsi="Times New Roman" w:cs="Times New Roman"/>
          <w:bCs/>
          <w:sz w:val="20"/>
          <w:szCs w:val="20"/>
          <w:lang w:eastAsia="es-ES"/>
        </w:rPr>
        <w:t xml:space="preserve"> de no aprobación “Tipo Rechazo”.</w:t>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r>
      <w:r w:rsidRPr="001634B4">
        <w:rPr>
          <w:rFonts w:ascii="Times New Roman" w:eastAsia="Montserrat" w:hAnsi="Times New Roman" w:cs="Times New Roman"/>
          <w:bCs/>
          <w:sz w:val="20"/>
          <w:szCs w:val="20"/>
          <w:lang w:eastAsia="es-ES"/>
        </w:rPr>
        <w:tab/>
        <w:t>$39</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392" w:right="-2" w:hanging="56"/>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left="392" w:right="-2" w:hanging="56"/>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392" w:right="-2" w:hanging="56"/>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95.-</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2"/>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TARIFA</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CONCEPTO</w:t>
      </w:r>
    </w:p>
    <w:p w:rsidR="001634B4" w:rsidRPr="001634B4" w:rsidRDefault="001634B4" w:rsidP="001634B4">
      <w:pPr>
        <w:spacing w:after="0" w:line="240" w:lineRule="auto"/>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bCs/>
          <w:sz w:val="20"/>
          <w:szCs w:val="20"/>
          <w:lang w:eastAsia="es-ES"/>
        </w:rPr>
        <w:t xml:space="preserve">I.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4"/>
          <w:szCs w:val="4"/>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left="142"/>
        <w:jc w:val="both"/>
        <w:rPr>
          <w:rFonts w:ascii="Times New Roman" w:eastAsia="Times New Roman" w:hAnsi="Times New Roman" w:cs="Times New Roman"/>
          <w:sz w:val="16"/>
          <w:szCs w:val="16"/>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Tratándose de la cancelación por revocación, rescisión y mandato judicial, o a solicitud de parte interesada, de las inscripciones a que se refiere esta fracción, se pagarán $..., a excepción de las cancelaciones que se realicen a través del Instituto Nacional del Suelo Sustentable, en cuyo caso se pagará un derecho equivalente a $123.</w:t>
      </w:r>
    </w:p>
    <w:p w:rsidR="001634B4" w:rsidRPr="001634B4" w:rsidRDefault="001634B4" w:rsidP="001634B4">
      <w:pPr>
        <w:spacing w:after="0" w:line="240" w:lineRule="auto"/>
        <w:ind w:left="166"/>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Il.</w:t>
      </w:r>
      <w:r w:rsidRPr="001634B4">
        <w:rPr>
          <w:rFonts w:ascii="Times New Roman" w:eastAsia="Times New Roman" w:hAnsi="Times New Roman" w:cs="Times New Roman"/>
          <w:bCs/>
          <w:sz w:val="20"/>
          <w:szCs w:val="20"/>
          <w:lang w:eastAsia="es-ES"/>
        </w:rPr>
        <w:t xml:space="preserve"> a </w:t>
      </w:r>
      <w:r w:rsidRPr="001634B4">
        <w:rPr>
          <w:rFonts w:ascii="Times New Roman" w:eastAsia="Times New Roman" w:hAnsi="Times New Roman" w:cs="Times New Roman"/>
          <w:b/>
          <w:bCs/>
          <w:sz w:val="20"/>
          <w:szCs w:val="20"/>
          <w:lang w:eastAsia="es-ES"/>
        </w:rPr>
        <w:t>IV.</w:t>
      </w:r>
      <w:r w:rsidRPr="001634B4">
        <w:rPr>
          <w:rFonts w:ascii="Times New Roman" w:eastAsia="Times New Roman" w:hAnsi="Times New Roman" w:cs="Times New Roman"/>
          <w:bCs/>
          <w:sz w:val="20"/>
          <w:szCs w:val="20"/>
          <w:lang w:eastAsia="es-ES"/>
        </w:rPr>
        <w:t xml:space="preserve"> ...</w:t>
      </w:r>
    </w:p>
    <w:p w:rsidR="001634B4" w:rsidRPr="001634B4" w:rsidRDefault="001634B4" w:rsidP="001634B4">
      <w:pPr>
        <w:spacing w:after="0" w:line="240" w:lineRule="auto"/>
        <w:ind w:left="166"/>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Artículo 97.-</w:t>
      </w:r>
      <w:r w:rsidRPr="001634B4">
        <w:rPr>
          <w:rFonts w:ascii="Times New Roman" w:eastAsia="Times New Roman" w:hAnsi="Times New Roman" w:cs="Times New Roman"/>
          <w:bCs/>
          <w:sz w:val="20"/>
          <w:szCs w:val="20"/>
          <w:lang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right="-2"/>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TARIFA</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CONCEPTO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Las microindustrias que se encuentren registradas en el Padrón Nacional de la Microindustria, previa comprobación de su registro; las sociedades cooperativas y las instituciones de asistencia privada, deberán pagar por concepto de los derechos establecidos en este artículo $228.</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Artículo 105.-</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TARIFA</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CONCEPTO</w:t>
      </w:r>
      <w:r w:rsidRPr="001634B4">
        <w:rPr>
          <w:rFonts w:ascii="Times New Roman" w:eastAsia="Times New Roman" w:hAnsi="Times New Roman" w:cs="Times New Roman"/>
          <w:bCs/>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I.</w:t>
      </w:r>
      <w:r w:rsidRPr="001634B4">
        <w:rPr>
          <w:rFonts w:ascii="Times New Roman" w:eastAsia="Times New Roman" w:hAnsi="Times New Roman" w:cs="Times New Roman"/>
          <w:bCs/>
          <w:sz w:val="20"/>
          <w:szCs w:val="20"/>
          <w:lang w:val="es-ES" w:eastAsia="es-ES"/>
        </w:rPr>
        <w:t xml:space="preserve"> … </w:t>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t xml:space="preserve">        $4,170 </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II.</w:t>
      </w:r>
      <w:r w:rsidRPr="001634B4">
        <w:rPr>
          <w:rFonts w:ascii="Times New Roman" w:eastAsia="Times New Roman" w:hAnsi="Times New Roman" w:cs="Times New Roman"/>
          <w:bCs/>
          <w:sz w:val="20"/>
          <w:szCs w:val="20"/>
          <w:lang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454" w:hanging="6"/>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1.</w:t>
      </w:r>
      <w:r w:rsidRPr="001634B4">
        <w:rPr>
          <w:rFonts w:ascii="Times New Roman" w:eastAsia="Times New Roman" w:hAnsi="Times New Roman" w:cs="Times New Roman"/>
          <w:bCs/>
          <w:sz w:val="20"/>
          <w:szCs w:val="20"/>
          <w:lang w:val="es-ES" w:eastAsia="es-ES"/>
        </w:rPr>
        <w:t xml:space="preserve"> ... </w:t>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r>
      <w:r w:rsidRPr="001634B4">
        <w:rPr>
          <w:rFonts w:ascii="Times New Roman" w:eastAsia="Times New Roman" w:hAnsi="Times New Roman" w:cs="Times New Roman"/>
          <w:bCs/>
          <w:sz w:val="20"/>
          <w:szCs w:val="20"/>
          <w:lang w:val="es-ES" w:eastAsia="es-ES"/>
        </w:rPr>
        <w:tab/>
        <w:t xml:space="preserve">          $700 </w:t>
      </w:r>
    </w:p>
    <w:p w:rsidR="001634B4" w:rsidRPr="001634B4" w:rsidRDefault="001634B4" w:rsidP="001634B4">
      <w:pPr>
        <w:spacing w:after="0" w:line="240" w:lineRule="auto"/>
        <w:ind w:hanging="6"/>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firstLine="448"/>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2.</w:t>
      </w:r>
      <w:r w:rsidRPr="001634B4">
        <w:rPr>
          <w:rFonts w:ascii="Times New Roman" w:eastAsia="Times New Roman" w:hAnsi="Times New Roman" w:cs="Times New Roman"/>
          <w:bCs/>
          <w:sz w:val="20"/>
          <w:szCs w:val="20"/>
          <w:lang w:eastAsia="es-ES"/>
        </w:rPr>
        <w:t xml:space="preserve"> ... </w:t>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r>
      <w:r w:rsidRPr="001634B4">
        <w:rPr>
          <w:rFonts w:ascii="Times New Roman" w:eastAsia="Times New Roman" w:hAnsi="Times New Roman" w:cs="Times New Roman"/>
          <w:bCs/>
          <w:sz w:val="20"/>
          <w:szCs w:val="20"/>
          <w:lang w:eastAsia="es-ES"/>
        </w:rPr>
        <w:tab/>
        <w:t xml:space="preserve">          $800</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III.</w:t>
      </w:r>
      <w:r w:rsidRPr="001634B4">
        <w:rPr>
          <w:rFonts w:ascii="Times New Roman" w:eastAsia="Times New Roman" w:hAnsi="Times New Roman" w:cs="Times New Roman"/>
          <w:bCs/>
          <w:sz w:val="20"/>
          <w:szCs w:val="20"/>
          <w:lang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firstLine="434"/>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1. </w:t>
      </w:r>
      <w:r w:rsidRPr="001634B4">
        <w:rPr>
          <w:rFonts w:ascii="Times New Roman" w:eastAsia="Times New Roman" w:hAnsi="Times New Roman" w:cs="Times New Roman"/>
          <w:bCs/>
          <w:sz w:val="20"/>
          <w:szCs w:val="20"/>
          <w:lang w:eastAsia="es-ES"/>
        </w:rPr>
        <w:t xml:space="preserve">a </w:t>
      </w:r>
      <w:r w:rsidRPr="001634B4">
        <w:rPr>
          <w:rFonts w:ascii="Times New Roman" w:eastAsia="Times New Roman" w:hAnsi="Times New Roman" w:cs="Times New Roman"/>
          <w:b/>
          <w:bCs/>
          <w:sz w:val="20"/>
          <w:szCs w:val="20"/>
          <w:lang w:eastAsia="es-ES"/>
        </w:rPr>
        <w:t>7.</w:t>
      </w:r>
      <w:r w:rsidRPr="001634B4">
        <w:rPr>
          <w:rFonts w:ascii="Times New Roman" w:eastAsia="Times New Roman" w:hAnsi="Times New Roman" w:cs="Times New Roman"/>
          <w:bCs/>
          <w:sz w:val="20"/>
          <w:szCs w:val="20"/>
          <w:lang w:eastAsia="es-ES"/>
        </w:rPr>
        <w:t xml:space="preserve"> …</w:t>
      </w:r>
    </w:p>
    <w:p w:rsidR="001634B4" w:rsidRPr="001634B4" w:rsidRDefault="001634B4" w:rsidP="001634B4">
      <w:pPr>
        <w:widowControl w:val="0"/>
        <w:suppressAutoHyphens/>
        <w:spacing w:after="0" w:line="240" w:lineRule="auto"/>
        <w:ind w:left="720"/>
        <w:jc w:val="both"/>
        <w:rPr>
          <w:rFonts w:ascii="Times New Roman" w:eastAsia="Lucida Sans Unicode" w:hAnsi="Times New Roman" w:cs="Times New Roman"/>
          <w:bCs/>
          <w:kern w:val="1"/>
          <w:sz w:val="20"/>
          <w:szCs w:val="20"/>
          <w:lang w:eastAsia="es-ES"/>
        </w:rPr>
      </w:pPr>
    </w:p>
    <w:p w:rsidR="001634B4" w:rsidRPr="001634B4" w:rsidRDefault="001634B4" w:rsidP="001634B4">
      <w:pPr>
        <w:spacing w:after="0" w:line="240" w:lineRule="auto"/>
        <w:ind w:left="434"/>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8.</w:t>
      </w:r>
      <w:r w:rsidRPr="001634B4">
        <w:rPr>
          <w:rFonts w:ascii="Times New Roman" w:eastAsia="Times New Roman" w:hAnsi="Times New Roman" w:cs="Times New Roman"/>
          <w:bCs/>
          <w:sz w:val="20"/>
          <w:szCs w:val="20"/>
          <w:lang w:eastAsia="es-ES"/>
        </w:rPr>
        <w:t xml:space="preserve"> </w:t>
      </w:r>
      <w:r w:rsidRPr="001634B4">
        <w:rPr>
          <w:rFonts w:ascii="Times New Roman" w:eastAsia="Times New Roman" w:hAnsi="Times New Roman" w:cs="Times New Roman"/>
          <w:sz w:val="20"/>
          <w:szCs w:val="20"/>
          <w:lang w:eastAsia="es-ES"/>
        </w:rPr>
        <w:t xml:space="preserve">Seminario de Tesis.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t xml:space="preserve">        $4,525</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bCs/>
          <w:sz w:val="20"/>
          <w:szCs w:val="20"/>
          <w:lang w:eastAsia="es-ES"/>
        </w:rPr>
        <w:t>IV.</w:t>
      </w:r>
      <w:r w:rsidRPr="001634B4">
        <w:rPr>
          <w:rFonts w:ascii="Times New Roman" w:eastAsia="Times New Roman" w:hAnsi="Times New Roman" w:cs="Times New Roman"/>
          <w:bCs/>
          <w:sz w:val="20"/>
          <w:szCs w:val="20"/>
          <w:lang w:eastAsia="es-ES"/>
        </w:rPr>
        <w:t xml:space="preserve"> </w:t>
      </w:r>
      <w:r w:rsidRPr="001634B4">
        <w:rPr>
          <w:rFonts w:ascii="Times New Roman" w:eastAsia="Times New Roman" w:hAnsi="Times New Roman" w:cs="Times New Roman"/>
          <w:sz w:val="20"/>
          <w:szCs w:val="20"/>
          <w:lang w:eastAsia="es-ES"/>
        </w:rPr>
        <w:t>Por los servicios de impartición de Diplomados en:</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434"/>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1. </w:t>
      </w:r>
      <w:r w:rsidRPr="001634B4">
        <w:rPr>
          <w:rFonts w:ascii="Times New Roman" w:eastAsia="Times New Roman" w:hAnsi="Times New Roman" w:cs="Times New Roman"/>
          <w:sz w:val="20"/>
          <w:szCs w:val="20"/>
          <w:lang w:eastAsia="es-ES"/>
        </w:rPr>
        <w:t xml:space="preserve">Seguridad en el Trabajo y Salud Ocupacional.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00AD6E2A">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t xml:space="preserve">        $4,525</w:t>
      </w:r>
    </w:p>
    <w:p w:rsidR="001634B4" w:rsidRPr="001634B4" w:rsidRDefault="001634B4" w:rsidP="001634B4">
      <w:pPr>
        <w:spacing w:after="0" w:line="240" w:lineRule="auto"/>
        <w:ind w:left="434"/>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43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2. </w:t>
      </w:r>
      <w:r w:rsidRPr="001634B4">
        <w:rPr>
          <w:rFonts w:ascii="Times New Roman" w:eastAsia="Times New Roman" w:hAnsi="Times New Roman" w:cs="Times New Roman"/>
          <w:sz w:val="20"/>
          <w:szCs w:val="20"/>
          <w:lang w:eastAsia="es-ES"/>
        </w:rPr>
        <w:t xml:space="preserve">Seguridad, Salud y Medio Ambiente en el Trabajo.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00AD6E2A">
        <w:rPr>
          <w:rFonts w:ascii="Times New Roman" w:eastAsia="Times New Roman" w:hAnsi="Times New Roman" w:cs="Times New Roman"/>
          <w:sz w:val="20"/>
          <w:szCs w:val="20"/>
          <w:lang w:eastAsia="es-ES"/>
        </w:rPr>
        <w:tab/>
      </w:r>
      <w:r w:rsidR="00AD6E2A">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t xml:space="preserve">        $4,525</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center"/>
        <w:rPr>
          <w:rFonts w:ascii="Times New Roman" w:eastAsia="Times New Roman" w:hAnsi="Times New Roman" w:cs="Times New Roman"/>
          <w:b/>
          <w:bCs/>
          <w:sz w:val="20"/>
          <w:szCs w:val="20"/>
          <w:lang w:eastAsia="es-ES"/>
        </w:rPr>
      </w:pPr>
      <w:r w:rsidRPr="001634B4">
        <w:rPr>
          <w:rFonts w:ascii="Times New Roman" w:eastAsia="Times New Roman" w:hAnsi="Times New Roman" w:cs="Times New Roman"/>
          <w:b/>
          <w:bCs/>
          <w:sz w:val="20"/>
          <w:szCs w:val="20"/>
          <w:lang w:eastAsia="es-ES"/>
        </w:rPr>
        <w:t>Sección Décima Cuarta</w:t>
      </w:r>
    </w:p>
    <w:p w:rsidR="001634B4" w:rsidRPr="001634B4" w:rsidRDefault="001634B4" w:rsidP="001634B4">
      <w:pPr>
        <w:spacing w:after="0" w:line="240" w:lineRule="auto"/>
        <w:jc w:val="center"/>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Derogada</w:t>
      </w:r>
    </w:p>
    <w:p w:rsidR="001634B4" w:rsidRPr="001634B4" w:rsidRDefault="001634B4" w:rsidP="001634B4">
      <w:pPr>
        <w:spacing w:after="0" w:line="240" w:lineRule="auto"/>
        <w:jc w:val="center"/>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Artículo 106 Bis</w:t>
      </w:r>
      <w:r w:rsidRPr="001634B4">
        <w:rPr>
          <w:rFonts w:ascii="Times New Roman" w:eastAsia="Times New Roman" w:hAnsi="Times New Roman" w:cs="Times New Roman"/>
          <w:bCs/>
          <w:sz w:val="20"/>
          <w:szCs w:val="20"/>
          <w:lang w:eastAsia="es-ES"/>
        </w:rPr>
        <w:t>.- Derogado.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bCs/>
          <w:sz w:val="20"/>
          <w:szCs w:val="20"/>
          <w:lang w:val="es-ES" w:eastAsia="es-ES"/>
        </w:rPr>
        <w:t xml:space="preserve">Artículo 109.- </w:t>
      </w: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center"/>
        <w:rPr>
          <w:rFonts w:ascii="Times New Roman" w:eastAsia="Times New Roman" w:hAnsi="Times New Roman" w:cs="Times New Roman"/>
          <w:b/>
          <w:bCs/>
          <w:sz w:val="20"/>
          <w:szCs w:val="20"/>
          <w:lang w:val="es-ES" w:eastAsia="es-ES"/>
        </w:rPr>
      </w:pPr>
      <w:r w:rsidRPr="001634B4">
        <w:rPr>
          <w:rFonts w:ascii="Times New Roman" w:eastAsia="Times New Roman" w:hAnsi="Times New Roman" w:cs="Times New Roman"/>
          <w:b/>
          <w:bCs/>
          <w:sz w:val="20"/>
          <w:szCs w:val="20"/>
          <w:lang w:val="es-ES" w:eastAsia="es-ES"/>
        </w:rPr>
        <w:t>TARIFA</w:t>
      </w:r>
    </w:p>
    <w:p w:rsidR="001634B4" w:rsidRPr="001634B4" w:rsidRDefault="001634B4" w:rsidP="001634B4">
      <w:pPr>
        <w:spacing w:after="0" w:line="240" w:lineRule="auto"/>
        <w:jc w:val="both"/>
        <w:rPr>
          <w:rFonts w:ascii="Times New Roman" w:eastAsia="Times New Roman" w:hAnsi="Times New Roman" w:cs="Times New Roman"/>
          <w:b/>
          <w:sz w:val="18"/>
          <w:szCs w:val="18"/>
          <w:highlight w:val="green"/>
          <w:lang w:val="es-ES" w:eastAsia="es-ES"/>
        </w:rPr>
      </w:pPr>
    </w:p>
    <w:tbl>
      <w:tblPr>
        <w:tblW w:w="5000" w:type="pct"/>
        <w:tblLayout w:type="fixed"/>
        <w:tblLook w:val="01E0" w:firstRow="1" w:lastRow="1" w:firstColumn="1" w:lastColumn="1" w:noHBand="0" w:noVBand="0"/>
      </w:tblPr>
      <w:tblGrid>
        <w:gridCol w:w="1137"/>
        <w:gridCol w:w="2120"/>
        <w:gridCol w:w="2383"/>
        <w:gridCol w:w="1591"/>
        <w:gridCol w:w="2174"/>
      </w:tblGrid>
      <w:tr w:rsidR="001634B4" w:rsidRPr="001634B4" w:rsidTr="001634B4">
        <w:tc>
          <w:tcPr>
            <w:tcW w:w="604" w:type="pct"/>
          </w:tcPr>
          <w:p w:rsidR="001634B4" w:rsidRPr="001634B4" w:rsidRDefault="001634B4" w:rsidP="001634B4">
            <w:pPr>
              <w:autoSpaceDE w:val="0"/>
              <w:autoSpaceDN w:val="0"/>
              <w:adjustRightInd w:val="0"/>
              <w:spacing w:after="0" w:line="240" w:lineRule="auto"/>
              <w:jc w:val="both"/>
              <w:rPr>
                <w:rFonts w:ascii="Times New Roman" w:eastAsia="Times New Roman" w:hAnsi="Times New Roman" w:cs="Times New Roman"/>
                <w:sz w:val="18"/>
                <w:szCs w:val="18"/>
                <w:lang w:val="es-ES" w:eastAsia="es-ES"/>
              </w:rPr>
            </w:pPr>
          </w:p>
        </w:tc>
        <w:tc>
          <w:tcPr>
            <w:tcW w:w="2393" w:type="pct"/>
            <w:gridSpan w:val="2"/>
          </w:tcPr>
          <w:p w:rsidR="001634B4" w:rsidRPr="001634B4" w:rsidRDefault="001634B4" w:rsidP="001634B4">
            <w:pPr>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RANGOS DE VALORES</w:t>
            </w:r>
          </w:p>
          <w:p w:rsidR="001634B4" w:rsidRPr="001634B4" w:rsidRDefault="001634B4" w:rsidP="001634B4">
            <w:pPr>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CATASTRALES</w:t>
            </w:r>
          </w:p>
          <w:p w:rsidR="001634B4" w:rsidRPr="001634B4" w:rsidRDefault="001634B4" w:rsidP="001634B4">
            <w:pPr>
              <w:autoSpaceDE w:val="0"/>
              <w:autoSpaceDN w:val="0"/>
              <w:adjustRightInd w:val="0"/>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(en pesos)</w:t>
            </w:r>
          </w:p>
        </w:tc>
        <w:tc>
          <w:tcPr>
            <w:tcW w:w="846" w:type="pct"/>
          </w:tcPr>
          <w:p w:rsidR="001634B4" w:rsidRPr="001634B4" w:rsidRDefault="001634B4" w:rsidP="001634B4">
            <w:pPr>
              <w:autoSpaceDE w:val="0"/>
              <w:autoSpaceDN w:val="0"/>
              <w:adjustRightInd w:val="0"/>
              <w:spacing w:after="0" w:line="240" w:lineRule="auto"/>
              <w:jc w:val="both"/>
              <w:rPr>
                <w:rFonts w:ascii="Times New Roman" w:eastAsia="Times New Roman" w:hAnsi="Times New Roman" w:cs="Times New Roman"/>
                <w:sz w:val="18"/>
                <w:szCs w:val="18"/>
                <w:lang w:val="es-ES" w:eastAsia="es-ES"/>
              </w:rPr>
            </w:pPr>
          </w:p>
        </w:tc>
        <w:tc>
          <w:tcPr>
            <w:tcW w:w="1157" w:type="pct"/>
          </w:tcPr>
          <w:p w:rsidR="001634B4" w:rsidRPr="001634B4" w:rsidRDefault="001634B4" w:rsidP="001634B4">
            <w:pPr>
              <w:autoSpaceDE w:val="0"/>
              <w:autoSpaceDN w:val="0"/>
              <w:adjustRightInd w:val="0"/>
              <w:spacing w:after="0" w:line="240" w:lineRule="auto"/>
              <w:ind w:right="-1098"/>
              <w:jc w:val="both"/>
              <w:rPr>
                <w:rFonts w:ascii="Times New Roman" w:eastAsia="Times New Roman" w:hAnsi="Times New Roman" w:cs="Times New Roman"/>
                <w:sz w:val="18"/>
                <w:szCs w:val="18"/>
                <w:lang w:val="es-ES" w:eastAsia="es-ES"/>
              </w:rPr>
            </w:pP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RANGO</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 xml:space="preserve">LIMITE </w:t>
            </w:r>
          </w:p>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b/>
                <w:sz w:val="18"/>
                <w:szCs w:val="18"/>
                <w:lang w:val="es-ES" w:eastAsia="es-ES"/>
              </w:rPr>
              <w:t>INFERIOR</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LIMITE</w:t>
            </w:r>
          </w:p>
          <w:p w:rsidR="001634B4" w:rsidRPr="001634B4" w:rsidRDefault="001634B4" w:rsidP="001634B4">
            <w:pPr>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SUPERIOR</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 xml:space="preserve">CUOTA FIJA </w:t>
            </w:r>
          </w:p>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b/>
                <w:sz w:val="18"/>
                <w:szCs w:val="18"/>
                <w:lang w:val="es-ES" w:eastAsia="es-ES"/>
              </w:rPr>
              <w:t>(en pesos)</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b/>
                <w:sz w:val="18"/>
                <w:szCs w:val="18"/>
                <w:lang w:val="es-ES" w:eastAsia="es-ES"/>
              </w:rPr>
            </w:pPr>
            <w:r w:rsidRPr="001634B4">
              <w:rPr>
                <w:rFonts w:ascii="Times New Roman" w:eastAsia="Times New Roman" w:hAnsi="Times New Roman" w:cs="Times New Roman"/>
                <w:b/>
                <w:sz w:val="18"/>
                <w:szCs w:val="18"/>
                <w:lang w:val="es-ES" w:eastAsia="es-ES"/>
              </w:rPr>
              <w:t xml:space="preserve">FACTOR PARA APLICARSE </w:t>
            </w:r>
          </w:p>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b/>
                <w:sz w:val="18"/>
                <w:szCs w:val="18"/>
                <w:lang w:val="es-ES" w:eastAsia="es-ES"/>
              </w:rPr>
              <w:t>A CADA RANGO</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180,970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176</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0.000342</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180,971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343,840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238</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0.001399</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3</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343,841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554,420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466</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0.001447</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4</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554,421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763,890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771</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0.001850</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5</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763,891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973,930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1,159</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0.002364</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6</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973,931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1,188,880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1,656</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0.002766</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7</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1,188,881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1,403,840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2,251</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0.003492</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8</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1,403,841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1,618,840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3,002</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0.004045</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9</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1,618,841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1,854,060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3,872</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0.004381</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10</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1,854,061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2,100,310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4,903</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0.004668</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11</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2,100,311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2,433,150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6,053</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0.004841</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12</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2,433,151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2,780,990</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7,665</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0.005124</w:t>
            </w:r>
          </w:p>
        </w:tc>
      </w:tr>
      <w:tr w:rsidR="001634B4" w:rsidRPr="001634B4" w:rsidTr="001634B4">
        <w:tc>
          <w:tcPr>
            <w:tcW w:w="604"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13</w:t>
            </w:r>
          </w:p>
        </w:tc>
        <w:tc>
          <w:tcPr>
            <w:tcW w:w="112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2,780,991</w:t>
            </w:r>
          </w:p>
        </w:tc>
        <w:tc>
          <w:tcPr>
            <w:tcW w:w="126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En adelante</w:t>
            </w:r>
          </w:p>
        </w:tc>
        <w:tc>
          <w:tcPr>
            <w:tcW w:w="846"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9,448</w:t>
            </w:r>
          </w:p>
        </w:tc>
        <w:tc>
          <w:tcPr>
            <w:tcW w:w="1157" w:type="pct"/>
          </w:tcPr>
          <w:p w:rsidR="001634B4" w:rsidRPr="001634B4" w:rsidRDefault="001634B4" w:rsidP="001634B4">
            <w:pPr>
              <w:spacing w:after="0" w:line="240" w:lineRule="auto"/>
              <w:jc w:val="center"/>
              <w:rPr>
                <w:rFonts w:ascii="Times New Roman" w:eastAsia="Times New Roman" w:hAnsi="Times New Roman" w:cs="Times New Roman"/>
                <w:sz w:val="18"/>
                <w:szCs w:val="18"/>
                <w:lang w:val="es-ES" w:eastAsia="es-ES"/>
              </w:rPr>
            </w:pPr>
            <w:r w:rsidRPr="001634B4">
              <w:rPr>
                <w:rFonts w:ascii="Times New Roman" w:eastAsia="Times New Roman" w:hAnsi="Times New Roman" w:cs="Times New Roman"/>
                <w:sz w:val="18"/>
                <w:szCs w:val="18"/>
                <w:lang w:val="es-ES" w:eastAsia="es-ES"/>
              </w:rPr>
              <w:t xml:space="preserve">0.003628 </w:t>
            </w:r>
          </w:p>
        </w:tc>
      </w:tr>
    </w:tbl>
    <w:p w:rsidR="001634B4" w:rsidRPr="001634B4" w:rsidRDefault="001634B4" w:rsidP="001634B4">
      <w:pPr>
        <w:spacing w:after="0" w:line="240" w:lineRule="auto"/>
        <w:jc w:val="both"/>
        <w:rPr>
          <w:rFonts w:ascii="Times New Roman" w:eastAsia="Times New Roman" w:hAnsi="Times New Roman" w:cs="Times New Roman"/>
          <w:bCs/>
          <w:sz w:val="18"/>
          <w:szCs w:val="18"/>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autoSpaceDE w:val="0"/>
        <w:autoSpaceDN w:val="0"/>
        <w:adjustRightInd w:val="0"/>
        <w:spacing w:after="0" w:line="240" w:lineRule="auto"/>
        <w:ind w:right="150"/>
        <w:jc w:val="both"/>
        <w:rPr>
          <w:rFonts w:ascii="Times New Roman" w:eastAsia="Times New Roman" w:hAnsi="Times New Roman" w:cs="Times New Roman"/>
          <w:b/>
          <w:bCs/>
          <w:sz w:val="20"/>
          <w:szCs w:val="20"/>
          <w:lang w:val="es-ES" w:eastAsia="es-ES"/>
        </w:rPr>
      </w:pPr>
      <w:r w:rsidRPr="001634B4">
        <w:rPr>
          <w:rFonts w:ascii="Times New Roman" w:eastAsia="Times New Roman" w:hAnsi="Times New Roman" w:cs="Times New Roman"/>
          <w:b/>
          <w:noProof/>
          <w:sz w:val="20"/>
          <w:szCs w:val="20"/>
          <w:lang w:val="es-ES" w:eastAsia="es-ES"/>
        </w:rPr>
        <w:t>Artículo 115.-</w:t>
      </w:r>
      <w:r w:rsidRPr="001634B4">
        <w:rPr>
          <w:rFonts w:ascii="Times New Roman" w:eastAsia="Times New Roman" w:hAnsi="Times New Roman" w:cs="Times New Roman"/>
          <w:noProof/>
          <w:sz w:val="20"/>
          <w:szCs w:val="20"/>
          <w:lang w:val="es-ES" w:eastAsia="es-ES"/>
        </w:rPr>
        <w:t xml:space="preserve"> …</w:t>
      </w:r>
    </w:p>
    <w:p w:rsidR="001634B4" w:rsidRPr="001634B4" w:rsidRDefault="001634B4" w:rsidP="001634B4">
      <w:pPr>
        <w:spacing w:after="0" w:line="240" w:lineRule="auto"/>
        <w:ind w:right="150"/>
        <w:jc w:val="both"/>
        <w:rPr>
          <w:rFonts w:ascii="Times New Roman" w:eastAsia="Times New Roman" w:hAnsi="Times New Roman" w:cs="Times New Roman"/>
          <w:bCs/>
          <w:sz w:val="4"/>
          <w:szCs w:val="4"/>
          <w:lang w:val="es-ES" w:eastAsia="es-MX"/>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MX"/>
        </w:rPr>
      </w:pPr>
      <w:r w:rsidRPr="001634B4">
        <w:rPr>
          <w:rFonts w:ascii="Times New Roman" w:eastAsia="Times New Roman" w:hAnsi="Times New Roman" w:cs="Times New Roman"/>
          <w:bCs/>
          <w:sz w:val="20"/>
          <w:szCs w:val="20"/>
          <w:lang w:val="es-ES" w:eastAsia="es-MX"/>
        </w:rPr>
        <w:t>...</w:t>
      </w: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MX"/>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MX"/>
        </w:rPr>
      </w:pPr>
      <w:r w:rsidRPr="001634B4">
        <w:rPr>
          <w:rFonts w:ascii="Times New Roman" w:eastAsia="Times New Roman" w:hAnsi="Times New Roman" w:cs="Times New Roman"/>
          <w:bCs/>
          <w:sz w:val="20"/>
          <w:szCs w:val="20"/>
          <w:lang w:val="es-ES" w:eastAsia="es-MX"/>
        </w:rPr>
        <w:t>...</w:t>
      </w: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right="15"/>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El monto del impuesto a pagar, será el resultado de sumar a la cuota fija que corresponda, de conformidad con la tarifa, la cantidad que se determine al multiplicar el factor aplicable previsto para cada rango, por la diferencia que exista entre la base gravable determinada conforme al párrafo segundo de este artículo y el importe indicado en el límite inferior del rango de valor base relativo.</w:t>
      </w:r>
    </w:p>
    <w:p w:rsidR="001634B4" w:rsidRPr="001634B4" w:rsidRDefault="001634B4" w:rsidP="001634B4">
      <w:pPr>
        <w:spacing w:after="0" w:line="240" w:lineRule="auto"/>
        <w:ind w:right="150"/>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ind w:right="150"/>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ind w:right="150"/>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ind w:right="150"/>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ind w:right="150"/>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ind w:right="150"/>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ind w:right="150"/>
        <w:jc w:val="both"/>
        <w:rPr>
          <w:rFonts w:ascii="Times New Roman" w:eastAsia="Times New Roman" w:hAnsi="Times New Roman" w:cs="Times New Roman"/>
          <w:bCs/>
          <w:sz w:val="16"/>
          <w:szCs w:val="16"/>
          <w:lang w:val="es-ES" w:eastAsia="es-ES"/>
        </w:rPr>
      </w:pPr>
    </w:p>
    <w:p w:rsidR="001634B4" w:rsidRPr="001634B4" w:rsidRDefault="001634B4" w:rsidP="001634B4">
      <w:pPr>
        <w:spacing w:after="0" w:line="240" w:lineRule="auto"/>
        <w:ind w:right="150"/>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Artículo 123.-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widowControl w:val="0"/>
        <w:autoSpaceDE w:val="0"/>
        <w:autoSpaceDN w:val="0"/>
        <w:adjustRightInd w:val="0"/>
        <w:spacing w:after="0" w:line="240" w:lineRule="auto"/>
        <w:ind w:left="224" w:right="33" w:hanging="224"/>
        <w:contextualSpacing/>
        <w:jc w:val="both"/>
        <w:rPr>
          <w:rFonts w:ascii="Times New Roman" w:eastAsia="Lucida Sans Unicode" w:hAnsi="Times New Roman" w:cs="Times New Roman"/>
          <w:kern w:val="1"/>
          <w:sz w:val="20"/>
          <w:szCs w:val="20"/>
          <w:lang w:val="es-ES_tradnl" w:eastAsia="es-MX"/>
        </w:rPr>
      </w:pPr>
      <w:r w:rsidRPr="001634B4">
        <w:rPr>
          <w:rFonts w:ascii="Times New Roman" w:eastAsia="Lucida Sans Unicode" w:hAnsi="Times New Roman" w:cs="Times New Roman"/>
          <w:b/>
          <w:kern w:val="1"/>
          <w:sz w:val="20"/>
          <w:szCs w:val="20"/>
          <w:lang w:val="es-ES_tradnl" w:eastAsia="es-MX"/>
        </w:rPr>
        <w:t xml:space="preserve">I. </w:t>
      </w:r>
      <w:r w:rsidRPr="001634B4">
        <w:rPr>
          <w:rFonts w:ascii="Times New Roman" w:eastAsia="Lucida Sans Unicode" w:hAnsi="Times New Roman" w:cs="Times New Roman"/>
          <w:kern w:val="1"/>
          <w:sz w:val="20"/>
          <w:szCs w:val="20"/>
          <w:lang w:val="es-ES_tradnl" w:eastAsia="es-MX"/>
        </w:rPr>
        <w:t xml:space="preserve">Tratándose de juegos, </w:t>
      </w:r>
      <w:r w:rsidRPr="001634B4">
        <w:rPr>
          <w:rFonts w:ascii="Times New Roman" w:eastAsia="Lucida Sans Unicode" w:hAnsi="Times New Roman" w:cs="Times New Roman"/>
          <w:bCs/>
          <w:kern w:val="1"/>
          <w:sz w:val="20"/>
          <w:szCs w:val="20"/>
          <w:lang w:val="es-ES_tradnl" w:eastAsia="es-ES"/>
        </w:rPr>
        <w:t xml:space="preserve">distintos a los señalados en el párrafo sexto de este artículo, </w:t>
      </w:r>
      <w:r w:rsidRPr="001634B4">
        <w:rPr>
          <w:rFonts w:ascii="Times New Roman" w:eastAsia="Lucida Sans Unicode" w:hAnsi="Times New Roman" w:cs="Times New Roman"/>
          <w:kern w:val="1"/>
          <w:sz w:val="20"/>
          <w:szCs w:val="20"/>
          <w:lang w:val="es-ES_tradnl" w:eastAsia="es-MX"/>
        </w:rPr>
        <w:t xml:space="preserve">explotados por personas físicas o jurídicas colectivas que no cuenten con establecimiento debidamente constituido, la tasa </w:t>
      </w:r>
      <w:r w:rsidRPr="001634B4">
        <w:rPr>
          <w:rFonts w:ascii="Times New Roman" w:eastAsia="Lucida Sans Unicode" w:hAnsi="Times New Roman" w:cs="Times New Roman"/>
          <w:bCs/>
          <w:kern w:val="1"/>
          <w:sz w:val="20"/>
          <w:szCs w:val="20"/>
          <w:lang w:val="es-ES_tradnl" w:eastAsia="es-MX"/>
        </w:rPr>
        <w:t>será del</w:t>
      </w:r>
      <w:r w:rsidRPr="001634B4">
        <w:rPr>
          <w:rFonts w:ascii="Times New Roman" w:eastAsia="Lucida Sans Unicode" w:hAnsi="Times New Roman" w:cs="Times New Roman"/>
          <w:kern w:val="1"/>
          <w:sz w:val="20"/>
          <w:szCs w:val="20"/>
          <w:lang w:val="es-ES_tradnl" w:eastAsia="es-MX"/>
        </w:rPr>
        <w:t xml:space="preserve"> 10%.</w:t>
      </w:r>
    </w:p>
    <w:p w:rsidR="001634B4" w:rsidRPr="001634B4" w:rsidRDefault="001634B4" w:rsidP="001634B4">
      <w:pPr>
        <w:widowControl w:val="0"/>
        <w:suppressAutoHyphens/>
        <w:autoSpaceDE w:val="0"/>
        <w:autoSpaceDN w:val="0"/>
        <w:adjustRightInd w:val="0"/>
        <w:spacing w:after="0" w:line="240" w:lineRule="auto"/>
        <w:ind w:left="456" w:right="33"/>
        <w:jc w:val="both"/>
        <w:rPr>
          <w:rFonts w:ascii="Times New Roman" w:eastAsia="Lucida Sans Unicode" w:hAnsi="Times New Roman" w:cs="Times New Roman"/>
          <w:b/>
          <w:bCs/>
          <w:kern w:val="1"/>
          <w:sz w:val="20"/>
          <w:szCs w:val="20"/>
          <w:lang w:val="es-ES_tradnl" w:eastAsia="es-MX"/>
        </w:rPr>
      </w:pPr>
    </w:p>
    <w:p w:rsidR="001634B4" w:rsidRPr="001634B4" w:rsidRDefault="001634B4" w:rsidP="001634B4">
      <w:pPr>
        <w:widowControl w:val="0"/>
        <w:suppressAutoHyphens/>
        <w:autoSpaceDE w:val="0"/>
        <w:autoSpaceDN w:val="0"/>
        <w:adjustRightInd w:val="0"/>
        <w:spacing w:after="0" w:line="240" w:lineRule="auto"/>
        <w:ind w:left="224" w:right="33"/>
        <w:jc w:val="both"/>
        <w:rPr>
          <w:rFonts w:ascii="Times New Roman" w:eastAsia="Lucida Sans Unicode" w:hAnsi="Times New Roman" w:cs="Times New Roman"/>
          <w:kern w:val="1"/>
          <w:sz w:val="20"/>
          <w:szCs w:val="20"/>
          <w:lang w:val="es-ES_tradnl" w:eastAsia="es-MX"/>
        </w:rPr>
      </w:pPr>
      <w:r w:rsidRPr="001634B4">
        <w:rPr>
          <w:rFonts w:ascii="Times New Roman" w:eastAsia="Lucida Sans Unicode" w:hAnsi="Times New Roman" w:cs="Times New Roman"/>
          <w:bCs/>
          <w:kern w:val="1"/>
          <w:sz w:val="20"/>
          <w:szCs w:val="20"/>
          <w:lang w:val="es-ES_tradnl" w:eastAsia="es-MX"/>
        </w:rPr>
        <w:t>Tratándose</w:t>
      </w:r>
      <w:r w:rsidRPr="001634B4">
        <w:rPr>
          <w:rFonts w:ascii="Times New Roman" w:eastAsia="Lucida Sans Unicode" w:hAnsi="Times New Roman" w:cs="Times New Roman"/>
          <w:kern w:val="1"/>
          <w:sz w:val="20"/>
          <w:szCs w:val="20"/>
          <w:lang w:val="es-ES_tradnl" w:eastAsia="es-MX"/>
        </w:rPr>
        <w:t xml:space="preserve"> de juegos, </w:t>
      </w:r>
      <w:r w:rsidRPr="001634B4">
        <w:rPr>
          <w:rFonts w:ascii="Times New Roman" w:eastAsia="Lucida Sans Unicode" w:hAnsi="Times New Roman" w:cs="Times New Roman"/>
          <w:bCs/>
          <w:kern w:val="1"/>
          <w:sz w:val="20"/>
          <w:szCs w:val="20"/>
          <w:lang w:val="es-ES_tradnl" w:eastAsia="es-ES"/>
        </w:rPr>
        <w:t>distintos a los señalados en el párrafo sexto de este artículo,</w:t>
      </w:r>
      <w:r w:rsidRPr="001634B4">
        <w:rPr>
          <w:rFonts w:ascii="Times New Roman" w:eastAsia="Lucida Sans Unicode" w:hAnsi="Times New Roman" w:cs="Times New Roman"/>
          <w:kern w:val="1"/>
          <w:sz w:val="20"/>
          <w:szCs w:val="20"/>
          <w:lang w:val="es-ES_tradnl" w:eastAsia="es-MX"/>
        </w:rPr>
        <w:t xml:space="preserve"> explotados por personas físicas o jurídicas colectivas que cuenten con establecimiento debidamente constituido, la tasa </w:t>
      </w:r>
      <w:r w:rsidRPr="001634B4">
        <w:rPr>
          <w:rFonts w:ascii="Times New Roman" w:eastAsia="Lucida Sans Unicode" w:hAnsi="Times New Roman" w:cs="Times New Roman"/>
          <w:bCs/>
          <w:kern w:val="1"/>
          <w:sz w:val="20"/>
          <w:szCs w:val="20"/>
          <w:lang w:val="es-ES_tradnl" w:eastAsia="es-MX"/>
        </w:rPr>
        <w:t>será del</w:t>
      </w:r>
      <w:r w:rsidRPr="001634B4">
        <w:rPr>
          <w:rFonts w:ascii="Times New Roman" w:eastAsia="Lucida Sans Unicode" w:hAnsi="Times New Roman" w:cs="Times New Roman"/>
          <w:kern w:val="1"/>
          <w:sz w:val="20"/>
          <w:szCs w:val="20"/>
          <w:lang w:val="es-ES_tradnl" w:eastAsia="es-MX"/>
        </w:rPr>
        <w:t xml:space="preserve"> 5%.</w:t>
      </w:r>
    </w:p>
    <w:p w:rsidR="001634B4" w:rsidRPr="001634B4" w:rsidRDefault="001634B4" w:rsidP="001634B4">
      <w:pPr>
        <w:spacing w:after="0" w:line="240" w:lineRule="auto"/>
        <w:jc w:val="both"/>
        <w:rPr>
          <w:rFonts w:ascii="Times New Roman" w:eastAsia="Times New Roman" w:hAnsi="Times New Roman" w:cs="Times New Roman"/>
          <w:sz w:val="20"/>
          <w:szCs w:val="20"/>
          <w:lang w:val="es-ES_tradnl"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_tradnl" w:eastAsia="es-ES"/>
        </w:rPr>
      </w:pPr>
      <w:r w:rsidRPr="001634B4">
        <w:rPr>
          <w:rFonts w:ascii="Times New Roman" w:eastAsia="Times New Roman" w:hAnsi="Times New Roman" w:cs="Times New Roman"/>
          <w:b/>
          <w:sz w:val="20"/>
          <w:szCs w:val="20"/>
          <w:lang w:val="es-ES_tradnl" w:eastAsia="es-ES"/>
        </w:rPr>
        <w:t>II.</w:t>
      </w:r>
      <w:r w:rsidRPr="001634B4">
        <w:rPr>
          <w:rFonts w:ascii="Times New Roman" w:eastAsia="Times New Roman" w:hAnsi="Times New Roman" w:cs="Times New Roman"/>
          <w:sz w:val="20"/>
          <w:szCs w:val="20"/>
          <w:lang w:val="es-ES_tradnl" w:eastAsia="es-ES"/>
        </w:rPr>
        <w:t xml:space="preserve"> a </w:t>
      </w:r>
      <w:r w:rsidRPr="001634B4">
        <w:rPr>
          <w:rFonts w:ascii="Times New Roman" w:eastAsia="Times New Roman" w:hAnsi="Times New Roman" w:cs="Times New Roman"/>
          <w:b/>
          <w:sz w:val="20"/>
          <w:szCs w:val="20"/>
          <w:lang w:val="es-ES_tradnl" w:eastAsia="es-ES"/>
        </w:rPr>
        <w:t>III.</w:t>
      </w:r>
      <w:r w:rsidRPr="001634B4">
        <w:rPr>
          <w:rFonts w:ascii="Times New Roman" w:eastAsia="Times New Roman" w:hAnsi="Times New Roman" w:cs="Times New Roman"/>
          <w:sz w:val="20"/>
          <w:szCs w:val="20"/>
          <w:lang w:val="es-ES_tradnl"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16"/>
          <w:szCs w:val="16"/>
          <w:lang w:val="es-ES_tradnl"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93"/>
        <w:jc w:val="both"/>
        <w:rPr>
          <w:rFonts w:ascii="Arial" w:eastAsia="Times New Roman" w:hAnsi="Arial" w:cs="Times New Roman"/>
          <w:b/>
          <w:bCs/>
          <w:sz w:val="20"/>
          <w:szCs w:val="20"/>
          <w:highlight w:val="green"/>
          <w:lang w:val="es-ES" w:eastAsia="es-ES"/>
        </w:rPr>
      </w:pPr>
    </w:p>
    <w:p w:rsidR="001634B4" w:rsidRPr="001634B4" w:rsidRDefault="001634B4" w:rsidP="001634B4">
      <w:pPr>
        <w:widowControl w:val="0"/>
        <w:kinsoku w:val="0"/>
        <w:spacing w:after="0" w:line="240" w:lineRule="auto"/>
        <w:ind w:right="2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 xml:space="preserve">Tratándose de la categoría de </w:t>
      </w:r>
      <w:r w:rsidRPr="001634B4">
        <w:rPr>
          <w:rFonts w:ascii="Times New Roman" w:eastAsia="Times New Roman" w:hAnsi="Times New Roman" w:cs="Times New Roman"/>
          <w:bCs/>
          <w:sz w:val="20"/>
          <w:szCs w:val="20"/>
          <w:lang w:eastAsia="es-ES"/>
        </w:rPr>
        <w:t xml:space="preserve">juegos, en los cuales, </w:t>
      </w:r>
      <w:r w:rsidRPr="001634B4">
        <w:rPr>
          <w:rFonts w:ascii="Times New Roman" w:eastAsia="Times New Roman" w:hAnsi="Times New Roman" w:cs="Times New Roman"/>
          <w:sz w:val="20"/>
          <w:szCs w:val="20"/>
          <w:lang w:eastAsia="es-MX"/>
        </w:rPr>
        <w:t>mediante el uso de mandos o controles, se permita interactuar con un dispositivo electrónico, y</w:t>
      </w:r>
      <w:r w:rsidRPr="001634B4">
        <w:rPr>
          <w:rFonts w:ascii="Times New Roman" w:eastAsia="Times New Roman" w:hAnsi="Times New Roman" w:cs="Times New Roman"/>
          <w:sz w:val="20"/>
          <w:szCs w:val="20"/>
          <w:lang w:eastAsia="es-ES"/>
        </w:rPr>
        <w:t xml:space="preserve"> cuya activación sea a través de monedas, fichas, tarjetas magnéticas o cualquier otro dispositivo, o mediante la intervención de un intermediario; y que impliquen interacción de uno o varios usuarios con dichos dispositivos electrónicos, pagarán mensualmente 2.0 veces el valor diario de la Unidad de Medida y Actualización vigente por cada uno.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widowControl w:val="0"/>
        <w:spacing w:after="0" w:line="240" w:lineRule="auto"/>
        <w:ind w:right="15"/>
        <w:jc w:val="both"/>
        <w:rPr>
          <w:rFonts w:ascii="Times New Roman" w:eastAsia="Times New Roman" w:hAnsi="Times New Roman" w:cs="Times New Roman"/>
          <w:snapToGrid w:val="0"/>
          <w:sz w:val="20"/>
          <w:szCs w:val="20"/>
          <w:lang w:eastAsia="es-ES"/>
        </w:rPr>
      </w:pPr>
      <w:r w:rsidRPr="001634B4">
        <w:rPr>
          <w:rFonts w:ascii="Times New Roman" w:eastAsia="Times New Roman" w:hAnsi="Times New Roman" w:cs="Times New Roman"/>
          <w:b/>
          <w:bCs/>
          <w:snapToGrid w:val="0"/>
          <w:sz w:val="20"/>
          <w:szCs w:val="20"/>
          <w:lang w:eastAsia="es-ES"/>
        </w:rPr>
        <w:t xml:space="preserve">Artículo 134.- </w:t>
      </w:r>
      <w:r w:rsidRPr="001634B4">
        <w:rPr>
          <w:rFonts w:ascii="Times New Roman" w:eastAsia="Times New Roman" w:hAnsi="Times New Roman" w:cs="Times New Roman"/>
          <w:snapToGrid w:val="0"/>
          <w:sz w:val="20"/>
          <w:szCs w:val="20"/>
          <w:lang w:eastAsia="es-ES"/>
        </w:rPr>
        <w:t xml:space="preserve">Proceden las derivaciones de toma de agua </w:t>
      </w:r>
      <w:r w:rsidRPr="001634B4">
        <w:rPr>
          <w:rFonts w:ascii="Times New Roman" w:eastAsia="Times New Roman" w:hAnsi="Times New Roman" w:cs="Times New Roman"/>
          <w:bCs/>
          <w:snapToGrid w:val="0"/>
          <w:sz w:val="20"/>
          <w:szCs w:val="20"/>
          <w:lang w:val="es-ES" w:eastAsia="es-ES"/>
        </w:rPr>
        <w:t>y/o drenaje y alcantarillado</w:t>
      </w:r>
      <w:r w:rsidRPr="001634B4">
        <w:rPr>
          <w:rFonts w:ascii="Times New Roman" w:eastAsia="Times New Roman" w:hAnsi="Times New Roman" w:cs="Times New Roman"/>
          <w:snapToGrid w:val="0"/>
          <w:sz w:val="20"/>
          <w:szCs w:val="20"/>
          <w:lang w:val="es-ES" w:eastAsia="es-ES"/>
        </w:rPr>
        <w:t xml:space="preserve"> </w:t>
      </w:r>
      <w:r w:rsidRPr="001634B4">
        <w:rPr>
          <w:rFonts w:ascii="Times New Roman" w:eastAsia="Times New Roman" w:hAnsi="Times New Roman" w:cs="Times New Roman"/>
          <w:snapToGrid w:val="0"/>
          <w:sz w:val="20"/>
          <w:szCs w:val="20"/>
          <w:lang w:eastAsia="es-ES"/>
        </w:rPr>
        <w:t>para uso doméstico y no doméstico:</w:t>
      </w:r>
    </w:p>
    <w:p w:rsidR="001634B4" w:rsidRPr="001634B4" w:rsidRDefault="001634B4" w:rsidP="001634B4">
      <w:pPr>
        <w:spacing w:after="0" w:line="240" w:lineRule="auto"/>
        <w:ind w:right="15"/>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476" w:right="15" w:hanging="19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I.</w:t>
      </w:r>
      <w:r w:rsidRPr="001634B4">
        <w:rPr>
          <w:rFonts w:ascii="Times New Roman" w:eastAsia="Times New Roman" w:hAnsi="Times New Roman" w:cs="Times New Roman"/>
          <w:sz w:val="20"/>
          <w:szCs w:val="20"/>
          <w:lang w:val="es-ES" w:eastAsia="es-ES"/>
        </w:rPr>
        <w:t xml:space="preserve"> Para que abastezcan predios ubicados en calles que carezcan del servicio público de agua potable, </w:t>
      </w:r>
      <w:r w:rsidRPr="001634B4">
        <w:rPr>
          <w:rFonts w:ascii="Times New Roman" w:eastAsia="Times New Roman" w:hAnsi="Times New Roman" w:cs="Times New Roman"/>
          <w:bCs/>
          <w:sz w:val="20"/>
          <w:szCs w:val="20"/>
          <w:lang w:val="es-ES" w:eastAsia="es-ES"/>
        </w:rPr>
        <w:t>y/o drenaje y alcantarillado</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ind w:right="15"/>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284" w:right="15"/>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II.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III.</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ind w:right="15"/>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15"/>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Por cada derivación de toma de agua</w:t>
      </w:r>
      <w:r w:rsidRPr="001634B4">
        <w:rPr>
          <w:rFonts w:ascii="Times New Roman" w:eastAsia="Times New Roman" w:hAnsi="Times New Roman" w:cs="Times New Roman"/>
          <w:b/>
          <w:bCs/>
          <w:sz w:val="20"/>
          <w:szCs w:val="20"/>
          <w:lang w:val="es-ES" w:eastAsia="es-ES"/>
        </w:rPr>
        <w:t xml:space="preserve"> </w:t>
      </w:r>
      <w:r w:rsidRPr="001634B4">
        <w:rPr>
          <w:rFonts w:ascii="Times New Roman" w:eastAsia="Times New Roman" w:hAnsi="Times New Roman" w:cs="Times New Roman"/>
          <w:bCs/>
          <w:sz w:val="20"/>
          <w:szCs w:val="20"/>
          <w:lang w:val="es-ES" w:eastAsia="es-ES"/>
        </w:rPr>
        <w:t>y/o drenaje y alcantarillado</w:t>
      </w:r>
      <w:r w:rsidRPr="001634B4">
        <w:rPr>
          <w:rFonts w:ascii="Times New Roman" w:eastAsia="Times New Roman" w:hAnsi="Times New Roman" w:cs="Times New Roman"/>
          <w:sz w:val="20"/>
          <w:szCs w:val="20"/>
          <w:lang w:val="es-ES" w:eastAsia="es-ES"/>
        </w:rPr>
        <w:t xml:space="preserve">, se deberá efectuar un pago único de </w:t>
      </w:r>
      <w:r w:rsidRPr="001634B4">
        <w:rPr>
          <w:rFonts w:ascii="Times New Roman" w:eastAsia="Times New Roman" w:hAnsi="Times New Roman" w:cs="Times New Roman"/>
          <w:bCs/>
          <w:sz w:val="20"/>
          <w:szCs w:val="20"/>
          <w:lang w:val="es-ES" w:eastAsia="es-ES"/>
        </w:rPr>
        <w:t>7.297</w:t>
      </w:r>
      <w:r w:rsidRPr="001634B4">
        <w:rPr>
          <w:rFonts w:ascii="Times New Roman" w:eastAsia="Times New Roman" w:hAnsi="Times New Roman" w:cs="Times New Roman"/>
          <w:sz w:val="20"/>
          <w:szCs w:val="20"/>
          <w:lang w:val="es-ES" w:eastAsia="es-ES"/>
        </w:rPr>
        <w:t xml:space="preserve"> veces el valor diario de la Unidad de Medida y Actualización vigente, independientemente del pago de los derechos que se causen por el servicio de Suministro de Agua Potable. Los propietarios o poseedores de los predios que den su conformidad para establecer la derivación, además de pagar su propio consumo, están obligados solidariamente a pagar la cuota correspondiente a las derivaciones.</w:t>
      </w:r>
    </w:p>
    <w:p w:rsidR="001634B4" w:rsidRPr="001634B4" w:rsidRDefault="001634B4" w:rsidP="001634B4">
      <w:pPr>
        <w:spacing w:after="0" w:line="240" w:lineRule="auto"/>
        <w:ind w:right="15"/>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eastAsia="es-ES"/>
        </w:rPr>
        <w:t xml:space="preserve">Artículo 154.-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TARIFA</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tbl>
      <w:tblPr>
        <w:tblW w:w="5000" w:type="pct"/>
        <w:tblLayout w:type="fixed"/>
        <w:tblCellMar>
          <w:left w:w="70" w:type="dxa"/>
          <w:right w:w="70" w:type="dxa"/>
        </w:tblCellMar>
        <w:tblLook w:val="0000" w:firstRow="0" w:lastRow="0" w:firstColumn="0" w:lastColumn="0" w:noHBand="0" w:noVBand="0"/>
      </w:tblPr>
      <w:tblGrid>
        <w:gridCol w:w="6014"/>
        <w:gridCol w:w="3391"/>
      </w:tblGrid>
      <w:tr w:rsidR="001634B4" w:rsidRPr="001634B4" w:rsidTr="001634B4">
        <w:trPr>
          <w:cantSplit/>
          <w:trHeight w:val="560"/>
        </w:trPr>
        <w:tc>
          <w:tcPr>
            <w:tcW w:w="3197" w:type="pct"/>
          </w:tcPr>
          <w:p w:rsidR="001634B4" w:rsidRPr="001634B4" w:rsidRDefault="001634B4" w:rsidP="001634B4">
            <w:pPr>
              <w:spacing w:after="0" w:line="240" w:lineRule="auto"/>
              <w:ind w:left="540" w:right="71"/>
              <w:rPr>
                <w:rFonts w:ascii="Times New Roman" w:eastAsia="Times New Roman" w:hAnsi="Times New Roman" w:cs="Times New Roman"/>
                <w:noProof/>
                <w:sz w:val="20"/>
                <w:szCs w:val="20"/>
                <w:lang w:val="es-ES" w:eastAsia="es-ES"/>
              </w:rPr>
            </w:pPr>
            <w:r w:rsidRPr="001634B4">
              <w:rPr>
                <w:rFonts w:ascii="Times New Roman" w:eastAsia="Times New Roman" w:hAnsi="Times New Roman" w:cs="Times New Roman"/>
                <w:b/>
                <w:noProof/>
                <w:sz w:val="20"/>
                <w:szCs w:val="20"/>
                <w:lang w:val="es-ES" w:eastAsia="es-ES"/>
              </w:rPr>
              <w:t>CONCEPTO</w:t>
            </w:r>
          </w:p>
        </w:tc>
        <w:tc>
          <w:tcPr>
            <w:tcW w:w="1803" w:type="pct"/>
          </w:tcPr>
          <w:p w:rsidR="001634B4" w:rsidRPr="001634B4" w:rsidRDefault="001634B4" w:rsidP="001634B4">
            <w:pPr>
              <w:widowControl w:val="0"/>
              <w:spacing w:after="0" w:line="240" w:lineRule="auto"/>
              <w:jc w:val="center"/>
              <w:rPr>
                <w:rFonts w:ascii="Times New Roman" w:eastAsia="Calibri" w:hAnsi="Times New Roman" w:cs="Times New Roman"/>
                <w:b/>
                <w:bCs/>
                <w:snapToGrid w:val="0"/>
                <w:sz w:val="20"/>
                <w:szCs w:val="20"/>
                <w:lang w:eastAsia="es-ES"/>
              </w:rPr>
            </w:pPr>
            <w:r w:rsidRPr="001634B4">
              <w:rPr>
                <w:rFonts w:ascii="Times New Roman" w:eastAsia="Calibri" w:hAnsi="Times New Roman" w:cs="Times New Roman"/>
                <w:b/>
                <w:bCs/>
                <w:snapToGrid w:val="0"/>
                <w:sz w:val="20"/>
                <w:szCs w:val="20"/>
                <w:lang w:eastAsia="es-ES"/>
              </w:rPr>
              <w:t>NÚMERO DE VECES EL VALOR DIARIO DE LA UNIDAD DE MEDIDA Y ACTUALIZACIÓN VIGENTE</w:t>
            </w:r>
          </w:p>
          <w:p w:rsidR="001634B4" w:rsidRPr="001634B4" w:rsidRDefault="001634B4" w:rsidP="001634B4">
            <w:pPr>
              <w:widowControl w:val="0"/>
              <w:spacing w:after="0" w:line="240" w:lineRule="auto"/>
              <w:jc w:val="center"/>
              <w:rPr>
                <w:rFonts w:ascii="Times New Roman" w:eastAsia="Calibri" w:hAnsi="Times New Roman" w:cs="Times New Roman"/>
                <w:b/>
                <w:noProof/>
                <w:sz w:val="20"/>
                <w:szCs w:val="20"/>
              </w:rPr>
            </w:pPr>
          </w:p>
        </w:tc>
      </w:tr>
      <w:tr w:rsidR="001634B4" w:rsidRPr="001634B4" w:rsidTr="001634B4">
        <w:trPr>
          <w:cantSplit/>
          <w:trHeight w:val="414"/>
        </w:trPr>
        <w:tc>
          <w:tcPr>
            <w:tcW w:w="3197" w:type="pct"/>
          </w:tcPr>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tc>
        <w:tc>
          <w:tcPr>
            <w:tcW w:w="1803" w:type="pct"/>
          </w:tcPr>
          <w:p w:rsidR="001634B4" w:rsidRPr="001634B4" w:rsidRDefault="001634B4" w:rsidP="001634B4">
            <w:pPr>
              <w:spacing w:after="0" w:line="240" w:lineRule="auto"/>
              <w:jc w:val="center"/>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0.022</w:t>
            </w:r>
          </w:p>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p>
        </w:tc>
      </w:tr>
      <w:tr w:rsidR="001634B4" w:rsidRPr="001634B4" w:rsidTr="001634B4">
        <w:trPr>
          <w:cantSplit/>
          <w:trHeight w:val="278"/>
        </w:trPr>
        <w:tc>
          <w:tcPr>
            <w:tcW w:w="3197" w:type="pct"/>
          </w:tcPr>
          <w:p w:rsidR="001634B4" w:rsidRPr="001634B4" w:rsidRDefault="001634B4" w:rsidP="001634B4">
            <w:pPr>
              <w:spacing w:after="0" w:line="240" w:lineRule="auto"/>
              <w:jc w:val="both"/>
              <w:rPr>
                <w:rFonts w:ascii="Times New Roman" w:eastAsia="Times New Roman" w:hAnsi="Times New Roman" w:cs="Times New Roman"/>
                <w:noProof/>
                <w:sz w:val="20"/>
                <w:szCs w:val="20"/>
                <w:lang w:val="es-ES" w:eastAsia="es-ES"/>
              </w:rPr>
            </w:pPr>
            <w:r w:rsidRPr="001634B4">
              <w:rPr>
                <w:rFonts w:ascii="Times New Roman" w:eastAsia="Times New Roman" w:hAnsi="Times New Roman" w:cs="Times New Roman"/>
                <w:b/>
                <w:sz w:val="20"/>
                <w:szCs w:val="20"/>
                <w:lang w:val="es-ES" w:eastAsia="es-ES"/>
              </w:rPr>
              <w:t xml:space="preserve">II. </w:t>
            </w:r>
            <w:r w:rsidRPr="001634B4">
              <w:rPr>
                <w:rFonts w:ascii="Times New Roman" w:eastAsia="Times New Roman" w:hAnsi="Times New Roman" w:cs="Times New Roman"/>
                <w:sz w:val="20"/>
                <w:szCs w:val="20"/>
                <w:lang w:val="es-ES" w:eastAsia="es-ES"/>
              </w:rPr>
              <w:t>...</w:t>
            </w:r>
          </w:p>
        </w:tc>
        <w:tc>
          <w:tcPr>
            <w:tcW w:w="1803" w:type="pct"/>
          </w:tcPr>
          <w:p w:rsidR="001634B4" w:rsidRPr="001634B4" w:rsidRDefault="001634B4" w:rsidP="001634B4">
            <w:pPr>
              <w:spacing w:after="0" w:line="240" w:lineRule="auto"/>
              <w:jc w:val="center"/>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0.022</w:t>
            </w:r>
          </w:p>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p>
        </w:tc>
      </w:tr>
      <w:tr w:rsidR="001634B4" w:rsidRPr="001634B4" w:rsidTr="001634B4">
        <w:trPr>
          <w:cantSplit/>
        </w:trPr>
        <w:tc>
          <w:tcPr>
            <w:tcW w:w="3197" w:type="pct"/>
          </w:tcPr>
          <w:p w:rsidR="001634B4" w:rsidRPr="001634B4" w:rsidRDefault="001634B4" w:rsidP="001634B4">
            <w:pPr>
              <w:spacing w:after="0" w:line="240" w:lineRule="auto"/>
              <w:jc w:val="both"/>
              <w:rPr>
                <w:rFonts w:ascii="Times New Roman" w:eastAsia="Times New Roman" w:hAnsi="Times New Roman" w:cs="Times New Roman"/>
                <w:noProof/>
                <w:sz w:val="20"/>
                <w:szCs w:val="20"/>
                <w:lang w:val="es-ES" w:eastAsia="es-ES"/>
              </w:rPr>
            </w:pPr>
            <w:r w:rsidRPr="001634B4">
              <w:rPr>
                <w:rFonts w:ascii="Times New Roman" w:eastAsia="Times New Roman" w:hAnsi="Times New Roman" w:cs="Times New Roman"/>
                <w:b/>
                <w:sz w:val="20"/>
                <w:szCs w:val="20"/>
                <w:lang w:val="es-ES" w:eastAsia="es-ES"/>
              </w:rPr>
              <w:t>III.</w:t>
            </w:r>
            <w:r w:rsidRPr="001634B4">
              <w:rPr>
                <w:rFonts w:ascii="Times New Roman" w:eastAsia="Times New Roman" w:hAnsi="Times New Roman" w:cs="Times New Roman"/>
                <w:sz w:val="20"/>
                <w:szCs w:val="20"/>
                <w:lang w:val="es-ES" w:eastAsia="es-ES"/>
              </w:rPr>
              <w:t xml:space="preserve"> ..</w:t>
            </w:r>
            <w:r w:rsidRPr="001634B4">
              <w:rPr>
                <w:rFonts w:ascii="Times New Roman" w:eastAsia="Times New Roman" w:hAnsi="Times New Roman" w:cs="Times New Roman"/>
                <w:noProof/>
                <w:sz w:val="20"/>
                <w:szCs w:val="20"/>
                <w:lang w:val="es-ES" w:eastAsia="es-ES"/>
              </w:rPr>
              <w:t>.</w:t>
            </w:r>
          </w:p>
        </w:tc>
        <w:tc>
          <w:tcPr>
            <w:tcW w:w="1803" w:type="pct"/>
          </w:tcPr>
          <w:p w:rsidR="001634B4" w:rsidRPr="001634B4" w:rsidRDefault="001634B4" w:rsidP="001634B4">
            <w:pPr>
              <w:spacing w:after="0" w:line="240" w:lineRule="auto"/>
              <w:jc w:val="center"/>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0.15</w:t>
            </w:r>
          </w:p>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p>
        </w:tc>
      </w:tr>
    </w:tbl>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Los ayuntamientos, que de conformidad con las características técnicas y operativas que incidan en la prestación de los servicios para el cobro de los derechos a que se refiere este artículo, requieran de tarifas diferentes a las establecidas, las propondrán a más tardar el 15 de noviembre a la Legislatura.</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Las tarifas que se propongan, en ningún caso podrán ser inferiores a las establecidas en este Código, y deberán considerar los costos directos que implique la prestación de los servicios y determinarse con base en el Manual Metodológico aprobado en el marco del Sistema de Coordinación Hacendaria del Estado de México.</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172.-</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lastRenderedPageBreak/>
        <w:t>…</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left="14" w:right="-13"/>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Los levantamientos topográficos catastrales se practicarán de acuerdo con los requisitos, términos y condiciones, previstos por el reglamento de este Título, el Manual Catastral y demás disposiciones aplicables.</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Artículo 182 Bis.- </w:t>
      </w:r>
      <w:r w:rsidRPr="001634B4">
        <w:rPr>
          <w:rFonts w:ascii="Times New Roman" w:eastAsia="Times New Roman" w:hAnsi="Times New Roman" w:cs="Times New Roman"/>
          <w:sz w:val="20"/>
          <w:szCs w:val="20"/>
          <w:lang w:val="es-ES" w:eastAsia="es-ES"/>
        </w:rPr>
        <w:t>Tratándose de bienes inmuebles del Poder Ejecutivo del Gobierno del Estado de México, únicamente para su inscripción o actualización en el Padrón Catastral Municipal, también podrá presentarse como documento para acreditar la posesión, el certificado de posesión emitido por la Dependencia competente, en términos de la legislación aplicable.</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186.-</w:t>
      </w:r>
      <w:r w:rsidRPr="001634B4">
        <w:rPr>
          <w:rFonts w:ascii="Times New Roman" w:eastAsia="Times New Roman" w:hAnsi="Times New Roman" w:cs="Times New Roman"/>
          <w:sz w:val="20"/>
          <w:szCs w:val="20"/>
          <w:lang w:val="es-ES" w:eastAsia="es-ES"/>
        </w:rPr>
        <w:t xml:space="preserve"> Las Tablas de Valores Unitarios de Suelo y de Construcciones que forman parte integrante del Código, son el decreto emitido por la Legislatura del Estado, a iniciativa de los ayuntamientos y de las autoridades catastrales municipales, que contiene debidamente ordenada y relacionada geográficamente, la información de áreas homogéneas y bandas de valor con las manzanas catastrales que las conforman y los valores unitarios de suelo que corresponde a cada una de ellas; asimismo, los códigos de usos de suelo, clases y categorías que identifican a las tipologías de construcciones y los valores unitarios aplicables a cada tipología.</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34"/>
        <w:jc w:val="center"/>
        <w:rPr>
          <w:rFonts w:ascii="Times New Roman" w:eastAsia="Montserrat" w:hAnsi="Times New Roman" w:cs="Times New Roman"/>
          <w:b/>
          <w:bCs/>
          <w:sz w:val="20"/>
          <w:szCs w:val="20"/>
          <w:lang w:eastAsia="es-ES"/>
        </w:rPr>
      </w:pPr>
      <w:r w:rsidRPr="001634B4">
        <w:rPr>
          <w:rFonts w:ascii="Times New Roman" w:eastAsia="Montserrat" w:hAnsi="Times New Roman" w:cs="Times New Roman"/>
          <w:b/>
          <w:bCs/>
          <w:sz w:val="20"/>
          <w:szCs w:val="20"/>
          <w:lang w:eastAsia="es-ES"/>
        </w:rPr>
        <w:t>CAPÍTULO QUINTO</w:t>
      </w:r>
    </w:p>
    <w:p w:rsidR="001634B4" w:rsidRPr="001634B4" w:rsidRDefault="001634B4" w:rsidP="001634B4">
      <w:pPr>
        <w:spacing w:after="0" w:line="240" w:lineRule="auto"/>
        <w:ind w:left="34"/>
        <w:jc w:val="center"/>
        <w:rPr>
          <w:rFonts w:ascii="Times New Roman" w:eastAsia="Montserrat" w:hAnsi="Times New Roman" w:cs="Times New Roman"/>
          <w:b/>
          <w:bCs/>
          <w:sz w:val="20"/>
          <w:szCs w:val="20"/>
          <w:lang w:eastAsia="es-ES"/>
        </w:rPr>
      </w:pPr>
      <w:r w:rsidRPr="001634B4">
        <w:rPr>
          <w:rFonts w:ascii="Times New Roman" w:eastAsia="Montserrat" w:hAnsi="Times New Roman" w:cs="Times New Roman"/>
          <w:b/>
          <w:bCs/>
          <w:sz w:val="20"/>
          <w:szCs w:val="20"/>
          <w:lang w:eastAsia="es-ES"/>
        </w:rPr>
        <w:t xml:space="preserve">DE LAS APORTACIONES PARA LA MITIGACIÓN DEL IMPACTO </w:t>
      </w:r>
    </w:p>
    <w:p w:rsidR="001634B4" w:rsidRPr="001634B4" w:rsidRDefault="001634B4" w:rsidP="001634B4">
      <w:pPr>
        <w:spacing w:after="0" w:line="240" w:lineRule="auto"/>
        <w:ind w:left="34"/>
        <w:jc w:val="center"/>
        <w:rPr>
          <w:rFonts w:ascii="Times New Roman" w:eastAsia="Montserrat" w:hAnsi="Times New Roman" w:cs="Times New Roman"/>
          <w:b/>
          <w:bCs/>
          <w:sz w:val="20"/>
          <w:szCs w:val="20"/>
          <w:lang w:eastAsia="es-ES"/>
        </w:rPr>
      </w:pPr>
      <w:r w:rsidRPr="001634B4">
        <w:rPr>
          <w:rFonts w:ascii="Times New Roman" w:eastAsia="Montserrat" w:hAnsi="Times New Roman" w:cs="Times New Roman"/>
          <w:b/>
          <w:bCs/>
          <w:sz w:val="20"/>
          <w:szCs w:val="20"/>
          <w:lang w:eastAsia="es-ES"/>
        </w:rPr>
        <w:t>EN LA INFRAESTRUCTURA VIAL ESTATAL</w:t>
      </w:r>
    </w:p>
    <w:p w:rsidR="001634B4" w:rsidRPr="001634B4" w:rsidRDefault="001634B4" w:rsidP="001634B4">
      <w:pPr>
        <w:spacing w:after="0" w:line="240" w:lineRule="auto"/>
        <w:ind w:left="34"/>
        <w:jc w:val="both"/>
        <w:rPr>
          <w:rFonts w:ascii="Times New Roman" w:eastAsia="Montserrat" w:hAnsi="Times New Roman" w:cs="Times New Roman"/>
          <w:b/>
          <w:bCs/>
          <w:sz w:val="20"/>
          <w:szCs w:val="20"/>
          <w:lang w:eastAsia="es-ES"/>
        </w:rPr>
      </w:pP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 xml:space="preserve">Artículo 216 Q.- </w:t>
      </w:r>
      <w:r w:rsidRPr="001634B4">
        <w:rPr>
          <w:rFonts w:ascii="Times New Roman" w:eastAsia="Montserrat" w:hAnsi="Times New Roman" w:cs="Times New Roman"/>
          <w:bCs/>
          <w:sz w:val="20"/>
          <w:szCs w:val="20"/>
          <w:lang w:eastAsia="es-ES"/>
        </w:rPr>
        <w:t>Están obligados al pago de las aportaciones para la mitigación del impacto en la infraestructura vial estatal, los propietarios o poseedores de autobuses, camiones, tráileres o tractocamiones o remolques, de 2 o más ejes, que ingresen o se incorporen desde la infraestructura vial estatal de cuota, a la infraestructura vial del Estado de México, de conformidad con la normativa aplicable.</w:t>
      </w: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Cs/>
          <w:sz w:val="20"/>
          <w:szCs w:val="20"/>
          <w:lang w:val="es-ES" w:eastAsia="es-ES"/>
        </w:rPr>
        <w:t>Se entenderá por infraestructura vial estatal o infraestructura vial del Estado de México, para efectos de la presente aportación, aquella a cargo del Estado que puede ser libre de peaje, de cuota o de uso restringido, integrada por carreteras, pasos vehiculares, avenidas, calzadas y calles que comunican a dos o más municipios de la Entidad, permitiendo los viajes de largo recorrido y, aquellas que por sus características de ubicación, operación y vocación de servicio, permitan la integración de la red vial primaria, así como las que comuniquen a instalaciones estratégicas estatales.</w:t>
      </w: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Cs/>
          <w:sz w:val="20"/>
          <w:szCs w:val="20"/>
          <w:lang w:eastAsia="es-ES"/>
        </w:rPr>
        <w:t>Por autobús se entenderá como vehículo automotor de 6 a más llantas de estructura integral o convencional, con capacidad de más de 30 personas.</w:t>
      </w: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Cs/>
          <w:sz w:val="20"/>
          <w:szCs w:val="20"/>
          <w:lang w:eastAsia="es-ES"/>
        </w:rPr>
        <w:t xml:space="preserve">Por camión se entenderá como vehículo automotor de seis o más llantas, de carga, con un peso bruto vehicular mayor a 4 toneladas o con un remolque, acoplado mediante un convertidor. </w:t>
      </w: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Cs/>
          <w:sz w:val="20"/>
          <w:szCs w:val="20"/>
          <w:lang w:eastAsia="es-ES"/>
        </w:rPr>
        <w:t>Por tráileres o tractocamiones se entenderá como vehículo automotor destinado a soportar y arrastrar semirremolques.</w:t>
      </w:r>
    </w:p>
    <w:p w:rsidR="001634B4" w:rsidRPr="001634B4" w:rsidRDefault="001634B4" w:rsidP="001634B4">
      <w:pPr>
        <w:spacing w:after="0" w:line="240" w:lineRule="auto"/>
        <w:ind w:left="3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Cs/>
          <w:sz w:val="20"/>
          <w:szCs w:val="20"/>
          <w:lang w:eastAsia="es-ES"/>
        </w:rPr>
        <w:t xml:space="preserve">Por remolque se entenderá como un vehículo con eje delantero giratorio o semirremolque con convertidor y eje al centro o trasero fijo, no dotado de medios de propulsión y destinado a ser jalado por un vehículo automotor, o acoplado a un camión o tractocamión articulado, fabricado cumpliendo las especificaciones que establece la </w:t>
      </w:r>
      <w:hyperlink r:id="rId15" w:history="1">
        <w:r w:rsidRPr="001634B4">
          <w:rPr>
            <w:rFonts w:ascii="Times New Roman" w:eastAsia="Montserrat" w:hAnsi="Times New Roman" w:cs="Times New Roman"/>
            <w:bCs/>
            <w:color w:val="0000FF"/>
            <w:sz w:val="20"/>
            <w:szCs w:val="20"/>
            <w:u w:val="single"/>
            <w:lang w:eastAsia="es-ES"/>
          </w:rPr>
          <w:t>NOM-035-SCT-2-2022</w:t>
        </w:r>
      </w:hyperlink>
      <w:r w:rsidRPr="001634B4">
        <w:rPr>
          <w:rFonts w:ascii="Times New Roman" w:eastAsia="Montserrat" w:hAnsi="Times New Roman" w:cs="Times New Roman"/>
          <w:bCs/>
          <w:sz w:val="20"/>
          <w:szCs w:val="20"/>
          <w:lang w:eastAsia="es-ES"/>
        </w:rPr>
        <w:t>, o la que la sustituya.</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34" w:right="3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 xml:space="preserve">Artículo 216 Q Bis.- </w:t>
      </w:r>
      <w:r w:rsidRPr="001634B4">
        <w:rPr>
          <w:rFonts w:ascii="Times New Roman" w:eastAsia="Montserrat" w:hAnsi="Times New Roman" w:cs="Times New Roman"/>
          <w:bCs/>
          <w:sz w:val="20"/>
          <w:szCs w:val="20"/>
          <w:lang w:eastAsia="es-ES"/>
        </w:rPr>
        <w:t>Para determinar el monto de la aportación referida en el artículo 216 Q de este Código, se aplicará la tasa del 2.0% al monto de la tarifa que corresponda pagar por el uso de la infraestructura vial estatal de cuota.</w:t>
      </w:r>
    </w:p>
    <w:p w:rsidR="001634B4" w:rsidRPr="001634B4" w:rsidRDefault="001634B4" w:rsidP="001634B4">
      <w:pPr>
        <w:spacing w:after="0" w:line="240" w:lineRule="auto"/>
        <w:ind w:left="34" w:right="3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left="34" w:right="34"/>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Cs/>
          <w:sz w:val="20"/>
          <w:szCs w:val="20"/>
          <w:lang w:eastAsia="es-ES"/>
        </w:rPr>
        <w:t xml:space="preserve">No se considerará en ningún caso, que la referida aportación forma parte de la tarifa correspondiente por el uso de la infraestructura vial estatal de cuota. </w:t>
      </w:r>
    </w:p>
    <w:p w:rsidR="001634B4" w:rsidRPr="001634B4" w:rsidRDefault="001634B4" w:rsidP="001634B4">
      <w:pPr>
        <w:spacing w:after="0" w:line="240" w:lineRule="auto"/>
        <w:ind w:left="34" w:right="34"/>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left="34" w:right="-2"/>
        <w:jc w:val="both"/>
        <w:rPr>
          <w:rFonts w:ascii="Times New Roman" w:eastAsia="Montserrat" w:hAnsi="Times New Roman" w:cs="Times New Roman"/>
          <w:bCs/>
          <w:sz w:val="20"/>
          <w:szCs w:val="20"/>
          <w:lang w:val="es-ES" w:eastAsia="es-ES"/>
        </w:rPr>
      </w:pPr>
      <w:r w:rsidRPr="001634B4">
        <w:rPr>
          <w:rFonts w:ascii="Times New Roman" w:eastAsia="Montserrat" w:hAnsi="Times New Roman" w:cs="Times New Roman"/>
          <w:bCs/>
          <w:sz w:val="20"/>
          <w:szCs w:val="20"/>
          <w:lang w:val="es-ES" w:eastAsia="es-ES"/>
        </w:rPr>
        <w:lastRenderedPageBreak/>
        <w:t>El comprobante que se emita por el uso de la infraestructura vial estatal de cuota, deberá incluir, en su caso, el importe correspondiente a dicha aportación en forma expresa y por separado, por lo que solo en este supuesto, dicho comprobante se asimilará a una constancia de retención, de acuerdo con la normativa aplicable.</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34" w:right="-2"/>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
          <w:bCs/>
          <w:sz w:val="20"/>
          <w:szCs w:val="20"/>
          <w:lang w:eastAsia="es-ES"/>
        </w:rPr>
        <w:t xml:space="preserve">Artículo 216 Q Ter.- </w:t>
      </w:r>
      <w:r w:rsidRPr="001634B4">
        <w:rPr>
          <w:rFonts w:ascii="Times New Roman" w:eastAsia="Montserrat" w:hAnsi="Times New Roman" w:cs="Times New Roman"/>
          <w:bCs/>
          <w:sz w:val="20"/>
          <w:szCs w:val="20"/>
          <w:lang w:eastAsia="es-ES"/>
        </w:rPr>
        <w:t>Los concesionarios de la infraestructura vial estatal de cuota, están obligados a trasladar, retener y enterar las aportaciones de mejora referidas en el artículo 216 Q de este Código, mediante declaración mensual, dentro de los primeros diecisiete días del mes siguiente a aquel en que se hubiere causado la aportación respectiva.</w:t>
      </w:r>
    </w:p>
    <w:p w:rsidR="001634B4" w:rsidRPr="001634B4" w:rsidRDefault="001634B4" w:rsidP="001634B4">
      <w:pPr>
        <w:spacing w:after="0" w:line="240" w:lineRule="auto"/>
        <w:ind w:left="34" w:right="175"/>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left="34" w:right="-2"/>
        <w:jc w:val="both"/>
        <w:rPr>
          <w:rFonts w:ascii="Times New Roman" w:eastAsia="Montserrat" w:hAnsi="Times New Roman" w:cs="Times New Roman"/>
          <w:bCs/>
          <w:sz w:val="20"/>
          <w:szCs w:val="20"/>
          <w:lang w:eastAsia="es-ES"/>
        </w:rPr>
      </w:pPr>
      <w:r w:rsidRPr="001634B4">
        <w:rPr>
          <w:rFonts w:ascii="Times New Roman" w:eastAsia="Montserrat" w:hAnsi="Times New Roman" w:cs="Times New Roman"/>
          <w:bCs/>
          <w:sz w:val="20"/>
          <w:szCs w:val="20"/>
          <w:lang w:eastAsia="es-ES"/>
        </w:rPr>
        <w:t>Para efectos de lo anterior, los concesionarios deberán estar inscritos en el Registro Estatal de Contribuyentes. Asimismo, deberán llevar el registro relacionado con la traslación y retención de la aportación.</w:t>
      </w:r>
    </w:p>
    <w:p w:rsidR="001634B4" w:rsidRPr="001634B4" w:rsidRDefault="001634B4" w:rsidP="001634B4">
      <w:pPr>
        <w:spacing w:after="0" w:line="240" w:lineRule="auto"/>
        <w:ind w:left="34" w:right="175"/>
        <w:jc w:val="both"/>
        <w:rPr>
          <w:rFonts w:ascii="Times New Roman" w:eastAsia="Montserrat" w:hAnsi="Times New Roman" w:cs="Times New Roman"/>
          <w:bCs/>
          <w:sz w:val="20"/>
          <w:szCs w:val="20"/>
          <w:lang w:eastAsia="es-ES"/>
        </w:rPr>
      </w:pPr>
    </w:p>
    <w:p w:rsidR="001634B4" w:rsidRPr="001634B4" w:rsidRDefault="001634B4" w:rsidP="001634B4">
      <w:pPr>
        <w:spacing w:after="0" w:line="240" w:lineRule="auto"/>
        <w:ind w:left="34" w:right="-2"/>
        <w:jc w:val="both"/>
        <w:rPr>
          <w:rFonts w:ascii="Times New Roman" w:eastAsia="Times New Roman" w:hAnsi="Times New Roman" w:cs="Times New Roman"/>
          <w:sz w:val="20"/>
          <w:szCs w:val="20"/>
          <w:lang w:val="es-ES" w:eastAsia="es-ES"/>
        </w:rPr>
      </w:pPr>
      <w:r w:rsidRPr="001634B4">
        <w:rPr>
          <w:rFonts w:ascii="Times New Roman" w:eastAsia="Montserrat" w:hAnsi="Times New Roman" w:cs="Times New Roman"/>
          <w:bCs/>
          <w:sz w:val="20"/>
          <w:szCs w:val="20"/>
          <w:lang w:eastAsia="es-ES"/>
        </w:rPr>
        <w:t>La declaración correspondiente, deberá presentarse de conformidad con lo previsto en las Reglas de Carácter General que emita y publique la Secretaría en el Periódico Oficial.</w:t>
      </w:r>
      <w:r w:rsidRPr="001634B4">
        <w:rPr>
          <w:rFonts w:ascii="Times New Roman" w:eastAsia="Times New Roman" w:hAnsi="Times New Roman" w:cs="Times New Roman"/>
          <w:bCs/>
          <w:kern w:val="2"/>
          <w:sz w:val="20"/>
          <w:szCs w:val="20"/>
          <w:lang w:val="es-ES" w:eastAsia="es-ES"/>
          <w14:ligatures w14:val="standardContextual"/>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Artículo 224.- </w:t>
      </w: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168" w:hanging="16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 </w:t>
      </w:r>
      <w:r w:rsidRPr="001634B4">
        <w:rPr>
          <w:rFonts w:ascii="Times New Roman" w:eastAsia="Times New Roman" w:hAnsi="Times New Roman" w:cs="Times New Roman"/>
          <w:sz w:val="20"/>
          <w:szCs w:val="20"/>
          <w:lang w:eastAsia="es-ES"/>
        </w:rPr>
        <w:t xml:space="preserve">El 70%, en proporción directa al número de habitantes que tenga cada municipio en el año de que se trate, con base en la última información oficial que hubiere dado a conocer el </w:t>
      </w:r>
      <w:r w:rsidRPr="001634B4">
        <w:rPr>
          <w:rFonts w:ascii="Times New Roman" w:eastAsia="Times New Roman" w:hAnsi="Times New Roman" w:cs="Times New Roman"/>
          <w:bCs/>
          <w:sz w:val="20"/>
          <w:szCs w:val="20"/>
          <w:lang w:eastAsia="es-ES"/>
        </w:rPr>
        <w:t>Instituto Nacional de Estadística y Geografía</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210" w:hanging="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 </w:t>
      </w:r>
      <w:r w:rsidRPr="001634B4">
        <w:rPr>
          <w:rFonts w:ascii="Times New Roman" w:eastAsia="Times New Roman" w:hAnsi="Times New Roman" w:cs="Times New Roman"/>
          <w:sz w:val="20"/>
          <w:szCs w:val="20"/>
          <w:lang w:eastAsia="es-ES"/>
        </w:rPr>
        <w:t>El 30% restante se distribuirá en partes iguales entre los municipios del Estado, conforme a la siguiente fórmula:</w:t>
      </w:r>
    </w:p>
    <w:p w:rsidR="001634B4" w:rsidRPr="001634B4" w:rsidRDefault="001634B4" w:rsidP="001634B4">
      <w:pPr>
        <w:spacing w:after="0" w:line="240" w:lineRule="auto"/>
        <w:ind w:left="142"/>
        <w:jc w:val="both"/>
        <w:rPr>
          <w:rFonts w:ascii="Times New Roman" w:eastAsia="Times New Roman" w:hAnsi="Times New Roman" w:cs="Times New Roman"/>
          <w:sz w:val="18"/>
          <w:szCs w:val="18"/>
          <w:lang w:eastAsia="es-ES"/>
        </w:rPr>
      </w:pPr>
    </w:p>
    <w:p w:rsidR="001634B4" w:rsidRPr="001634B4" w:rsidRDefault="00BD17F2" w:rsidP="001634B4">
      <w:pPr>
        <w:spacing w:after="0" w:line="240" w:lineRule="auto"/>
        <w:ind w:left="142"/>
        <w:jc w:val="both"/>
        <w:rPr>
          <w:rFonts w:ascii="Times New Roman" w:eastAsia="Times New Roman" w:hAnsi="Times New Roman" w:cs="Times New Roman"/>
          <w:b/>
          <w:sz w:val="18"/>
          <w:szCs w:val="18"/>
          <w:lang w:eastAsia="es-ES"/>
        </w:rPr>
      </w:pPr>
      <m:oMathPara>
        <m:oMath>
          <m:sSub>
            <m:sSubPr>
              <m:ctrlPr>
                <w:rPr>
                  <w:rFonts w:ascii="Cambria Math" w:eastAsia="Times New Roman" w:hAnsi="Cambria Math" w:cs="Times New Roman"/>
                  <w:b/>
                  <w:sz w:val="18"/>
                  <w:szCs w:val="18"/>
                  <w:lang w:eastAsia="es-ES"/>
                </w:rPr>
              </m:ctrlPr>
            </m:sSubPr>
            <m:e>
              <m:r>
                <m:rPr>
                  <m:sty m:val="bi"/>
                </m:rPr>
                <w:rPr>
                  <w:rFonts w:ascii="Cambria Math" w:eastAsia="Times New Roman" w:hAnsi="Cambria Math" w:cs="Times New Roman"/>
                  <w:sz w:val="18"/>
                  <w:szCs w:val="18"/>
                  <w:lang w:eastAsia="es-ES"/>
                </w:rPr>
                <m:t>Gasmun</m:t>
              </m:r>
            </m:e>
            <m:sub>
              <m:r>
                <m:rPr>
                  <m:sty m:val="bi"/>
                </m:rPr>
                <w:rPr>
                  <w:rFonts w:ascii="Cambria Math" w:eastAsia="Times New Roman" w:hAnsi="Cambria Math" w:cs="Times New Roman"/>
                  <w:sz w:val="18"/>
                  <w:szCs w:val="18"/>
                  <w:lang w:eastAsia="es-ES"/>
                </w:rPr>
                <m:t>i</m:t>
              </m:r>
              <m:r>
                <m:rPr>
                  <m:sty m:val="b"/>
                </m:rPr>
                <w:rPr>
                  <w:rFonts w:ascii="Cambria Math" w:eastAsia="Times New Roman" w:hAnsi="Cambria Math" w:cs="Times New Roman"/>
                  <w:sz w:val="18"/>
                  <w:szCs w:val="18"/>
                  <w:lang w:eastAsia="es-ES"/>
                </w:rPr>
                <m:t>,</m:t>
              </m:r>
              <m:r>
                <m:rPr>
                  <m:sty m:val="bi"/>
                </m:rPr>
                <w:rPr>
                  <w:rFonts w:ascii="Cambria Math" w:eastAsia="Times New Roman" w:hAnsi="Cambria Math" w:cs="Times New Roman"/>
                  <w:sz w:val="18"/>
                  <w:szCs w:val="18"/>
                  <w:lang w:eastAsia="es-ES"/>
                </w:rPr>
                <m:t>t</m:t>
              </m:r>
            </m:sub>
          </m:sSub>
          <m:r>
            <m:rPr>
              <m:sty m:val="b"/>
            </m:rPr>
            <w:rPr>
              <w:rFonts w:ascii="Cambria Math" w:eastAsia="Times New Roman" w:hAnsi="Cambria Math" w:cs="Times New Roman"/>
              <w:sz w:val="18"/>
              <w:szCs w:val="18"/>
              <w:lang w:eastAsia="es-ES"/>
            </w:rPr>
            <m:t>=0.2</m:t>
          </m:r>
          <m:sSub>
            <m:sSubPr>
              <m:ctrlPr>
                <w:rPr>
                  <w:rFonts w:ascii="Cambria Math" w:eastAsia="Times New Roman" w:hAnsi="Cambria Math" w:cs="Times New Roman"/>
                  <w:b/>
                  <w:sz w:val="18"/>
                  <w:szCs w:val="18"/>
                  <w:lang w:eastAsia="es-ES"/>
                </w:rPr>
              </m:ctrlPr>
            </m:sSubPr>
            <m:e>
              <m:r>
                <m:rPr>
                  <m:sty m:val="bi"/>
                </m:rPr>
                <w:rPr>
                  <w:rFonts w:ascii="Cambria Math" w:eastAsia="Times New Roman" w:hAnsi="Cambria Math" w:cs="Times New Roman"/>
                  <w:sz w:val="18"/>
                  <w:szCs w:val="18"/>
                  <w:lang w:eastAsia="es-ES"/>
                </w:rPr>
                <m:t>G</m:t>
              </m:r>
            </m:e>
            <m:sub>
              <m:r>
                <m:rPr>
                  <m:sty m:val="bi"/>
                </m:rPr>
                <w:rPr>
                  <w:rFonts w:ascii="Cambria Math" w:eastAsia="Times New Roman" w:hAnsi="Cambria Math" w:cs="Times New Roman"/>
                  <w:sz w:val="18"/>
                  <w:szCs w:val="18"/>
                  <w:lang w:eastAsia="es-ES"/>
                </w:rPr>
                <m:t>t</m:t>
              </m:r>
            </m:sub>
          </m:sSub>
          <m:d>
            <m:dPr>
              <m:ctrlPr>
                <w:rPr>
                  <w:rFonts w:ascii="Cambria Math" w:eastAsia="Times New Roman" w:hAnsi="Cambria Math" w:cs="Times New Roman"/>
                  <w:b/>
                  <w:sz w:val="18"/>
                  <w:szCs w:val="18"/>
                  <w:lang w:eastAsia="es-ES"/>
                </w:rPr>
              </m:ctrlPr>
            </m:dPr>
            <m:e>
              <m:r>
                <m:rPr>
                  <m:sty m:val="b"/>
                </m:rPr>
                <w:rPr>
                  <w:rFonts w:ascii="Cambria Math" w:eastAsia="Times New Roman" w:hAnsi="Cambria Math" w:cs="Times New Roman"/>
                  <w:sz w:val="18"/>
                  <w:szCs w:val="18"/>
                  <w:lang w:eastAsia="es-ES"/>
                </w:rPr>
                <m:t>0.7</m:t>
              </m:r>
              <m:f>
                <m:fPr>
                  <m:ctrlPr>
                    <w:rPr>
                      <w:rFonts w:ascii="Cambria Math" w:eastAsia="Times New Roman" w:hAnsi="Cambria Math" w:cs="Times New Roman"/>
                      <w:b/>
                      <w:sz w:val="18"/>
                      <w:szCs w:val="18"/>
                      <w:lang w:eastAsia="es-ES"/>
                    </w:rPr>
                  </m:ctrlPr>
                </m:fPr>
                <m:num>
                  <m:sSub>
                    <m:sSubPr>
                      <m:ctrlPr>
                        <w:rPr>
                          <w:rFonts w:ascii="Cambria Math" w:eastAsia="Times New Roman" w:hAnsi="Cambria Math" w:cs="Times New Roman"/>
                          <w:b/>
                          <w:sz w:val="18"/>
                          <w:szCs w:val="18"/>
                          <w:lang w:eastAsia="es-ES"/>
                        </w:rPr>
                      </m:ctrlPr>
                    </m:sSubPr>
                    <m:e>
                      <m:r>
                        <m:rPr>
                          <m:sty m:val="bi"/>
                        </m:rPr>
                        <w:rPr>
                          <w:rFonts w:ascii="Cambria Math" w:eastAsia="Times New Roman" w:hAnsi="Cambria Math" w:cs="Times New Roman"/>
                          <w:sz w:val="18"/>
                          <w:szCs w:val="18"/>
                          <w:lang w:eastAsia="es-ES"/>
                        </w:rPr>
                        <m:t>n</m:t>
                      </m:r>
                    </m:e>
                    <m:sub>
                      <m:r>
                        <m:rPr>
                          <m:sty m:val="bi"/>
                        </m:rPr>
                        <w:rPr>
                          <w:rFonts w:ascii="Cambria Math" w:eastAsia="Times New Roman" w:hAnsi="Cambria Math" w:cs="Times New Roman"/>
                          <w:sz w:val="18"/>
                          <w:szCs w:val="18"/>
                          <w:lang w:eastAsia="es-ES"/>
                        </w:rPr>
                        <m:t>i</m:t>
                      </m:r>
                    </m:sub>
                  </m:sSub>
                </m:num>
                <m:den>
                  <m:r>
                    <m:rPr>
                      <m:sty m:val="bi"/>
                    </m:rPr>
                    <w:rPr>
                      <w:rFonts w:ascii="Cambria Math" w:eastAsia="Times New Roman" w:hAnsi="Cambria Math" w:cs="Times New Roman"/>
                      <w:sz w:val="18"/>
                      <w:szCs w:val="18"/>
                      <w:lang w:eastAsia="es-ES"/>
                    </w:rPr>
                    <m:t>N</m:t>
                  </m:r>
                </m:den>
              </m:f>
              <m:r>
                <m:rPr>
                  <m:sty m:val="b"/>
                </m:rPr>
                <w:rPr>
                  <w:rFonts w:ascii="Cambria Math" w:eastAsia="Times New Roman" w:hAnsi="Cambria Math" w:cs="Times New Roman"/>
                  <w:sz w:val="18"/>
                  <w:szCs w:val="18"/>
                  <w:lang w:eastAsia="es-ES"/>
                </w:rPr>
                <m:t>+</m:t>
              </m:r>
              <m:f>
                <m:fPr>
                  <m:ctrlPr>
                    <w:rPr>
                      <w:rFonts w:ascii="Cambria Math" w:eastAsia="Times New Roman" w:hAnsi="Cambria Math" w:cs="Times New Roman"/>
                      <w:b/>
                      <w:sz w:val="18"/>
                      <w:szCs w:val="18"/>
                      <w:lang w:eastAsia="es-ES"/>
                    </w:rPr>
                  </m:ctrlPr>
                </m:fPr>
                <m:num>
                  <m:r>
                    <m:rPr>
                      <m:sty m:val="b"/>
                    </m:rPr>
                    <w:rPr>
                      <w:rFonts w:ascii="Cambria Math" w:eastAsia="Times New Roman" w:hAnsi="Cambria Math" w:cs="Times New Roman"/>
                      <w:sz w:val="18"/>
                      <w:szCs w:val="18"/>
                      <w:lang w:eastAsia="es-ES"/>
                    </w:rPr>
                    <m:t>0.3</m:t>
                  </m:r>
                </m:num>
                <m:den>
                  <m:r>
                    <m:rPr>
                      <m:sty m:val="b"/>
                    </m:rPr>
                    <w:rPr>
                      <w:rFonts w:ascii="Cambria Math" w:eastAsia="Times New Roman" w:hAnsi="Cambria Math" w:cs="Times New Roman"/>
                      <w:sz w:val="18"/>
                      <w:szCs w:val="18"/>
                      <w:lang w:eastAsia="es-ES"/>
                    </w:rPr>
                    <m:t>125</m:t>
                  </m:r>
                </m:den>
              </m:f>
            </m:e>
          </m:d>
        </m:oMath>
      </m:oMathPara>
    </w:p>
    <w:p w:rsidR="001634B4" w:rsidRPr="001634B4" w:rsidRDefault="001634B4" w:rsidP="001634B4">
      <w:pPr>
        <w:spacing w:after="0" w:line="240" w:lineRule="auto"/>
        <w:ind w:left="142"/>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Donde:</w:t>
      </w:r>
    </w:p>
    <w:p w:rsidR="001634B4" w:rsidRPr="001634B4" w:rsidRDefault="001634B4" w:rsidP="001634B4">
      <w:pPr>
        <w:spacing w:after="0" w:line="240" w:lineRule="auto"/>
        <w:ind w:left="142"/>
        <w:jc w:val="both"/>
        <w:rPr>
          <w:rFonts w:ascii="Times New Roman" w:eastAsia="Times New Roman" w:hAnsi="Times New Roman" w:cs="Times New Roman"/>
          <w:b/>
          <w:sz w:val="20"/>
          <w:szCs w:val="20"/>
          <w:lang w:eastAsia="es-ES"/>
        </w:rPr>
      </w:pPr>
    </w:p>
    <w:p w:rsidR="001634B4" w:rsidRPr="001634B4" w:rsidRDefault="00BD17F2" w:rsidP="001634B4">
      <w:pPr>
        <w:spacing w:after="0" w:line="240" w:lineRule="auto"/>
        <w:ind w:left="142"/>
        <w:jc w:val="both"/>
        <w:rPr>
          <w:rFonts w:ascii="Times New Roman" w:eastAsia="Times New Roman" w:hAnsi="Times New Roman" w:cs="Times New Roman"/>
          <w:b/>
          <w:sz w:val="20"/>
          <w:szCs w:val="20"/>
          <w:lang w:eastAsia="es-ES"/>
        </w:rPr>
      </w:pPr>
      <m:oMath>
        <m:sSub>
          <m:sSubPr>
            <m:ctrlPr>
              <w:rPr>
                <w:rFonts w:ascii="Cambria Math" w:eastAsia="Times New Roman" w:hAnsi="Cambria Math" w:cs="Times New Roman"/>
                <w:b/>
                <w:sz w:val="20"/>
                <w:szCs w:val="20"/>
                <w:lang w:eastAsia="es-ES"/>
              </w:rPr>
            </m:ctrlPr>
          </m:sSubPr>
          <m:e>
            <m:r>
              <m:rPr>
                <m:sty m:val="bi"/>
              </m:rPr>
              <w:rPr>
                <w:rFonts w:ascii="Cambria Math" w:eastAsia="Times New Roman" w:hAnsi="Cambria Math" w:cs="Times New Roman"/>
                <w:sz w:val="20"/>
                <w:szCs w:val="20"/>
                <w:lang w:eastAsia="es-ES"/>
              </w:rPr>
              <m:t>Gasmun</m:t>
            </m:r>
          </m:e>
          <m:sub>
            <m:r>
              <m:rPr>
                <m:sty m:val="bi"/>
              </m:rPr>
              <w:rPr>
                <w:rFonts w:ascii="Cambria Math" w:eastAsia="Times New Roman" w:hAnsi="Cambria Math" w:cs="Times New Roman"/>
                <w:sz w:val="20"/>
                <w:szCs w:val="20"/>
                <w:lang w:eastAsia="es-ES"/>
              </w:rPr>
              <m:t>i</m:t>
            </m:r>
            <m:r>
              <m:rPr>
                <m:sty m:val="b"/>
              </m:rPr>
              <w:rPr>
                <w:rFonts w:ascii="Cambria Math" w:eastAsia="Times New Roman" w:hAnsi="Cambria Math" w:cs="Times New Roman"/>
                <w:sz w:val="20"/>
                <w:szCs w:val="20"/>
                <w:lang w:eastAsia="es-ES"/>
              </w:rPr>
              <m:t>,</m:t>
            </m:r>
            <m:r>
              <m:rPr>
                <m:sty m:val="bi"/>
              </m:rPr>
              <w:rPr>
                <w:rFonts w:ascii="Cambria Math" w:eastAsia="Times New Roman" w:hAnsi="Cambria Math" w:cs="Times New Roman"/>
                <w:sz w:val="20"/>
                <w:szCs w:val="20"/>
                <w:lang w:eastAsia="es-ES"/>
              </w:rPr>
              <m:t>t</m:t>
            </m:r>
          </m:sub>
        </m:sSub>
      </m:oMath>
      <w:r w:rsidR="001634B4" w:rsidRPr="001634B4">
        <w:rPr>
          <w:rFonts w:ascii="Times New Roman" w:eastAsia="Times New Roman" w:hAnsi="Times New Roman" w:cs="Times New Roman"/>
          <w:b/>
          <w:sz w:val="20"/>
          <w:szCs w:val="20"/>
          <w:lang w:eastAsia="es-ES"/>
        </w:rPr>
        <w:t xml:space="preserve">= </w:t>
      </w:r>
      <w:r w:rsidR="001634B4" w:rsidRPr="001634B4">
        <w:rPr>
          <w:rFonts w:ascii="Times New Roman" w:eastAsia="Times New Roman" w:hAnsi="Times New Roman" w:cs="Times New Roman"/>
          <w:sz w:val="20"/>
          <w:szCs w:val="20"/>
          <w:lang w:eastAsia="es-ES"/>
        </w:rPr>
        <w:t xml:space="preserve">Es el monto que por concepto de Gasolinas le corresponde al Municipio “i” en el </w:t>
      </w:r>
      <w:r w:rsidR="001634B4" w:rsidRPr="001634B4">
        <w:rPr>
          <w:rFonts w:ascii="Times New Roman" w:eastAsia="Times New Roman" w:hAnsi="Times New Roman" w:cs="Times New Roman"/>
          <w:sz w:val="20"/>
          <w:szCs w:val="20"/>
          <w:lang w:eastAsia="es-ES"/>
        </w:rPr>
        <w:tab/>
        <w:t>mes “t”.</w:t>
      </w:r>
    </w:p>
    <w:p w:rsidR="001634B4" w:rsidRPr="001634B4" w:rsidRDefault="001634B4" w:rsidP="001634B4">
      <w:pPr>
        <w:spacing w:after="0" w:line="240" w:lineRule="auto"/>
        <w:ind w:left="142"/>
        <w:jc w:val="both"/>
        <w:rPr>
          <w:rFonts w:ascii="Times New Roman" w:eastAsia="Times New Roman" w:hAnsi="Times New Roman" w:cs="Times New Roman"/>
          <w:b/>
          <w:sz w:val="20"/>
          <w:szCs w:val="20"/>
          <w:lang w:eastAsia="es-ES"/>
        </w:rPr>
      </w:pPr>
    </w:p>
    <w:p w:rsidR="001634B4" w:rsidRPr="001634B4" w:rsidRDefault="00BD17F2" w:rsidP="001634B4">
      <w:pPr>
        <w:spacing w:after="0" w:line="240" w:lineRule="auto"/>
        <w:ind w:left="142"/>
        <w:jc w:val="both"/>
        <w:rPr>
          <w:rFonts w:ascii="Times New Roman" w:eastAsia="Times New Roman" w:hAnsi="Times New Roman" w:cs="Times New Roman"/>
          <w:sz w:val="20"/>
          <w:szCs w:val="20"/>
          <w:lang w:eastAsia="es-ES"/>
        </w:rPr>
      </w:pPr>
      <m:oMath>
        <m:sSub>
          <m:sSubPr>
            <m:ctrlPr>
              <w:rPr>
                <w:rFonts w:ascii="Cambria Math" w:eastAsia="Times New Roman" w:hAnsi="Cambria Math" w:cs="Times New Roman"/>
                <w:b/>
                <w:sz w:val="20"/>
                <w:szCs w:val="20"/>
                <w:lang w:eastAsia="es-ES"/>
              </w:rPr>
            </m:ctrlPr>
          </m:sSubPr>
          <m:e>
            <m:r>
              <m:rPr>
                <m:sty m:val="bi"/>
              </m:rPr>
              <w:rPr>
                <w:rFonts w:ascii="Cambria Math" w:eastAsia="Times New Roman" w:hAnsi="Cambria Math" w:cs="Times New Roman"/>
                <w:sz w:val="20"/>
                <w:szCs w:val="20"/>
                <w:lang w:eastAsia="es-ES"/>
              </w:rPr>
              <m:t>G</m:t>
            </m:r>
          </m:e>
          <m:sub>
            <m:r>
              <m:rPr>
                <m:sty m:val="bi"/>
              </m:rPr>
              <w:rPr>
                <w:rFonts w:ascii="Cambria Math" w:eastAsia="Times New Roman" w:hAnsi="Cambria Math" w:cs="Times New Roman"/>
                <w:sz w:val="20"/>
                <w:szCs w:val="20"/>
                <w:lang w:eastAsia="es-ES"/>
              </w:rPr>
              <m:t>t</m:t>
            </m:r>
          </m:sub>
        </m:sSub>
      </m:oMath>
      <w:r w:rsidR="001634B4" w:rsidRPr="001634B4">
        <w:rPr>
          <w:rFonts w:ascii="Times New Roman" w:eastAsia="Times New Roman" w:hAnsi="Times New Roman" w:cs="Times New Roman"/>
          <w:b/>
          <w:sz w:val="20"/>
          <w:szCs w:val="20"/>
          <w:lang w:eastAsia="es-ES"/>
        </w:rPr>
        <w:t xml:space="preserve"> = </w:t>
      </w:r>
      <w:r w:rsidR="001634B4" w:rsidRPr="001634B4">
        <w:rPr>
          <w:rFonts w:ascii="Times New Roman" w:eastAsia="Times New Roman" w:hAnsi="Times New Roman" w:cs="Times New Roman"/>
          <w:sz w:val="20"/>
          <w:szCs w:val="20"/>
          <w:lang w:eastAsia="es-ES"/>
        </w:rPr>
        <w:t>Son los ingresos efectivamente recibidos por el Estado por concepto de gasolinas, participables a los municipios en el mes “t”.</w:t>
      </w:r>
    </w:p>
    <w:p w:rsidR="001634B4" w:rsidRPr="001634B4" w:rsidRDefault="001634B4" w:rsidP="001634B4">
      <w:pPr>
        <w:spacing w:after="0" w:line="240" w:lineRule="auto"/>
        <w:ind w:left="142"/>
        <w:jc w:val="both"/>
        <w:rPr>
          <w:rFonts w:ascii="Times New Roman" w:eastAsia="Times New Roman" w:hAnsi="Times New Roman" w:cs="Times New Roman"/>
          <w:b/>
          <w:sz w:val="20"/>
          <w:szCs w:val="20"/>
          <w:lang w:eastAsia="es-ES"/>
        </w:rPr>
      </w:pPr>
    </w:p>
    <w:p w:rsidR="001634B4" w:rsidRPr="001634B4" w:rsidRDefault="00BD17F2" w:rsidP="001634B4">
      <w:pPr>
        <w:spacing w:after="0" w:line="240" w:lineRule="auto"/>
        <w:ind w:left="142"/>
        <w:jc w:val="both"/>
        <w:rPr>
          <w:rFonts w:ascii="Times New Roman" w:eastAsia="Times New Roman" w:hAnsi="Times New Roman" w:cs="Times New Roman"/>
          <w:sz w:val="20"/>
          <w:szCs w:val="20"/>
          <w:lang w:eastAsia="es-ES"/>
        </w:rPr>
      </w:pPr>
      <m:oMath>
        <m:sSub>
          <m:sSubPr>
            <m:ctrlPr>
              <w:rPr>
                <w:rFonts w:ascii="Cambria Math" w:eastAsia="Times New Roman" w:hAnsi="Cambria Math" w:cs="Times New Roman"/>
                <w:b/>
                <w:sz w:val="20"/>
                <w:szCs w:val="20"/>
                <w:lang w:eastAsia="es-ES"/>
              </w:rPr>
            </m:ctrlPr>
          </m:sSubPr>
          <m:e>
            <m:r>
              <m:rPr>
                <m:sty m:val="bi"/>
              </m:rPr>
              <w:rPr>
                <w:rFonts w:ascii="Cambria Math" w:eastAsia="Times New Roman" w:hAnsi="Cambria Math" w:cs="Times New Roman"/>
                <w:sz w:val="20"/>
                <w:szCs w:val="20"/>
                <w:lang w:eastAsia="es-ES"/>
              </w:rPr>
              <m:t>n</m:t>
            </m:r>
          </m:e>
          <m:sub>
            <m:r>
              <m:rPr>
                <m:sty m:val="bi"/>
              </m:rPr>
              <w:rPr>
                <w:rFonts w:ascii="Cambria Math" w:eastAsia="Times New Roman" w:hAnsi="Cambria Math" w:cs="Times New Roman"/>
                <w:sz w:val="20"/>
                <w:szCs w:val="20"/>
                <w:lang w:eastAsia="es-ES"/>
              </w:rPr>
              <m:t>i</m:t>
            </m:r>
          </m:sub>
        </m:sSub>
      </m:oMath>
      <w:r w:rsidR="001634B4" w:rsidRPr="001634B4">
        <w:rPr>
          <w:rFonts w:ascii="Times New Roman" w:eastAsia="Times New Roman" w:hAnsi="Times New Roman" w:cs="Times New Roman"/>
          <w:b/>
          <w:sz w:val="20"/>
          <w:szCs w:val="20"/>
          <w:lang w:eastAsia="es-ES"/>
        </w:rPr>
        <w:t xml:space="preserve">= </w:t>
      </w:r>
      <w:r w:rsidR="001634B4" w:rsidRPr="001634B4">
        <w:rPr>
          <w:rFonts w:ascii="Times New Roman" w:eastAsia="Times New Roman" w:hAnsi="Times New Roman" w:cs="Times New Roman"/>
          <w:b/>
          <w:sz w:val="20"/>
          <w:szCs w:val="20"/>
          <w:lang w:eastAsia="es-ES"/>
        </w:rPr>
        <w:tab/>
      </w:r>
      <w:r w:rsidR="001634B4" w:rsidRPr="001634B4">
        <w:rPr>
          <w:rFonts w:ascii="Times New Roman" w:eastAsia="Times New Roman" w:hAnsi="Times New Roman" w:cs="Times New Roman"/>
          <w:sz w:val="20"/>
          <w:szCs w:val="20"/>
          <w:lang w:eastAsia="es-ES"/>
        </w:rPr>
        <w:t>Es la última información oficial de población dada a conocer por el Instituto Nacional de Estadística y Geografía de los municipios.</w:t>
      </w:r>
    </w:p>
    <w:p w:rsidR="001634B4" w:rsidRPr="001634B4" w:rsidRDefault="001634B4" w:rsidP="001634B4">
      <w:pPr>
        <w:spacing w:after="0" w:line="240" w:lineRule="auto"/>
        <w:ind w:left="142"/>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m:oMath>
        <m:r>
          <m:rPr>
            <m:sty m:val="bi"/>
          </m:rPr>
          <w:rPr>
            <w:rFonts w:ascii="Cambria Math" w:eastAsia="Times New Roman" w:hAnsi="Cambria Math" w:cs="Times New Roman"/>
            <w:sz w:val="20"/>
            <w:szCs w:val="20"/>
            <w:lang w:eastAsia="es-ES"/>
          </w:rPr>
          <m:t>N</m:t>
        </m:r>
      </m:oMath>
      <w:r w:rsidRPr="001634B4">
        <w:rPr>
          <w:rFonts w:ascii="Times New Roman" w:eastAsia="Times New Roman" w:hAnsi="Times New Roman" w:cs="Times New Roman"/>
          <w:b/>
          <w:sz w:val="20"/>
          <w:szCs w:val="20"/>
          <w:lang w:eastAsia="es-ES"/>
        </w:rPr>
        <w:t xml:space="preserve"> =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Es la sumatoria de la población a que se refiere el párrafo anterior para todos los municipios.</w:t>
      </w: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Artículo 235.-</w:t>
      </w:r>
      <w:r w:rsidRPr="001634B4">
        <w:rPr>
          <w:rFonts w:ascii="Times New Roman" w:eastAsia="Times New Roman" w:hAnsi="Times New Roman" w:cs="Times New Roman"/>
          <w:bCs/>
          <w:sz w:val="20"/>
          <w:szCs w:val="20"/>
          <w:lang w:eastAsia="es-ES"/>
        </w:rPr>
        <w:t xml:space="preserve"> Para la ejecución de las obras o acciones que lleven a cabo los municipios con los </w:t>
      </w:r>
      <w:r w:rsidRPr="001634B4">
        <w:rPr>
          <w:rFonts w:ascii="Times New Roman" w:eastAsia="Times New Roman" w:hAnsi="Times New Roman" w:cs="Times New Roman"/>
          <w:sz w:val="20"/>
          <w:szCs w:val="20"/>
          <w:lang w:eastAsia="es-ES"/>
        </w:rPr>
        <w:t>Fond</w:t>
      </w:r>
      <w:r w:rsidRPr="001634B4">
        <w:rPr>
          <w:rFonts w:ascii="Times New Roman" w:eastAsia="Times New Roman" w:hAnsi="Times New Roman" w:cs="Times New Roman"/>
          <w:bCs/>
          <w:sz w:val="20"/>
          <w:szCs w:val="20"/>
          <w:lang w:eastAsia="es-ES"/>
        </w:rPr>
        <w:t xml:space="preserve">os a que se refiere el artículo 228 fracciones III y IV del Código; estos deberán presentar a la Secretaría, por conducto de la Subsecretaría de Planeación y Presupuesto, los reportes que sobre la aplicación de dichos </w:t>
      </w:r>
      <w:r w:rsidRPr="001634B4">
        <w:rPr>
          <w:rFonts w:ascii="Times New Roman" w:eastAsia="Times New Roman" w:hAnsi="Times New Roman" w:cs="Times New Roman"/>
          <w:sz w:val="20"/>
          <w:szCs w:val="20"/>
          <w:lang w:eastAsia="es-ES"/>
        </w:rPr>
        <w:t>Fo</w:t>
      </w:r>
      <w:r w:rsidRPr="001634B4">
        <w:rPr>
          <w:rFonts w:ascii="Times New Roman" w:eastAsia="Times New Roman" w:hAnsi="Times New Roman" w:cs="Times New Roman"/>
          <w:bCs/>
          <w:sz w:val="20"/>
          <w:szCs w:val="20"/>
          <w:lang w:eastAsia="es-ES"/>
        </w:rPr>
        <w:t>ndos se hayan generado, dentro de los primeros 10 días hábiles posteriores al mes que se reporte. Asimismo, los municipios deberán registrar, conforme a los requerimientos contemplados por el Sistema establecido por la Secretaría, la información relacionada a los avances físicos y financieros de las obras a ejecutarse con recursos de los Fondos referidos; a efecto de que la Secretaría se encuentre en aptitud de inform</w:t>
      </w:r>
      <w:r w:rsidRPr="001634B4">
        <w:rPr>
          <w:rFonts w:ascii="Times New Roman" w:eastAsia="Times New Roman" w:hAnsi="Times New Roman" w:cs="Times New Roman"/>
          <w:sz w:val="20"/>
          <w:szCs w:val="20"/>
          <w:lang w:eastAsia="es-ES"/>
        </w:rPr>
        <w:t xml:space="preserve">ar </w:t>
      </w:r>
      <w:r w:rsidRPr="001634B4">
        <w:rPr>
          <w:rFonts w:ascii="Times New Roman" w:eastAsia="Times New Roman" w:hAnsi="Times New Roman" w:cs="Times New Roman"/>
          <w:bCs/>
          <w:sz w:val="20"/>
          <w:szCs w:val="20"/>
          <w:lang w:eastAsia="es-ES"/>
        </w:rPr>
        <w:t>lo conducente a las Dependencias federales competentes.</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 xml:space="preserve">Será responsabilidad de los </w:t>
      </w:r>
      <w:r w:rsidRPr="001634B4">
        <w:rPr>
          <w:rFonts w:ascii="Times New Roman" w:eastAsia="Times New Roman" w:hAnsi="Times New Roman" w:cs="Times New Roman"/>
          <w:sz w:val="20"/>
          <w:szCs w:val="20"/>
          <w:lang w:eastAsia="es-ES"/>
        </w:rPr>
        <w:t>m</w:t>
      </w:r>
      <w:r w:rsidRPr="001634B4">
        <w:rPr>
          <w:rFonts w:ascii="Times New Roman" w:eastAsia="Times New Roman" w:hAnsi="Times New Roman" w:cs="Times New Roman"/>
          <w:bCs/>
          <w:sz w:val="20"/>
          <w:szCs w:val="20"/>
          <w:lang w:eastAsia="es-ES"/>
        </w:rPr>
        <w:t>unicipios, cumplir con lo señalado en la Ley de Coordinación Fiscal y demás normatividad aplicable, sobre el uso de estos recursos.</w:t>
      </w:r>
    </w:p>
    <w:p w:rsidR="001634B4" w:rsidRPr="001634B4" w:rsidRDefault="001634B4" w:rsidP="001634B4">
      <w:pPr>
        <w:spacing w:after="0" w:line="240" w:lineRule="auto"/>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Artículo 248.- </w:t>
      </w: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widowControl w:val="0"/>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I. </w:t>
      </w:r>
      <w:r w:rsidRPr="001634B4">
        <w:rPr>
          <w:rFonts w:ascii="Times New Roman" w:eastAsia="Times New Roman" w:hAnsi="Times New Roman" w:cs="Times New Roman"/>
          <w:bCs/>
          <w:sz w:val="20"/>
          <w:szCs w:val="20"/>
          <w:lang w:eastAsia="es-ES"/>
        </w:rPr>
        <w:t>a</w:t>
      </w:r>
      <w:r w:rsidRPr="001634B4">
        <w:rPr>
          <w:rFonts w:ascii="Times New Roman" w:eastAsia="Times New Roman" w:hAnsi="Times New Roman" w:cs="Times New Roman"/>
          <w:b/>
          <w:bCs/>
          <w:sz w:val="20"/>
          <w:szCs w:val="20"/>
          <w:lang w:eastAsia="es-ES"/>
        </w:rPr>
        <w:t xml:space="preserve"> III. </w:t>
      </w: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widowControl w:val="0"/>
        <w:spacing w:after="0" w:line="240" w:lineRule="auto"/>
        <w:ind w:left="308" w:right="29" w:hanging="30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IV. </w:t>
      </w:r>
      <w:r w:rsidRPr="001634B4">
        <w:rPr>
          <w:rFonts w:ascii="Times New Roman" w:eastAsia="Times New Roman" w:hAnsi="Times New Roman" w:cs="Times New Roman"/>
          <w:sz w:val="20"/>
          <w:szCs w:val="20"/>
          <w:lang w:eastAsia="es-ES"/>
        </w:rPr>
        <w:t>Los vocales, que serán seis personas diputadas de la Legislatura, la persona titular del Órgano Superior de Fiscalización</w:t>
      </w:r>
      <w:r w:rsidRPr="001634B4">
        <w:rPr>
          <w:rFonts w:ascii="Times New Roman" w:eastAsia="Times New Roman" w:hAnsi="Times New Roman" w:cs="Times New Roman"/>
          <w:bCs/>
          <w:sz w:val="20"/>
          <w:szCs w:val="20"/>
          <w:lang w:eastAsia="es-ES"/>
        </w:rPr>
        <w:t>, una persona servidora pública designada por la persona titular de la Secretaría, una persona servidora pública designada por la persona titular de la Oficialía Mayor</w:t>
      </w:r>
      <w:r w:rsidRPr="001634B4">
        <w:rPr>
          <w:rFonts w:ascii="Times New Roman" w:eastAsia="Times New Roman" w:hAnsi="Times New Roman" w:cs="Times New Roman"/>
          <w:sz w:val="20"/>
          <w:szCs w:val="20"/>
          <w:lang w:eastAsia="es-ES"/>
        </w:rPr>
        <w:t xml:space="preserve"> y las o los presidentes municipales del Estado.</w:t>
      </w:r>
    </w:p>
    <w:p w:rsidR="001634B4" w:rsidRPr="001634B4" w:rsidRDefault="001634B4" w:rsidP="001634B4">
      <w:pPr>
        <w:spacing w:after="0" w:line="240" w:lineRule="auto"/>
        <w:ind w:right="216"/>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Una persona invitada permanente a las sesiones del Consejo Directivo, que será una persona servidora pública designada por la persona titular de la Consejería Jurídica.</w:t>
      </w:r>
    </w:p>
    <w:p w:rsidR="001634B4" w:rsidRPr="001634B4" w:rsidRDefault="001634B4" w:rsidP="001634B4">
      <w:pPr>
        <w:spacing w:after="0" w:line="240" w:lineRule="auto"/>
        <w:ind w:right="-2"/>
        <w:jc w:val="both"/>
        <w:rPr>
          <w:rFonts w:ascii="Times New Roman" w:eastAsia="Times New Roman" w:hAnsi="Times New Roman" w:cs="Times New Roman"/>
          <w:bCs/>
          <w:sz w:val="20"/>
          <w:szCs w:val="20"/>
          <w:lang w:eastAsia="es-ES"/>
        </w:rPr>
      </w:pPr>
    </w:p>
    <w:p w:rsidR="001634B4" w:rsidRPr="001634B4" w:rsidRDefault="001634B4" w:rsidP="001634B4">
      <w:pPr>
        <w:widowControl w:val="0"/>
        <w:spacing w:after="0" w:line="240" w:lineRule="auto"/>
        <w:ind w:right="-2"/>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Artículo 249.- </w:t>
      </w:r>
      <w:r w:rsidRPr="001634B4">
        <w:rPr>
          <w:rFonts w:ascii="Times New Roman" w:eastAsia="Times New Roman" w:hAnsi="Times New Roman" w:cs="Times New Roman"/>
          <w:bCs/>
          <w:sz w:val="20"/>
          <w:szCs w:val="20"/>
          <w:lang w:eastAsia="es-ES"/>
        </w:rPr>
        <w:t>La persona titular de la presidencia del Consejo Directivo y las y los presidentes municipales del Estado integrantes del Consejo Directivo tendrán voz y voto, mientras que el resto de los integrantes y la persona invitada permanente representante de la Consejería Jurídica, solo tendrán voz.</w:t>
      </w:r>
    </w:p>
    <w:p w:rsidR="001634B4" w:rsidRPr="001634B4" w:rsidRDefault="001634B4" w:rsidP="001634B4">
      <w:pPr>
        <w:widowControl w:val="0"/>
        <w:spacing w:after="0" w:line="240" w:lineRule="auto"/>
        <w:ind w:right="-2"/>
        <w:jc w:val="both"/>
        <w:rPr>
          <w:rFonts w:ascii="Times New Roman" w:eastAsia="Times New Roman" w:hAnsi="Times New Roman" w:cs="Times New Roman"/>
          <w:bCs/>
          <w:sz w:val="20"/>
          <w:szCs w:val="20"/>
          <w:lang w:eastAsia="es-ES"/>
        </w:rPr>
      </w:pPr>
    </w:p>
    <w:p w:rsidR="001634B4" w:rsidRPr="001634B4" w:rsidRDefault="001634B4" w:rsidP="001634B4">
      <w:pPr>
        <w:widowControl w:val="0"/>
        <w:spacing w:after="0" w:line="240" w:lineRule="auto"/>
        <w:ind w:right="-2"/>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 xml:space="preserve">Por cada una de las personas integrantes del Consejo Directivo, se nombrará una persona suplente. </w:t>
      </w:r>
    </w:p>
    <w:p w:rsidR="001634B4" w:rsidRPr="001634B4" w:rsidRDefault="001634B4" w:rsidP="001634B4">
      <w:pPr>
        <w:widowControl w:val="0"/>
        <w:spacing w:after="0" w:line="240" w:lineRule="auto"/>
        <w:ind w:right="-2"/>
        <w:jc w:val="both"/>
        <w:rPr>
          <w:rFonts w:ascii="Times New Roman" w:eastAsia="Times New Roman" w:hAnsi="Times New Roman" w:cs="Times New Roman"/>
          <w:bCs/>
          <w:sz w:val="20"/>
          <w:szCs w:val="20"/>
          <w:lang w:eastAsia="es-ES"/>
        </w:rPr>
      </w:pPr>
    </w:p>
    <w:p w:rsidR="001634B4" w:rsidRPr="001634B4" w:rsidRDefault="001634B4" w:rsidP="001634B4">
      <w:pPr>
        <w:widowControl w:val="0"/>
        <w:spacing w:after="0" w:line="240" w:lineRule="auto"/>
        <w:ind w:right="-2"/>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Los personas suplentes de las o los presidentes municipales, serán las personas servidoras públicas titulares de sus Tesorerías.</w:t>
      </w:r>
    </w:p>
    <w:p w:rsidR="001634B4" w:rsidRPr="001634B4" w:rsidRDefault="001634B4" w:rsidP="001634B4">
      <w:pPr>
        <w:widowControl w:val="0"/>
        <w:spacing w:after="0" w:line="240" w:lineRule="auto"/>
        <w:ind w:right="216"/>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16"/>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ind w:right="216"/>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right="216"/>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ind w:right="216"/>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right="216"/>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Artículo 285.-</w:t>
      </w:r>
      <w:r w:rsidRPr="001634B4">
        <w:rPr>
          <w:rFonts w:ascii="Times New Roman" w:eastAsia="Times New Roman" w:hAnsi="Times New Roman" w:cs="Times New Roman"/>
          <w:bCs/>
          <w:sz w:val="20"/>
          <w:szCs w:val="20"/>
          <w:lang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82" w:hanging="18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I.</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b/>
          <w:bCs/>
          <w:sz w:val="20"/>
          <w:szCs w:val="20"/>
          <w:lang w:eastAsia="es-ES"/>
        </w:rPr>
        <w:t>ADEFAS.</w:t>
      </w:r>
      <w:r w:rsidRPr="001634B4">
        <w:rPr>
          <w:rFonts w:ascii="Times New Roman" w:eastAsia="Times New Roman" w:hAnsi="Times New Roman" w:cs="Times New Roman"/>
          <w:b/>
          <w:sz w:val="20"/>
          <w:szCs w:val="20"/>
          <w:lang w:eastAsia="es-ES"/>
        </w:rPr>
        <w:t xml:space="preserve"> </w:t>
      </w:r>
      <w:r w:rsidRPr="001634B4">
        <w:rPr>
          <w:rFonts w:ascii="Times New Roman" w:eastAsia="Times New Roman" w:hAnsi="Times New Roman" w:cs="Times New Roman"/>
          <w:sz w:val="20"/>
          <w:szCs w:val="20"/>
          <w:lang w:eastAsia="es-ES"/>
        </w:rPr>
        <w:t xml:space="preserve">A los Adeudos del Ejercicio Fiscal Anterior, previstos para cubrir los compromisos pendientes de pagar, que hayan sido devengados y debidamente </w:t>
      </w:r>
      <w:r w:rsidRPr="001634B4">
        <w:rPr>
          <w:rFonts w:ascii="Times New Roman" w:eastAsia="Times New Roman" w:hAnsi="Times New Roman" w:cs="Times New Roman"/>
          <w:sz w:val="20"/>
          <w:szCs w:val="20"/>
          <w:lang w:eastAsia="es-ES"/>
        </w:rPr>
        <w:tab/>
        <w:t xml:space="preserve">contabilizados al 31 de diciembre, derivados de la contratación de bienes y servicios e inversión pública, requeridos para el desempeño de las funciones de los Entes Públicos, </w:t>
      </w:r>
      <w:r w:rsidR="005B565D">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para ser liquidados en el ejercicio inmediato posterior.</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96" w:hanging="16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 </w:t>
      </w:r>
      <w:r w:rsidRPr="001634B4">
        <w:rPr>
          <w:rFonts w:ascii="Times New Roman" w:eastAsia="Times New Roman" w:hAnsi="Times New Roman" w:cs="Times New Roman"/>
          <w:b/>
          <w:sz w:val="20"/>
          <w:szCs w:val="20"/>
          <w:lang w:eastAsia="es-ES"/>
        </w:rPr>
        <w:tab/>
        <w:t>Evaluación.</w:t>
      </w:r>
      <w:r w:rsidRPr="001634B4">
        <w:rPr>
          <w:rFonts w:ascii="Times New Roman" w:eastAsia="Times New Roman" w:hAnsi="Times New Roman" w:cs="Times New Roman"/>
          <w:sz w:val="20"/>
          <w:szCs w:val="20"/>
          <w:lang w:eastAsia="es-ES"/>
        </w:rPr>
        <w:t xml:space="preserve"> Al análisis sistemático y objetivo de los programas coordinados por los entes públicos que tiene como finalidad determinar la pertinencia, el logro de sus objetivos y metas, su eficiencia, eficacia, calidad, resultados, impacto y sostenibilidad. </w:t>
      </w:r>
    </w:p>
    <w:p w:rsidR="001634B4" w:rsidRPr="001634B4" w:rsidRDefault="001634B4" w:rsidP="001634B4">
      <w:pPr>
        <w:spacing w:after="0" w:line="240" w:lineRule="auto"/>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210" w:hanging="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III.</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b/>
          <w:sz w:val="20"/>
          <w:szCs w:val="20"/>
          <w:lang w:eastAsia="es-ES"/>
        </w:rPr>
        <w:t>Metodología del Marco Lógico (MML).</w:t>
      </w:r>
      <w:r w:rsidRPr="001634B4">
        <w:rPr>
          <w:rFonts w:ascii="Times New Roman" w:eastAsia="Times New Roman" w:hAnsi="Times New Roman" w:cs="Times New Roman"/>
          <w:sz w:val="20"/>
          <w:szCs w:val="20"/>
          <w:lang w:eastAsia="es-ES"/>
        </w:rPr>
        <w:t xml:space="preserve"> Es la herramienta de planeación estratégica basada en la estructuración y solución de problemas o áreas de mejora, que permite organizar de manera sistemática y lógica los objetivos de un programa y sus relaciones de causa y efecto, medios y fines. La MML facilita el proceso de conceptualización y diseño de programas.</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210" w:hanging="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IV.</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b/>
          <w:sz w:val="20"/>
          <w:szCs w:val="20"/>
          <w:lang w:eastAsia="es-ES"/>
        </w:rPr>
        <w:t>Presupuesto basado en Resultados (</w:t>
      </w:r>
      <w:proofErr w:type="spellStart"/>
      <w:r w:rsidRPr="001634B4">
        <w:rPr>
          <w:rFonts w:ascii="Times New Roman" w:eastAsia="Times New Roman" w:hAnsi="Times New Roman" w:cs="Times New Roman"/>
          <w:b/>
          <w:sz w:val="20"/>
          <w:szCs w:val="20"/>
          <w:lang w:eastAsia="es-ES"/>
        </w:rPr>
        <w:t>PbR</w:t>
      </w:r>
      <w:proofErr w:type="spellEnd"/>
      <w:r w:rsidRPr="001634B4">
        <w:rPr>
          <w:rFonts w:ascii="Times New Roman" w:eastAsia="Times New Roman" w:hAnsi="Times New Roman" w:cs="Times New Roman"/>
          <w:b/>
          <w:sz w:val="20"/>
          <w:szCs w:val="20"/>
          <w:lang w:eastAsia="es-ES"/>
        </w:rPr>
        <w:t>).</w:t>
      </w:r>
      <w:r w:rsidRPr="001634B4">
        <w:rPr>
          <w:rFonts w:ascii="Times New Roman" w:eastAsia="Times New Roman" w:hAnsi="Times New Roman" w:cs="Times New Roman"/>
          <w:sz w:val="20"/>
          <w:szCs w:val="20"/>
          <w:lang w:eastAsia="es-ES"/>
        </w:rPr>
        <w:t xml:space="preserve"> Modelo mediante el cual el proceso presupuestario incorpora sistemáticamente consideraciones sobre los resultados obtenidos y esperados de la aplicación de los recursos públicos, a efecto de lograr una </w:t>
      </w:r>
      <w:r w:rsidRPr="001634B4">
        <w:rPr>
          <w:rFonts w:ascii="Times New Roman" w:eastAsia="Times New Roman" w:hAnsi="Times New Roman" w:cs="Times New Roman"/>
          <w:sz w:val="20"/>
          <w:szCs w:val="20"/>
          <w:lang w:eastAsia="es-ES"/>
        </w:rPr>
        <w:tab/>
        <w:t>mejor calidad del gasto público y favorecer la rendición de cuentas.</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210" w:hanging="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V.</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r>
      <w:r w:rsidRPr="001634B4">
        <w:rPr>
          <w:rFonts w:ascii="Times New Roman" w:eastAsia="Times New Roman" w:hAnsi="Times New Roman" w:cs="Times New Roman"/>
          <w:b/>
          <w:sz w:val="20"/>
          <w:szCs w:val="20"/>
          <w:lang w:eastAsia="es-ES"/>
        </w:rPr>
        <w:t>Programa Presupuestario.</w:t>
      </w:r>
      <w:r w:rsidRPr="001634B4">
        <w:rPr>
          <w:rFonts w:ascii="Times New Roman" w:eastAsia="Times New Roman" w:hAnsi="Times New Roman" w:cs="Times New Roman"/>
          <w:sz w:val="20"/>
          <w:szCs w:val="20"/>
          <w:lang w:eastAsia="es-ES"/>
        </w:rPr>
        <w:t xml:space="preserve"> Conjunto de acciones sistematizadas dirigidas a resolver un problema vinculado a la población, que operan las Dependencias, Entidades Públicas y Poderes Legislativo y Judicial, identificando los bienes y servicios mediante los cuales logran su objetivo así como a sus beneficiarios.</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widowControl w:val="0"/>
        <w:suppressAutoHyphens/>
        <w:spacing w:after="0" w:line="240" w:lineRule="auto"/>
        <w:ind w:left="210" w:hanging="210"/>
        <w:jc w:val="both"/>
        <w:rPr>
          <w:rFonts w:ascii="Times New Roman" w:eastAsia="Lucida Sans Unicode" w:hAnsi="Times New Roman" w:cs="Times New Roman"/>
          <w:kern w:val="1"/>
          <w:sz w:val="20"/>
          <w:szCs w:val="20"/>
          <w:lang w:val="es-ES" w:eastAsia="es-ES"/>
        </w:rPr>
      </w:pPr>
      <w:r w:rsidRPr="001634B4">
        <w:rPr>
          <w:rFonts w:ascii="Times New Roman" w:eastAsia="Lucida Sans Unicode" w:hAnsi="Times New Roman" w:cs="Times New Roman"/>
          <w:b/>
          <w:kern w:val="1"/>
          <w:sz w:val="20"/>
          <w:szCs w:val="20"/>
          <w:lang w:eastAsia="es-ES"/>
        </w:rPr>
        <w:t>VI.</w:t>
      </w:r>
      <w:r w:rsidRPr="001634B4">
        <w:rPr>
          <w:rFonts w:ascii="Times New Roman" w:eastAsia="Lucida Sans Unicode" w:hAnsi="Times New Roman" w:cs="Times New Roman"/>
          <w:b/>
          <w:kern w:val="1"/>
          <w:sz w:val="20"/>
          <w:szCs w:val="20"/>
          <w:lang w:eastAsia="es-ES"/>
        </w:rPr>
        <w:tab/>
        <w:t>Sistema Integral de Evaluación del Desempeño (SIED).</w:t>
      </w:r>
      <w:r w:rsidRPr="001634B4">
        <w:rPr>
          <w:rFonts w:ascii="Times New Roman" w:eastAsia="Lucida Sans Unicode" w:hAnsi="Times New Roman" w:cs="Times New Roman"/>
          <w:kern w:val="1"/>
          <w:sz w:val="20"/>
          <w:szCs w:val="20"/>
          <w:lang w:eastAsia="es-ES"/>
        </w:rPr>
        <w:t xml:space="preserve"> </w:t>
      </w:r>
      <w:r w:rsidRPr="001634B4">
        <w:rPr>
          <w:rFonts w:ascii="Times New Roman" w:eastAsia="Lucida Sans Unicode" w:hAnsi="Times New Roman" w:cs="Times New Roman"/>
          <w:kern w:val="1"/>
          <w:sz w:val="20"/>
          <w:szCs w:val="20"/>
          <w:lang w:val="es-ES" w:eastAsia="es-ES"/>
        </w:rPr>
        <w:t>Al instrumento del proceso integral de planeación estratégica, que permite establecer los objetivos de los Programas presupuestarios para medir sus avances, evaluar desde su diseño hasta sus resultados y mejorar su implementación, mediante el monitoreo y seguimiento de indicadores estratégicos y de gestión.</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210" w:hanging="21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VII.</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b/>
          <w:sz w:val="20"/>
          <w:szCs w:val="20"/>
          <w:lang w:eastAsia="es-ES"/>
        </w:rPr>
        <w:t>Sistema de Planeación y Presupuesto (SPP).</w:t>
      </w:r>
      <w:r w:rsidRPr="001634B4">
        <w:rPr>
          <w:rFonts w:ascii="Times New Roman" w:eastAsia="Times New Roman" w:hAnsi="Times New Roman" w:cs="Times New Roman"/>
          <w:sz w:val="20"/>
          <w:szCs w:val="20"/>
          <w:lang w:eastAsia="es-ES"/>
        </w:rPr>
        <w:t xml:space="preserve"> Herramienta automatizada que establece la estructura programática del proceso de planeación, ejercicio y control del gasto corriente.</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Artículo 286.-</w:t>
      </w:r>
      <w:r w:rsidRPr="001634B4">
        <w:rPr>
          <w:rFonts w:ascii="Times New Roman" w:eastAsia="Times New Roman" w:hAnsi="Times New Roman" w:cs="Times New Roman"/>
          <w:sz w:val="20"/>
          <w:szCs w:val="20"/>
          <w:lang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I.</w:t>
      </w:r>
      <w:r w:rsidRPr="001634B4">
        <w:rPr>
          <w:rFonts w:ascii="Times New Roman" w:eastAsia="Times New Roman" w:hAnsi="Times New Roman" w:cs="Times New Roman"/>
          <w:sz w:val="20"/>
          <w:szCs w:val="20"/>
          <w:lang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Adicionalmente, la fase de planeación deberá incorporar de manera transversal los criterios de igualdad sustantiva y perspectiva de género, para todas las personas en sus diferentes etapas de vida, en términos de lo dispuesto por la normativa aplicable en materia de derechos humanos y equidad presupuestaria; a efecto de asegurar que la formulación de programas y proyectos presupuestarios, se alineen con los principios de progresividad, no discriminación y eficiencia en el uso de los recursos públicos, promoviendo que las asignaciones de recursos atiendan las desigualdades estructurales y garanticen el acceso equitativo al gasto público.</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II.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III.</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ind w:left="142"/>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287.-</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sz w:val="20"/>
          <w:szCs w:val="20"/>
          <w:lang w:val="es-ES" w:eastAsia="es-ES"/>
        </w:rPr>
        <w:t xml:space="preserve">La Secretaría </w:t>
      </w:r>
      <w:r w:rsidRPr="001634B4">
        <w:rPr>
          <w:rFonts w:ascii="Times New Roman" w:eastAsia="Times New Roman" w:hAnsi="Times New Roman" w:cs="Times New Roman"/>
          <w:bCs/>
          <w:sz w:val="20"/>
          <w:szCs w:val="20"/>
          <w:lang w:val="es-ES" w:eastAsia="es-ES"/>
        </w:rPr>
        <w:t>autorizará por escrito, mediante oficio individual, cada programa o proyecto de inversión que ejecuten</w:t>
      </w:r>
      <w:r w:rsidRPr="001634B4">
        <w:rPr>
          <w:rFonts w:ascii="Times New Roman" w:eastAsia="Times New Roman" w:hAnsi="Times New Roman" w:cs="Times New Roman"/>
          <w:sz w:val="20"/>
          <w:szCs w:val="20"/>
          <w:lang w:val="es-ES" w:eastAsia="es-ES"/>
        </w:rPr>
        <w:t xml:space="preserve"> los Entes Públicos, de acuerdo con su naturaleza jurídica y según corresponda, </w:t>
      </w:r>
      <w:r w:rsidRPr="001634B4">
        <w:rPr>
          <w:rFonts w:ascii="Times New Roman" w:eastAsia="Times New Roman" w:hAnsi="Times New Roman" w:cs="Times New Roman"/>
          <w:bCs/>
          <w:sz w:val="20"/>
          <w:szCs w:val="20"/>
          <w:lang w:val="es-ES" w:eastAsia="es-ES"/>
        </w:rPr>
        <w:t>independientemente del origen de los recursos con el que se ejecuten. El procedimiento para la autorización respectiva, se sujetará a la normativa aplicable en materia de gasto de inversión.</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 xml:space="preserve">Tratándose de los organismos auxiliares, los programas y proyectos de inversión, deberán contar, además con la autorización del órgano de gobierno que corresponda. </w:t>
      </w:r>
    </w:p>
    <w:p w:rsidR="001634B4" w:rsidRPr="001634B4" w:rsidRDefault="001634B4" w:rsidP="001634B4">
      <w:pPr>
        <w:spacing w:after="0" w:line="240" w:lineRule="auto"/>
        <w:jc w:val="both"/>
        <w:rPr>
          <w:rFonts w:ascii="Times New Roman" w:eastAsia="Times New Roman" w:hAnsi="Times New Roman" w:cs="Times New Roman"/>
          <w:b/>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Artículo 288.-</w:t>
      </w:r>
      <w:r w:rsidRPr="001634B4">
        <w:rPr>
          <w:rFonts w:ascii="Times New Roman" w:eastAsia="Times New Roman" w:hAnsi="Times New Roman" w:cs="Times New Roman"/>
          <w:sz w:val="20"/>
          <w:szCs w:val="20"/>
          <w:lang w:eastAsia="es-ES"/>
        </w:rPr>
        <w:t xml:space="preserve"> Las iniciativas de ley o decreto </w:t>
      </w:r>
      <w:r w:rsidRPr="001634B4">
        <w:rPr>
          <w:rFonts w:ascii="Times New Roman" w:eastAsia="Times New Roman" w:hAnsi="Times New Roman" w:cs="Times New Roman"/>
          <w:bCs/>
          <w:sz w:val="20"/>
          <w:szCs w:val="20"/>
          <w:lang w:eastAsia="es-ES"/>
        </w:rPr>
        <w:t>que sean sometidas a votación del Pleno de la Legislatura, así como las disposiciones administrativas emitidas por la persona titular del Poder Ejecutivo del Estado, que impliquen afectación al Presupuesto de Egresos, deberán contar con la Estimación del Impacto Presupuestario, cuyos elementos más importantes, se incluirán en la exposición de motivos, así como en el dictamen correspondiente.</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 xml:space="preserve">La Secretaría, previa solicitud y de conformidad con la normativa que al efecto se emita y publique en el Periódico Oficial, emitirá la </w:t>
      </w:r>
      <w:r w:rsidRPr="001634B4">
        <w:rPr>
          <w:rFonts w:ascii="Times New Roman" w:eastAsia="Times New Roman" w:hAnsi="Times New Roman" w:cs="Times New Roman"/>
          <w:sz w:val="20"/>
          <w:szCs w:val="20"/>
          <w:lang w:eastAsia="es-ES"/>
        </w:rPr>
        <w:t>Estimación del Impacto Presupuestario</w:t>
      </w:r>
      <w:r w:rsidRPr="001634B4">
        <w:rPr>
          <w:rFonts w:ascii="Times New Roman" w:eastAsia="Times New Roman" w:hAnsi="Times New Roman" w:cs="Times New Roman"/>
          <w:bCs/>
          <w:sz w:val="20"/>
          <w:szCs w:val="20"/>
          <w:lang w:eastAsia="es-ES"/>
        </w:rPr>
        <w:t xml:space="preserve"> prevista en el párrafo anterior.</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iCs/>
          <w:sz w:val="20"/>
          <w:szCs w:val="20"/>
          <w:lang w:eastAsia="es-ES"/>
        </w:rPr>
      </w:pPr>
      <w:r w:rsidRPr="001634B4">
        <w:rPr>
          <w:rFonts w:ascii="Times New Roman" w:eastAsia="Times New Roman" w:hAnsi="Times New Roman" w:cs="Times New Roman"/>
          <w:bCs/>
          <w:sz w:val="20"/>
          <w:szCs w:val="20"/>
          <w:lang w:eastAsia="es-ES"/>
        </w:rPr>
        <w:t>La aprobación y ejecución de nuevas obligaciones financieras, se realizará en el marco del principio de balance presupuestario sostenible, por lo cual, se sujetarán a la capacidad financiera del Estado.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bCs/>
          <w:sz w:val="20"/>
          <w:szCs w:val="20"/>
          <w:lang w:eastAsia="es-ES"/>
        </w:rPr>
        <w:t>Artículo 290.-</w:t>
      </w:r>
      <w:r w:rsidRPr="001634B4">
        <w:rPr>
          <w:rFonts w:ascii="Times New Roman" w:eastAsia="Times New Roman" w:hAnsi="Times New Roman" w:cs="Times New Roman"/>
          <w:sz w:val="20"/>
          <w:szCs w:val="20"/>
          <w:lang w:eastAsia="es-ES"/>
        </w:rPr>
        <w:t xml:space="preserve"> La Secretaría será la responsable de integrar y someter a consideración de la persona titular del Poder Ejecutivo del Estado, el proyecto de Presupuesto de Egresos del Estado, bajo los lineamientos y herramientas que esta determine, considerando para su elaboración el marco de referencia para las finanzas públicas estatales y/o los criterios generales de política económica emitidos por el Gobierno Federal, según corresponda, debiendo mantener la </w:t>
      </w:r>
      <w:r w:rsidRPr="001634B4">
        <w:rPr>
          <w:rFonts w:ascii="Times New Roman" w:eastAsia="Times New Roman" w:hAnsi="Times New Roman" w:cs="Times New Roman"/>
          <w:sz w:val="20"/>
          <w:szCs w:val="20"/>
          <w:lang w:eastAsia="es-ES"/>
        </w:rPr>
        <w:lastRenderedPageBreak/>
        <w:t xml:space="preserve">congruencia con el Plan de Desarrollo del Estado de México y con los diversos programas que se deriven de dichos instrumentos, debiendo estar alineado con las disposiciones de carácter contable establecidas en la Ley General de Contabilidad Gubernamental, así como con los preceptos del Presupuesto basado en Resultados, del Sistema </w:t>
      </w:r>
      <w:r w:rsidRPr="001634B4">
        <w:rPr>
          <w:rFonts w:ascii="Times New Roman" w:eastAsia="Times New Roman" w:hAnsi="Times New Roman" w:cs="Times New Roman"/>
          <w:bCs/>
          <w:sz w:val="20"/>
          <w:szCs w:val="20"/>
          <w:lang w:eastAsia="es-ES"/>
        </w:rPr>
        <w:t xml:space="preserve">Integral </w:t>
      </w:r>
      <w:r w:rsidRPr="001634B4">
        <w:rPr>
          <w:rFonts w:ascii="Times New Roman" w:eastAsia="Times New Roman" w:hAnsi="Times New Roman" w:cs="Times New Roman"/>
          <w:sz w:val="20"/>
          <w:szCs w:val="20"/>
          <w:lang w:eastAsia="es-ES"/>
        </w:rPr>
        <w:t>de Evaluación del Desempeño, así como de transparencia y difusión de la información financiera que establece la normativa aplicable.</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MX"/>
        </w:rPr>
      </w:pPr>
      <w:r w:rsidRPr="001634B4">
        <w:rPr>
          <w:rFonts w:ascii="Times New Roman" w:eastAsia="Times New Roman" w:hAnsi="Times New Roman" w:cs="Times New Roman"/>
          <w:b/>
          <w:sz w:val="20"/>
          <w:szCs w:val="20"/>
          <w:lang w:val="es-ES" w:eastAsia="es-MX"/>
        </w:rPr>
        <w:t>Artículo 297.-</w:t>
      </w:r>
      <w:r w:rsidRPr="001634B4">
        <w:rPr>
          <w:rFonts w:ascii="Times New Roman" w:eastAsia="Times New Roman" w:hAnsi="Times New Roman" w:cs="Times New Roman"/>
          <w:sz w:val="20"/>
          <w:szCs w:val="20"/>
          <w:lang w:val="es-ES" w:eastAsia="es-MX"/>
        </w:rPr>
        <w:t xml:space="preserve"> En casos especiales y previa justificación, la Secretaría o la Tesorería en el ámbito de sus respectivas competencias, podrán autorizar presupuestalmente la celebración de contratos, así como sus ampliaciones y/o modificaciones de obra pública o de adquisiciones de bienes o contratación de servicios para programas o proyectos de inversión que rebasen el año presupuestal, quedando sujeto su ejercicio y pago a la disponibilidad presupuestal de los años correspondientes y a que se justifique que su celebración representa ventajas económicas o que sus términos o condiciones son más favorables; que el plazo de la contratación no afectará negativamente la competencia económica en el sector de que se trate; se identifique el gasto corriente o de inversión correspondiente; y se desglose el gasto a precios del año tanto para el ejercicio fiscal correspondiente como para los subsecuentes. Asimismo, podrán autorizarse programas y proyectos de gran visión, debiendo incluir en el proyecto de Presupuesto de Egresos, el Presupuesto Multianual correspondiente. Para los años presupuestales subsecuentes, los compromisos de pago adquiridos en ejercicios anteriores, conforme a lo previsto en este artículo, por las Dependencias, Entidades y Municipios gozarán de preferencia respecto de nuevos compromisos que las mismas adquieran, las cuales deberán cuidar bajo su responsabilidad que los pagos que se efectúen con cargo a sus presupuestos aprobados se realicen con sujeción a la preferencia establecida en este artículo.</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MX"/>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kern w:val="2"/>
          <w:sz w:val="20"/>
          <w:szCs w:val="20"/>
          <w:lang w:val="es-ES" w:eastAsia="es-MX"/>
          <w14:ligatures w14:val="standardContextual"/>
        </w:rPr>
        <w:t>Tratándose de obra pública cuya ejecución abarque varios ejercicios presupuestales, los Entes Públicos, de acuerdo con su naturaleza jurídica y según corresponda, deberán presentar a la Secretaría o la Tesorería en el ámbito de sus respectivas competencias, el programa de ejecución de la obra en el que se establezca claramente su plazo; dicho documento deberá formar parte del expediente técnico y de la solicitud respectiva.</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Artículo 302.-</w:t>
      </w:r>
      <w:r w:rsidRPr="001634B4">
        <w:rPr>
          <w:rFonts w:ascii="Times New Roman" w:eastAsia="Times New Roman" w:hAnsi="Times New Roman" w:cs="Times New Roman"/>
          <w:bCs/>
          <w:sz w:val="20"/>
          <w:szCs w:val="20"/>
          <w:lang w:eastAsia="es-ES"/>
        </w:rPr>
        <w:t xml:space="preserve"> La persona titular del Poder Ejecutivo del Estado, enviará cada año a la Legislatura, a más tardar el 21 de noviembre, el Proyecto del Presupuesto de Egresos del Gobierno del Estado, que deberá regir en el ejercicio fiscal inmediato siguiente, o hasta el 20 de diciembre, cuando inicie el periodo Constitucional el Ejecutivo Federal.</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bCs/>
          <w:sz w:val="20"/>
          <w:szCs w:val="20"/>
          <w:lang w:eastAsia="es-ES"/>
        </w:rPr>
        <w:t>Artículo 309.-</w:t>
      </w:r>
      <w:r w:rsidRPr="001634B4">
        <w:rPr>
          <w:rFonts w:ascii="Times New Roman" w:eastAsia="Times New Roman" w:hAnsi="Times New Roman" w:cs="Times New Roman"/>
          <w:sz w:val="20"/>
          <w:szCs w:val="20"/>
          <w:lang w:eastAsia="es-ES"/>
        </w:rPr>
        <w:t xml:space="preserve"> Los Entes Públicos, de acuerdo con su naturaleza jurídica y según corresponda, informarán a la Secretaría o Tesorería, según proceda, </w:t>
      </w:r>
      <w:r w:rsidRPr="001634B4">
        <w:rPr>
          <w:rFonts w:ascii="Times New Roman" w:eastAsia="Times New Roman" w:hAnsi="Times New Roman" w:cs="Times New Roman"/>
          <w:bCs/>
          <w:sz w:val="20"/>
          <w:szCs w:val="20"/>
          <w:lang w:eastAsia="es-ES"/>
        </w:rPr>
        <w:t>el último día hábil del mes de enero</w:t>
      </w:r>
      <w:r w:rsidRPr="001634B4">
        <w:rPr>
          <w:rFonts w:ascii="Times New Roman" w:eastAsia="Times New Roman" w:hAnsi="Times New Roman" w:cs="Times New Roman"/>
          <w:sz w:val="20"/>
          <w:szCs w:val="20"/>
          <w:lang w:eastAsia="es-ES"/>
        </w:rPr>
        <w:t xml:space="preserve"> del </w:t>
      </w:r>
      <w:r w:rsidRPr="001634B4">
        <w:rPr>
          <w:rFonts w:ascii="Times New Roman" w:eastAsia="Times New Roman" w:hAnsi="Times New Roman" w:cs="Times New Roman"/>
          <w:bCs/>
          <w:sz w:val="20"/>
          <w:szCs w:val="20"/>
          <w:lang w:eastAsia="es-ES"/>
        </w:rPr>
        <w:t>e</w:t>
      </w:r>
      <w:r w:rsidRPr="001634B4">
        <w:rPr>
          <w:rFonts w:ascii="Times New Roman" w:eastAsia="Times New Roman" w:hAnsi="Times New Roman" w:cs="Times New Roman"/>
          <w:sz w:val="20"/>
          <w:szCs w:val="20"/>
          <w:lang w:eastAsia="es-ES"/>
        </w:rPr>
        <w:t xml:space="preserve">jercicio </w:t>
      </w:r>
      <w:r w:rsidRPr="001634B4">
        <w:rPr>
          <w:rFonts w:ascii="Times New Roman" w:eastAsia="Times New Roman" w:hAnsi="Times New Roman" w:cs="Times New Roman"/>
          <w:bCs/>
          <w:sz w:val="20"/>
          <w:szCs w:val="20"/>
          <w:lang w:eastAsia="es-ES"/>
        </w:rPr>
        <w:t>f</w:t>
      </w:r>
      <w:r w:rsidRPr="001634B4">
        <w:rPr>
          <w:rFonts w:ascii="Times New Roman" w:eastAsia="Times New Roman" w:hAnsi="Times New Roman" w:cs="Times New Roman"/>
          <w:sz w:val="20"/>
          <w:szCs w:val="20"/>
          <w:lang w:eastAsia="es-ES"/>
        </w:rPr>
        <w:t xml:space="preserve">iscal </w:t>
      </w:r>
      <w:r w:rsidRPr="001634B4">
        <w:rPr>
          <w:rFonts w:ascii="Times New Roman" w:eastAsia="Times New Roman" w:hAnsi="Times New Roman" w:cs="Times New Roman"/>
          <w:bCs/>
          <w:sz w:val="20"/>
          <w:szCs w:val="20"/>
          <w:lang w:eastAsia="es-ES"/>
        </w:rPr>
        <w:t>en curso</w:t>
      </w:r>
      <w:r w:rsidRPr="001634B4">
        <w:rPr>
          <w:rFonts w:ascii="Times New Roman" w:eastAsia="Times New Roman" w:hAnsi="Times New Roman" w:cs="Times New Roman"/>
          <w:sz w:val="20"/>
          <w:szCs w:val="20"/>
          <w:lang w:eastAsia="es-ES"/>
        </w:rPr>
        <w:t xml:space="preserve">, de todos los adeudos contraídos al 31 de diciembre del </w:t>
      </w:r>
      <w:r w:rsidRPr="001634B4">
        <w:rPr>
          <w:rFonts w:ascii="Times New Roman" w:eastAsia="Times New Roman" w:hAnsi="Times New Roman" w:cs="Times New Roman"/>
          <w:bCs/>
          <w:sz w:val="20"/>
          <w:szCs w:val="20"/>
          <w:lang w:eastAsia="es-ES"/>
        </w:rPr>
        <w:t>E</w:t>
      </w:r>
      <w:r w:rsidRPr="001634B4">
        <w:rPr>
          <w:rFonts w:ascii="Times New Roman" w:eastAsia="Times New Roman" w:hAnsi="Times New Roman" w:cs="Times New Roman"/>
          <w:sz w:val="20"/>
          <w:szCs w:val="20"/>
          <w:lang w:eastAsia="es-ES"/>
        </w:rPr>
        <w:t xml:space="preserve">jercicio </w:t>
      </w:r>
      <w:r w:rsidRPr="001634B4">
        <w:rPr>
          <w:rFonts w:ascii="Times New Roman" w:eastAsia="Times New Roman" w:hAnsi="Times New Roman" w:cs="Times New Roman"/>
          <w:bCs/>
          <w:sz w:val="20"/>
          <w:szCs w:val="20"/>
          <w:lang w:eastAsia="es-ES"/>
        </w:rPr>
        <w:t>F</w:t>
      </w:r>
      <w:r w:rsidRPr="001634B4">
        <w:rPr>
          <w:rFonts w:ascii="Times New Roman" w:eastAsia="Times New Roman" w:hAnsi="Times New Roman" w:cs="Times New Roman"/>
          <w:sz w:val="20"/>
          <w:szCs w:val="20"/>
          <w:lang w:eastAsia="es-ES"/>
        </w:rPr>
        <w:t xml:space="preserve">iscal inmediato anterior, para ser registrados </w:t>
      </w:r>
      <w:r w:rsidRPr="001634B4">
        <w:rPr>
          <w:rFonts w:ascii="Times New Roman" w:eastAsia="Times New Roman" w:hAnsi="Times New Roman" w:cs="Times New Roman"/>
          <w:bCs/>
          <w:sz w:val="20"/>
          <w:szCs w:val="20"/>
          <w:lang w:eastAsia="es-ES"/>
        </w:rPr>
        <w:t>en el</w:t>
      </w:r>
      <w:r w:rsidRPr="001634B4">
        <w:rPr>
          <w:rFonts w:ascii="Times New Roman" w:eastAsia="Times New Roman" w:hAnsi="Times New Roman" w:cs="Times New Roman"/>
          <w:sz w:val="20"/>
          <w:szCs w:val="20"/>
          <w:lang w:eastAsia="es-ES"/>
        </w:rPr>
        <w:t xml:space="preserve"> pasivo </w:t>
      </w:r>
      <w:r w:rsidRPr="001634B4">
        <w:rPr>
          <w:rFonts w:ascii="Times New Roman" w:eastAsia="Times New Roman" w:hAnsi="Times New Roman" w:cs="Times New Roman"/>
          <w:bCs/>
          <w:sz w:val="20"/>
          <w:szCs w:val="20"/>
          <w:lang w:eastAsia="es-ES"/>
        </w:rPr>
        <w:t>circulante.</w:t>
      </w:r>
      <w:r w:rsidRPr="001634B4">
        <w:rPr>
          <w:rFonts w:ascii="Times New Roman" w:eastAsia="Times New Roman" w:hAnsi="Times New Roman" w:cs="Times New Roman"/>
          <w:sz w:val="20"/>
          <w:szCs w:val="20"/>
          <w:lang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 xml:space="preserve">El pago de adeudos provenientes de ejercicios anteriores que </w:t>
      </w:r>
      <w:r w:rsidRPr="001634B4">
        <w:rPr>
          <w:rFonts w:ascii="Times New Roman" w:eastAsia="Times New Roman" w:hAnsi="Times New Roman" w:cs="Times New Roman"/>
          <w:bCs/>
          <w:sz w:val="20"/>
          <w:szCs w:val="20"/>
          <w:lang w:eastAsia="es-ES"/>
        </w:rPr>
        <w:t>informen y comprueben</w:t>
      </w:r>
      <w:r w:rsidRPr="001634B4">
        <w:rPr>
          <w:rFonts w:ascii="Times New Roman" w:eastAsia="Times New Roman" w:hAnsi="Times New Roman" w:cs="Times New Roman"/>
          <w:sz w:val="20"/>
          <w:szCs w:val="20"/>
          <w:lang w:eastAsia="es-ES"/>
        </w:rPr>
        <w:t xml:space="preserve"> los Entes Públicos</w:t>
      </w:r>
      <w:r w:rsidRPr="001634B4">
        <w:rPr>
          <w:rFonts w:ascii="Times New Roman" w:eastAsia="Times New Roman" w:hAnsi="Times New Roman" w:cs="Times New Roman"/>
          <w:bCs/>
          <w:sz w:val="20"/>
          <w:szCs w:val="20"/>
          <w:lang w:eastAsia="es-ES"/>
        </w:rPr>
        <w:t>,</w:t>
      </w:r>
      <w:r w:rsidRPr="001634B4">
        <w:rPr>
          <w:rFonts w:ascii="Times New Roman" w:eastAsia="Times New Roman" w:hAnsi="Times New Roman" w:cs="Times New Roman"/>
          <w:sz w:val="20"/>
          <w:szCs w:val="20"/>
          <w:lang w:eastAsia="es-ES"/>
        </w:rPr>
        <w:t xml:space="preserve"> se hará con cargo a los recursos previstos en el Presupuesto de Egresos.</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right="9"/>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Las obligaciones de pago que no puedan ser cubiertas con el presupuesto autorizado correspondiente, se cubrirán con cargo al Presupuesto de Egresos vigente, previa autorización de la Secretaría; para tales efectos, dicha responsabilidad no se condicionará a la asignación de recursos adicionales.</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Artículo 310.- </w:t>
      </w: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I. </w:t>
      </w: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ind w:left="142"/>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ind w:left="420" w:hanging="278"/>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II</w:t>
      </w:r>
      <w:r w:rsidRPr="001634B4">
        <w:rPr>
          <w:rFonts w:ascii="Times New Roman" w:eastAsia="Times New Roman" w:hAnsi="Times New Roman" w:cs="Times New Roman"/>
          <w:sz w:val="20"/>
          <w:szCs w:val="20"/>
          <w:lang w:eastAsia="es-ES"/>
        </w:rPr>
        <w:t xml:space="preserve">. Cuando las dependencias y entidades públicas responsables del programa, no demuestren el cumplimiento de las metas comprometidas </w:t>
      </w:r>
      <w:r w:rsidRPr="001634B4">
        <w:rPr>
          <w:rFonts w:ascii="Times New Roman" w:eastAsia="Times New Roman" w:hAnsi="Times New Roman" w:cs="Times New Roman"/>
          <w:bCs/>
          <w:sz w:val="20"/>
          <w:szCs w:val="20"/>
          <w:lang w:eastAsia="es-ES"/>
        </w:rPr>
        <w:t>o presenten subejercicios mayores a un plazo de 90 días.</w:t>
      </w:r>
    </w:p>
    <w:p w:rsidR="001634B4" w:rsidRPr="001634B4" w:rsidRDefault="001634B4" w:rsidP="001634B4">
      <w:pPr>
        <w:spacing w:after="0" w:line="240" w:lineRule="auto"/>
        <w:ind w:left="142"/>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ind w:left="142"/>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III. </w:t>
      </w: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311.-</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I</w:t>
      </w:r>
      <w:r w:rsidRPr="001634B4">
        <w:rPr>
          <w:rFonts w:ascii="Times New Roman" w:eastAsia="Times New Roman" w:hAnsi="Times New Roman" w:cs="Times New Roman"/>
          <w:sz w:val="20"/>
          <w:szCs w:val="20"/>
          <w:lang w:val="es-ES" w:eastAsia="es-ES"/>
        </w:rPr>
        <w:t xml:space="preserve">. a </w:t>
      </w:r>
      <w:r w:rsidRPr="001634B4">
        <w:rPr>
          <w:rFonts w:ascii="Times New Roman" w:eastAsia="Times New Roman" w:hAnsi="Times New Roman" w:cs="Times New Roman"/>
          <w:b/>
          <w:sz w:val="20"/>
          <w:szCs w:val="20"/>
          <w:lang w:val="es-ES" w:eastAsia="es-ES"/>
        </w:rPr>
        <w:t>III</w:t>
      </w:r>
      <w:r w:rsidRPr="001634B4">
        <w:rPr>
          <w:rFonts w:ascii="Times New Roman" w:eastAsia="Times New Roman" w:hAnsi="Times New Roman" w:cs="Times New Roman"/>
          <w:sz w:val="20"/>
          <w:szCs w:val="20"/>
          <w:lang w:val="es-ES" w:eastAsia="es-ES"/>
        </w:rPr>
        <w:t>. …</w:t>
      </w: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IV.</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448"/>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 xml:space="preserve">En este caso, deberán solicitar la autorización de la Secretaría y cumplir con los requisitos que establecen las </w:t>
      </w:r>
      <w:r w:rsidRPr="001634B4">
        <w:rPr>
          <w:rFonts w:ascii="Times New Roman" w:eastAsia="Times New Roman" w:hAnsi="Times New Roman" w:cs="Times New Roman"/>
          <w:bCs/>
          <w:sz w:val="20"/>
          <w:szCs w:val="20"/>
          <w:lang w:val="es-ES" w:eastAsia="es-ES"/>
        </w:rPr>
        <w:t xml:space="preserve">Reglas de Operación correspondientes </w:t>
      </w:r>
      <w:r w:rsidRPr="001634B4">
        <w:rPr>
          <w:rFonts w:ascii="Times New Roman" w:eastAsia="Times New Roman" w:hAnsi="Times New Roman" w:cs="Times New Roman"/>
          <w:sz w:val="20"/>
          <w:szCs w:val="20"/>
          <w:lang w:val="es-ES" w:eastAsia="es-ES"/>
        </w:rPr>
        <w:t xml:space="preserve">y demás disposiciones aplicables. </w:t>
      </w:r>
    </w:p>
    <w:p w:rsidR="001634B4" w:rsidRPr="001634B4" w:rsidRDefault="001634B4" w:rsidP="001634B4">
      <w:pPr>
        <w:spacing w:after="0" w:line="240" w:lineRule="auto"/>
        <w:ind w:left="14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left="142"/>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V.</w:t>
      </w:r>
      <w:r w:rsidRPr="001634B4">
        <w:rPr>
          <w:rFonts w:ascii="Times New Roman" w:eastAsia="Times New Roman" w:hAnsi="Times New Roman" w:cs="Times New Roman"/>
          <w:sz w:val="20"/>
          <w:szCs w:val="20"/>
          <w:lang w:val="es-ES" w:eastAsia="es-ES"/>
        </w:rPr>
        <w:t xml:space="preserve"> a </w:t>
      </w:r>
      <w:r w:rsidRPr="001634B4">
        <w:rPr>
          <w:rFonts w:ascii="Times New Roman" w:eastAsia="Times New Roman" w:hAnsi="Times New Roman" w:cs="Times New Roman"/>
          <w:b/>
          <w:sz w:val="20"/>
          <w:szCs w:val="20"/>
          <w:lang w:val="es-ES" w:eastAsia="es-ES"/>
        </w:rPr>
        <w:t xml:space="preserve">VII.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314.-</w:t>
      </w:r>
      <w:r w:rsidRPr="001634B4">
        <w:rPr>
          <w:rFonts w:ascii="Times New Roman" w:eastAsia="Times New Roman" w:hAnsi="Times New Roman" w:cs="Times New Roman"/>
          <w:sz w:val="20"/>
          <w:szCs w:val="20"/>
          <w:lang w:val="es-ES" w:eastAsia="es-ES"/>
        </w:rPr>
        <w:t xml:space="preserve"> Los Entes Públicos, de acuerdo con su naturaleza jurídica y según corresponda, deberán reportar mensualmente a la Secretaría, dentro de los primeros diez días hábiles posteriores al cierre del mes inmediato anterior, el avance presupuestal de egresos en sus fases de comprometido, devengado, ejercido y pagado con base en la clasificación por objeto del gasto y demás clasificaciones que la misma señale, para cada una de las categorías programáticas vigentes.</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 xml:space="preserve">Artículo 314 Bis.- </w:t>
      </w:r>
      <w:r w:rsidRPr="001634B4">
        <w:rPr>
          <w:rFonts w:ascii="Times New Roman" w:eastAsia="Times New Roman" w:hAnsi="Times New Roman" w:cs="Times New Roman"/>
          <w:sz w:val="20"/>
          <w:szCs w:val="20"/>
          <w:lang w:val="es-ES" w:eastAsia="es-ES"/>
        </w:rPr>
        <w:t xml:space="preserve">Los coordinadores administrativos, delegados administrativos o equivalentes, conjuntamente con los titulares de las unidades ejecutoras del gasto o en su caso los titulares de los </w:t>
      </w:r>
      <w:r w:rsidRPr="001634B4">
        <w:rPr>
          <w:rFonts w:ascii="Times New Roman" w:eastAsia="Times New Roman" w:hAnsi="Times New Roman" w:cs="Times New Roman"/>
          <w:bCs/>
          <w:sz w:val="20"/>
          <w:szCs w:val="20"/>
          <w:lang w:val="es-ES" w:eastAsia="es-ES"/>
        </w:rPr>
        <w:t>Entes Públicos,</w:t>
      </w:r>
      <w:r w:rsidRPr="001634B4">
        <w:rPr>
          <w:rFonts w:ascii="Times New Roman" w:eastAsia="Times New Roman" w:hAnsi="Times New Roman" w:cs="Times New Roman"/>
          <w:sz w:val="20"/>
          <w:szCs w:val="20"/>
          <w:lang w:val="es-ES" w:eastAsia="es-ES"/>
        </w:rPr>
        <w:t xml:space="preserve"> serán responsables de la ejecución, registro y control del presupuesto de egresos que les haya sido autorizado.</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 xml:space="preserve">Artículo 314 Ter.- </w:t>
      </w:r>
      <w:r w:rsidRPr="001634B4">
        <w:rPr>
          <w:rFonts w:ascii="Times New Roman" w:eastAsia="Times New Roman" w:hAnsi="Times New Roman" w:cs="Times New Roman"/>
          <w:sz w:val="20"/>
          <w:szCs w:val="20"/>
          <w:lang w:val="es-ES" w:eastAsia="es-ES"/>
        </w:rPr>
        <w:t>Los coordinadores administrativos, delegados administrativos o equivalentes, certificarán la suficiencia presupuestal correspondiente a la adquisición de bienes y servicios, en términos de la Ley de Contratación Pública del Estado de México y Municipios.</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val="es-ES" w:eastAsia="es-ES"/>
        </w:rPr>
        <w:t>Artículo 314 Quáter.-</w:t>
      </w:r>
      <w:r w:rsidRPr="001634B4">
        <w:rPr>
          <w:rFonts w:ascii="Times New Roman" w:eastAsia="Times New Roman" w:hAnsi="Times New Roman" w:cs="Times New Roman"/>
          <w:sz w:val="20"/>
          <w:szCs w:val="20"/>
          <w:lang w:val="es-ES" w:eastAsia="es-ES"/>
        </w:rPr>
        <w:t xml:space="preserve"> Los Entes Públicos</w:t>
      </w:r>
      <w:r w:rsidRPr="001634B4">
        <w:rPr>
          <w:rFonts w:ascii="Times New Roman" w:eastAsia="Times New Roman" w:hAnsi="Times New Roman" w:cs="Times New Roman"/>
          <w:bCs/>
          <w:kern w:val="2"/>
          <w:sz w:val="20"/>
          <w:szCs w:val="20"/>
          <w:lang w:val="es-ES" w:eastAsia="es-MX"/>
          <w14:ligatures w14:val="standardContextual"/>
        </w:rPr>
        <w:t>, de acuerdo con su naturaleza jurídica y según corresponda,</w:t>
      </w:r>
      <w:r w:rsidRPr="001634B4">
        <w:rPr>
          <w:rFonts w:ascii="Times New Roman" w:eastAsia="Times New Roman" w:hAnsi="Times New Roman" w:cs="Times New Roman"/>
          <w:b/>
          <w:bCs/>
          <w:kern w:val="2"/>
          <w:sz w:val="20"/>
          <w:szCs w:val="20"/>
          <w:lang w:val="es-ES" w:eastAsia="es-MX"/>
          <w14:ligatures w14:val="standardContextual"/>
        </w:rPr>
        <w:t xml:space="preserve"> </w:t>
      </w:r>
      <w:r w:rsidRPr="001634B4">
        <w:rPr>
          <w:rFonts w:ascii="Times New Roman" w:eastAsia="Times New Roman" w:hAnsi="Times New Roman" w:cs="Times New Roman"/>
          <w:sz w:val="20"/>
          <w:szCs w:val="20"/>
          <w:lang w:val="es-ES" w:eastAsia="es-ES"/>
        </w:rPr>
        <w:t>deberán informar a la Secretaría de Hacienda y Crédito Público, sobre el ejercicio, destino y los resultados obtenidos, con base en los programas presupuestarios aprobados en el Presupuesto de Egresos de la Federación, respecto de los recursos federales otorgados, a través del Sistema de Recursos Federales Transferidos, así como verificar que los documentos comprobatorios, justifiquen el destino de los recursos para el cual fueron otorgados, debiendo publicar sus informes a través de sus respectivas páginas oficiales de internet de conformidad con lo previsto en la Ley Federal de Presupuesto y Responsabilidad Hacendaria.</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right="-2"/>
        <w:jc w:val="both"/>
        <w:rPr>
          <w:rFonts w:ascii="Times New Roman" w:eastAsia="Arial MT" w:hAnsi="Times New Roman" w:cs="Times New Roman"/>
          <w:strike/>
          <w:sz w:val="20"/>
          <w:szCs w:val="20"/>
          <w:lang w:eastAsia="es-ES"/>
        </w:rPr>
      </w:pPr>
      <w:r w:rsidRPr="001634B4">
        <w:rPr>
          <w:rFonts w:ascii="Times New Roman" w:eastAsia="Times New Roman" w:hAnsi="Times New Roman" w:cs="Times New Roman"/>
          <w:b/>
          <w:bCs/>
          <w:sz w:val="20"/>
          <w:szCs w:val="20"/>
          <w:lang w:eastAsia="es-ES"/>
        </w:rPr>
        <w:t>Artículo 317 Bis.-</w:t>
      </w:r>
      <w:r w:rsidRPr="001634B4">
        <w:rPr>
          <w:rFonts w:ascii="Times New Roman" w:eastAsia="Times New Roman" w:hAnsi="Times New Roman" w:cs="Times New Roman"/>
          <w:sz w:val="20"/>
          <w:szCs w:val="20"/>
          <w:lang w:eastAsia="es-ES"/>
        </w:rPr>
        <w:t xml:space="preserve"> Los traspasos presupuestarios externos</w:t>
      </w:r>
      <w:r w:rsidRPr="001634B4">
        <w:rPr>
          <w:rFonts w:ascii="Times New Roman" w:eastAsia="Times New Roman" w:hAnsi="Times New Roman" w:cs="Times New Roman"/>
          <w:b/>
          <w:sz w:val="20"/>
          <w:szCs w:val="20"/>
          <w:lang w:eastAsia="es-ES"/>
        </w:rPr>
        <w:t>,</w:t>
      </w:r>
      <w:r w:rsidRPr="001634B4">
        <w:rPr>
          <w:rFonts w:ascii="Times New Roman" w:eastAsia="Times New Roman" w:hAnsi="Times New Roman" w:cs="Times New Roman"/>
          <w:sz w:val="20"/>
          <w:szCs w:val="20"/>
          <w:lang w:eastAsia="es-ES"/>
        </w:rPr>
        <w:t xml:space="preserve"> serán aquellos que se </w:t>
      </w:r>
      <w:r w:rsidRPr="001634B4">
        <w:rPr>
          <w:rFonts w:ascii="Times New Roman" w:eastAsia="Times New Roman" w:hAnsi="Times New Roman" w:cs="Times New Roman"/>
          <w:bCs/>
          <w:sz w:val="20"/>
          <w:szCs w:val="20"/>
          <w:lang w:eastAsia="es-ES"/>
        </w:rPr>
        <w:t>realicen entre programas</w:t>
      </w:r>
      <w:r w:rsidRPr="001634B4">
        <w:rPr>
          <w:rFonts w:ascii="Times New Roman" w:eastAsia="Times New Roman" w:hAnsi="Times New Roman" w:cs="Times New Roman"/>
          <w:b/>
          <w:bCs/>
          <w:sz w:val="20"/>
          <w:szCs w:val="20"/>
          <w:lang w:eastAsia="es-ES"/>
        </w:rPr>
        <w:t xml:space="preserve"> </w:t>
      </w:r>
      <w:r w:rsidRPr="001634B4">
        <w:rPr>
          <w:rFonts w:ascii="Times New Roman" w:eastAsia="Times New Roman" w:hAnsi="Times New Roman" w:cs="Times New Roman"/>
          <w:bCs/>
          <w:sz w:val="20"/>
          <w:szCs w:val="20"/>
          <w:lang w:eastAsia="es-ES"/>
        </w:rPr>
        <w:t>presupuestarios y/o capítulos de gasto</w:t>
      </w:r>
      <w:r w:rsidRPr="001634B4">
        <w:rPr>
          <w:rFonts w:ascii="Times New Roman" w:eastAsia="Times New Roman" w:hAnsi="Times New Roman" w:cs="Times New Roman"/>
          <w:sz w:val="20"/>
          <w:szCs w:val="20"/>
          <w:lang w:eastAsia="es-ES"/>
        </w:rPr>
        <w:t>. Para poderlos llevar a cabo, las Dependencias y Entidades Públicas deberán solicitar autorización de la Secretaría, en términos de la normativa aplicable.</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lastRenderedPageBreak/>
        <w:t>…</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El monto total de traspasos presupuestarios externos que autorice la Secretaría, en su caso, no podrán exceder del 5% del presupuesto total autorizado anual, exceptuando los ajustes por incrementos salariales de carácter general, los ajustes derivados de la firma de convenios específicos con otros ámbitos de gobierno y las contingencias derivadas de desastres naturales y siniestros.</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autoSpaceDE w:val="0"/>
        <w:autoSpaceDN w:val="0"/>
        <w:adjustRightInd w:val="0"/>
        <w:spacing w:after="0" w:line="240" w:lineRule="auto"/>
        <w:jc w:val="both"/>
        <w:rPr>
          <w:rFonts w:ascii="Times New Roman" w:eastAsia="Calibri" w:hAnsi="Times New Roman" w:cs="Times New Roman"/>
          <w:sz w:val="20"/>
          <w:szCs w:val="20"/>
        </w:rPr>
      </w:pPr>
      <w:r w:rsidRPr="001634B4">
        <w:rPr>
          <w:rFonts w:ascii="Times New Roman" w:eastAsia="Calibri" w:hAnsi="Times New Roman" w:cs="Times New Roman"/>
          <w:b/>
          <w:sz w:val="20"/>
          <w:szCs w:val="20"/>
        </w:rPr>
        <w:t>Artículo 317 Bis A.-</w:t>
      </w:r>
      <w:r w:rsidRPr="001634B4">
        <w:rPr>
          <w:rFonts w:ascii="Times New Roman" w:eastAsia="Calibri" w:hAnsi="Times New Roman" w:cs="Times New Roman"/>
          <w:sz w:val="20"/>
          <w:szCs w:val="20"/>
        </w:rPr>
        <w:t xml:space="preserve"> El Ejecutivo, por conducto de la Secretaría y los municipios, a través de los Ayuntamientos, podrán autorizar erogaciones adicionales a las aprobadas en el Presupuesto de Egresos, con cargo a los excedentes o disponibilidades financieras que, en su caso, resulten de los ingresos autorizados en las Leyes de Ingresos estatal y municipal. </w:t>
      </w:r>
    </w:p>
    <w:p w:rsidR="001634B4" w:rsidRPr="001634B4" w:rsidRDefault="001634B4" w:rsidP="001634B4">
      <w:pPr>
        <w:autoSpaceDE w:val="0"/>
        <w:autoSpaceDN w:val="0"/>
        <w:adjustRightInd w:val="0"/>
        <w:spacing w:after="0" w:line="240" w:lineRule="auto"/>
        <w:jc w:val="both"/>
        <w:rPr>
          <w:rFonts w:ascii="Times New Roman" w:eastAsia="Calibri" w:hAnsi="Times New Roman" w:cs="Times New Roman"/>
          <w:b/>
          <w:sz w:val="20"/>
          <w:szCs w:val="20"/>
        </w:rPr>
      </w:pPr>
    </w:p>
    <w:p w:rsidR="001634B4" w:rsidRPr="001634B4" w:rsidRDefault="001634B4" w:rsidP="001634B4">
      <w:pPr>
        <w:autoSpaceDE w:val="0"/>
        <w:autoSpaceDN w:val="0"/>
        <w:adjustRightInd w:val="0"/>
        <w:spacing w:after="0" w:line="240" w:lineRule="auto"/>
        <w:jc w:val="both"/>
        <w:rPr>
          <w:rFonts w:ascii="Times New Roman" w:eastAsia="Times New Roman" w:hAnsi="Times New Roman" w:cs="Times New Roman"/>
          <w:sz w:val="20"/>
          <w:szCs w:val="20"/>
          <w:lang w:val="es-ES" w:eastAsia="es-MX"/>
        </w:rPr>
      </w:pPr>
      <w:r w:rsidRPr="001634B4">
        <w:rPr>
          <w:rFonts w:ascii="Times New Roman" w:eastAsia="Times New Roman" w:hAnsi="Times New Roman" w:cs="Times New Roman"/>
          <w:sz w:val="20"/>
          <w:szCs w:val="20"/>
          <w:lang w:val="es-ES" w:eastAsia="es-MX"/>
        </w:rPr>
        <w:t>En este caso, deberá integrar en el próximo informe, de los referidos en el artículo 352 Bis de este Código, un apartado especial que contenga la información sobre estas ampliaciones, incluyendo el dictamen de asignación de recursos adicionales que deberá reunir los mismos criterios que los planteados en el artículo 317 Bis para los dictámenes de reconducción.</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El Ejecutivo Estatal, al presentar la cuenta pública del ejercicio fiscal que corresponda, informará de las erogaciones que eventualmente se efectúen, de acuerdo con lo dispuesto en este artículo. Asimismo</w:t>
      </w:r>
      <w:r w:rsidRPr="001634B4">
        <w:rPr>
          <w:rFonts w:ascii="Times New Roman" w:eastAsia="Times New Roman" w:hAnsi="Times New Roman" w:cs="Times New Roman"/>
          <w:sz w:val="20"/>
          <w:szCs w:val="20"/>
          <w:highlight w:val="lightGray"/>
          <w:lang w:val="es-ES" w:eastAsia="es-ES"/>
        </w:rPr>
        <w:t>,</w:t>
      </w:r>
      <w:r w:rsidRPr="001634B4">
        <w:rPr>
          <w:rFonts w:ascii="Times New Roman" w:eastAsia="Times New Roman" w:hAnsi="Times New Roman" w:cs="Times New Roman"/>
          <w:sz w:val="20"/>
          <w:szCs w:val="20"/>
          <w:lang w:val="es-ES" w:eastAsia="es-ES"/>
        </w:rPr>
        <w:t xml:space="preserve"> se enviará un informe mensual a la Legislatura de los ingresos excedentes conforme a este artículo.</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autoSpaceDE w:val="0"/>
        <w:autoSpaceDN w:val="0"/>
        <w:adjustRightInd w:val="0"/>
        <w:spacing w:after="0" w:line="240" w:lineRule="auto"/>
        <w:jc w:val="both"/>
        <w:rPr>
          <w:rFonts w:ascii="Times New Roman" w:eastAsia="Calibri" w:hAnsi="Times New Roman" w:cs="Times New Roman"/>
          <w:b/>
          <w:sz w:val="20"/>
          <w:szCs w:val="20"/>
        </w:rPr>
      </w:pPr>
      <w:r w:rsidRPr="001634B4">
        <w:rPr>
          <w:rFonts w:ascii="Times New Roman" w:eastAsia="Calibri" w:hAnsi="Times New Roman" w:cs="Times New Roman"/>
          <w:sz w:val="20"/>
          <w:szCs w:val="20"/>
        </w:rPr>
        <w:t>Los ingresos excedentes derivados de ingresos de libre disposición, deberán ser destinados, de conformidad con lo dispuesto por la Ley de Disciplina Financiera, a los siguientes conceptos:</w:t>
      </w:r>
    </w:p>
    <w:p w:rsidR="001634B4" w:rsidRPr="001634B4" w:rsidRDefault="001634B4" w:rsidP="001634B4">
      <w:pPr>
        <w:autoSpaceDE w:val="0"/>
        <w:autoSpaceDN w:val="0"/>
        <w:adjustRightInd w:val="0"/>
        <w:spacing w:after="0" w:line="240" w:lineRule="auto"/>
        <w:jc w:val="both"/>
        <w:rPr>
          <w:rFonts w:ascii="Times New Roman" w:eastAsia="Calibri" w:hAnsi="Times New Roman" w:cs="Times New Roman"/>
          <w:sz w:val="20"/>
          <w:szCs w:val="20"/>
        </w:rPr>
      </w:pPr>
    </w:p>
    <w:p w:rsidR="001634B4" w:rsidRPr="001634B4" w:rsidRDefault="001634B4" w:rsidP="00F068E2">
      <w:pPr>
        <w:numPr>
          <w:ilvl w:val="0"/>
          <w:numId w:val="128"/>
        </w:numPr>
        <w:spacing w:after="0" w:line="240" w:lineRule="auto"/>
        <w:ind w:left="182" w:hanging="182"/>
        <w:jc w:val="both"/>
        <w:rPr>
          <w:rFonts w:ascii="Times New Roman" w:eastAsia="Lucida Sans Unicode" w:hAnsi="Times New Roman" w:cs="Times New Roman"/>
          <w:kern w:val="1"/>
          <w:sz w:val="20"/>
          <w:szCs w:val="20"/>
          <w:lang w:eastAsia="es-ES"/>
        </w:rPr>
      </w:pPr>
      <w:r w:rsidRPr="001634B4">
        <w:rPr>
          <w:rFonts w:ascii="Times New Roman" w:eastAsia="Lucida Sans Unicode" w:hAnsi="Times New Roman" w:cs="Times New Roman"/>
          <w:kern w:val="1"/>
          <w:sz w:val="20"/>
          <w:szCs w:val="20"/>
          <w:lang w:eastAsia="es-ES"/>
        </w:rPr>
        <w:t>Para la amortización anticipada de la deuda pública, el pago de adeudos de ejercicios fiscales anteriores, pasivos circulantes y otras obligaciones, en cuyos contratos se haya pactado el pago anticipado sin incurrir en penalidades y representen una disminución del saldo registrado en la cuenta pública del cierre del ejercicio inmediato anterior, así como el pago de sentencias definitivas emitidas por la autoridad competente, la aportación a fondos para la atención de desastres naturales y de pensiones, conforme a lo siguiente:</w:t>
      </w:r>
    </w:p>
    <w:p w:rsidR="001634B4" w:rsidRPr="001634B4" w:rsidRDefault="001634B4" w:rsidP="001634B4">
      <w:pPr>
        <w:widowControl w:val="0"/>
        <w:suppressAutoHyphens/>
        <w:spacing w:after="0" w:line="240" w:lineRule="auto"/>
        <w:ind w:left="114"/>
        <w:jc w:val="both"/>
        <w:rPr>
          <w:rFonts w:ascii="Times New Roman" w:eastAsia="Lucida Sans Unicode" w:hAnsi="Times New Roman" w:cs="Times New Roman"/>
          <w:kern w:val="1"/>
          <w:sz w:val="20"/>
          <w:szCs w:val="20"/>
          <w:lang w:eastAsia="es-ES"/>
        </w:rPr>
      </w:pPr>
    </w:p>
    <w:p w:rsidR="001634B4" w:rsidRPr="001634B4" w:rsidRDefault="001634B4" w:rsidP="001634B4">
      <w:pPr>
        <w:widowControl w:val="0"/>
        <w:suppressAutoHyphens/>
        <w:spacing w:after="0" w:line="240" w:lineRule="auto"/>
        <w:ind w:left="490" w:hanging="376"/>
        <w:jc w:val="both"/>
        <w:rPr>
          <w:rFonts w:ascii="Times New Roman" w:eastAsia="Lucida Sans Unicode" w:hAnsi="Times New Roman" w:cs="Times New Roman"/>
          <w:kern w:val="1"/>
          <w:sz w:val="20"/>
          <w:szCs w:val="20"/>
          <w:lang w:eastAsia="es-ES"/>
        </w:rPr>
      </w:pPr>
      <w:r w:rsidRPr="001634B4">
        <w:rPr>
          <w:rFonts w:ascii="Times New Roman" w:eastAsia="Lucida Sans Unicode" w:hAnsi="Times New Roman" w:cs="Times New Roman"/>
          <w:b/>
          <w:kern w:val="1"/>
          <w:sz w:val="20"/>
          <w:szCs w:val="20"/>
          <w:lang w:eastAsia="es-ES"/>
        </w:rPr>
        <w:t>A).</w:t>
      </w:r>
      <w:r w:rsidRPr="001634B4">
        <w:rPr>
          <w:rFonts w:ascii="Times New Roman" w:eastAsia="Lucida Sans Unicode" w:hAnsi="Times New Roman" w:cs="Times New Roman"/>
          <w:kern w:val="1"/>
          <w:sz w:val="20"/>
          <w:szCs w:val="20"/>
          <w:lang w:eastAsia="es-ES"/>
        </w:rPr>
        <w:t xml:space="preserve"> Cuando el Estado se clasifique en un nivel de endeudamiento elevado, de acuerdo al Sistema de Alertas, cuando menos el 50 por ciento.</w:t>
      </w:r>
    </w:p>
    <w:p w:rsidR="001634B4" w:rsidRPr="001634B4" w:rsidRDefault="001634B4" w:rsidP="001634B4">
      <w:pPr>
        <w:widowControl w:val="0"/>
        <w:suppressAutoHyphens/>
        <w:spacing w:after="0" w:line="240" w:lineRule="auto"/>
        <w:ind w:left="114"/>
        <w:jc w:val="both"/>
        <w:rPr>
          <w:rFonts w:ascii="Times New Roman" w:eastAsia="Lucida Sans Unicode" w:hAnsi="Times New Roman" w:cs="Times New Roman"/>
          <w:kern w:val="1"/>
          <w:sz w:val="20"/>
          <w:szCs w:val="20"/>
          <w:lang w:eastAsia="es-ES"/>
        </w:rPr>
      </w:pPr>
    </w:p>
    <w:p w:rsidR="001634B4" w:rsidRPr="001634B4" w:rsidRDefault="001634B4" w:rsidP="001634B4">
      <w:pPr>
        <w:widowControl w:val="0"/>
        <w:suppressAutoHyphens/>
        <w:spacing w:after="0" w:line="240" w:lineRule="auto"/>
        <w:ind w:left="490" w:hanging="376"/>
        <w:jc w:val="both"/>
        <w:rPr>
          <w:rFonts w:ascii="Times New Roman" w:eastAsia="Lucida Sans Unicode" w:hAnsi="Times New Roman" w:cs="Times New Roman"/>
          <w:kern w:val="1"/>
          <w:sz w:val="20"/>
          <w:szCs w:val="20"/>
          <w:lang w:eastAsia="es-ES"/>
        </w:rPr>
      </w:pPr>
      <w:r w:rsidRPr="001634B4">
        <w:rPr>
          <w:rFonts w:ascii="Times New Roman" w:eastAsia="Lucida Sans Unicode" w:hAnsi="Times New Roman" w:cs="Times New Roman"/>
          <w:b/>
          <w:kern w:val="1"/>
          <w:sz w:val="20"/>
          <w:szCs w:val="20"/>
          <w:lang w:eastAsia="es-ES"/>
        </w:rPr>
        <w:t>B).</w:t>
      </w:r>
      <w:r w:rsidRPr="001634B4">
        <w:rPr>
          <w:rFonts w:ascii="Times New Roman" w:eastAsia="Lucida Sans Unicode" w:hAnsi="Times New Roman" w:cs="Times New Roman"/>
          <w:kern w:val="1"/>
          <w:sz w:val="20"/>
          <w:szCs w:val="20"/>
          <w:lang w:eastAsia="es-ES"/>
        </w:rPr>
        <w:t xml:space="preserve"> Cuando el Estado se clasifique en un nivel de endeudamiento en observación, de acuerdo al Sistema de Alertas, cuando menos el 30 por ciento.</w:t>
      </w:r>
    </w:p>
    <w:p w:rsidR="001634B4" w:rsidRPr="001634B4" w:rsidRDefault="001634B4" w:rsidP="001634B4">
      <w:pPr>
        <w:autoSpaceDE w:val="0"/>
        <w:autoSpaceDN w:val="0"/>
        <w:adjustRightInd w:val="0"/>
        <w:spacing w:after="0" w:line="240" w:lineRule="auto"/>
        <w:jc w:val="both"/>
        <w:rPr>
          <w:rFonts w:ascii="Times New Roman" w:eastAsia="Calibri" w:hAnsi="Times New Roman" w:cs="Times New Roman"/>
          <w:sz w:val="16"/>
          <w:szCs w:val="16"/>
        </w:rPr>
      </w:pPr>
    </w:p>
    <w:p w:rsidR="001634B4" w:rsidRPr="001634B4" w:rsidRDefault="001634B4" w:rsidP="00F068E2">
      <w:pPr>
        <w:widowControl w:val="0"/>
        <w:numPr>
          <w:ilvl w:val="0"/>
          <w:numId w:val="128"/>
        </w:numPr>
        <w:spacing w:after="0" w:line="240" w:lineRule="auto"/>
        <w:ind w:left="0" w:firstLine="0"/>
        <w:jc w:val="both"/>
        <w:rPr>
          <w:rFonts w:ascii="Times New Roman" w:eastAsia="Lucida Sans Unicode" w:hAnsi="Times New Roman" w:cs="Times New Roman"/>
          <w:kern w:val="1"/>
          <w:sz w:val="20"/>
          <w:szCs w:val="20"/>
          <w:lang w:eastAsia="es-ES"/>
        </w:rPr>
      </w:pPr>
      <w:r w:rsidRPr="001634B4">
        <w:rPr>
          <w:rFonts w:ascii="Times New Roman" w:eastAsia="Lucida Sans Unicode" w:hAnsi="Times New Roman" w:cs="Times New Roman"/>
          <w:kern w:val="1"/>
          <w:sz w:val="20"/>
          <w:szCs w:val="20"/>
          <w:lang w:eastAsia="es-ES"/>
        </w:rPr>
        <w:t>En su caso, el remanente para:</w:t>
      </w:r>
    </w:p>
    <w:p w:rsidR="001634B4" w:rsidRPr="001634B4" w:rsidRDefault="001634B4" w:rsidP="001634B4">
      <w:pPr>
        <w:autoSpaceDE w:val="0"/>
        <w:autoSpaceDN w:val="0"/>
        <w:adjustRightInd w:val="0"/>
        <w:spacing w:after="0" w:line="240" w:lineRule="auto"/>
        <w:jc w:val="both"/>
        <w:rPr>
          <w:rFonts w:ascii="Times New Roman" w:eastAsia="Calibri" w:hAnsi="Times New Roman" w:cs="Times New Roman"/>
          <w:sz w:val="16"/>
          <w:szCs w:val="16"/>
        </w:rPr>
      </w:pPr>
    </w:p>
    <w:p w:rsidR="001634B4" w:rsidRPr="001634B4" w:rsidRDefault="001634B4" w:rsidP="001634B4">
      <w:pPr>
        <w:widowControl w:val="0"/>
        <w:spacing w:after="0" w:line="240" w:lineRule="auto"/>
        <w:ind w:left="490" w:hanging="348"/>
        <w:jc w:val="both"/>
        <w:rPr>
          <w:rFonts w:ascii="Times New Roman" w:eastAsia="Lucida Sans Unicode" w:hAnsi="Times New Roman" w:cs="Times New Roman"/>
          <w:kern w:val="1"/>
          <w:sz w:val="20"/>
          <w:szCs w:val="20"/>
          <w:lang w:eastAsia="es-ES"/>
        </w:rPr>
      </w:pPr>
      <w:r w:rsidRPr="001634B4">
        <w:rPr>
          <w:rFonts w:ascii="Times New Roman" w:eastAsia="Lucida Sans Unicode" w:hAnsi="Times New Roman" w:cs="Times New Roman"/>
          <w:b/>
          <w:kern w:val="1"/>
          <w:sz w:val="20"/>
          <w:szCs w:val="20"/>
          <w:lang w:eastAsia="es-ES"/>
        </w:rPr>
        <w:t xml:space="preserve">A). </w:t>
      </w:r>
      <w:r w:rsidRPr="001634B4">
        <w:rPr>
          <w:rFonts w:ascii="Times New Roman" w:eastAsia="Lucida Sans Unicode" w:hAnsi="Times New Roman" w:cs="Times New Roman"/>
          <w:kern w:val="1"/>
          <w:sz w:val="20"/>
          <w:szCs w:val="20"/>
          <w:lang w:eastAsia="es-ES"/>
        </w:rPr>
        <w:t>Inversión pública productiva, a través de un fondo que se constituya para tal efecto, con el fin de que los recursos correspondientes se ejerzan a más tardar en el ejercicio inmediato siguiente.</w:t>
      </w:r>
    </w:p>
    <w:p w:rsidR="001634B4" w:rsidRPr="001634B4" w:rsidRDefault="001634B4" w:rsidP="001634B4">
      <w:pPr>
        <w:widowControl w:val="0"/>
        <w:spacing w:after="0" w:line="240" w:lineRule="auto"/>
        <w:ind w:left="490" w:hanging="348"/>
        <w:jc w:val="both"/>
        <w:rPr>
          <w:rFonts w:ascii="Times New Roman" w:eastAsia="Lucida Sans Unicode" w:hAnsi="Times New Roman" w:cs="Times New Roman"/>
          <w:bCs/>
          <w:kern w:val="1"/>
          <w:sz w:val="20"/>
          <w:szCs w:val="20"/>
          <w:lang w:eastAsia="es-ES"/>
        </w:rPr>
      </w:pPr>
    </w:p>
    <w:p w:rsidR="001634B4" w:rsidRPr="001634B4" w:rsidRDefault="001634B4" w:rsidP="001634B4">
      <w:pPr>
        <w:widowControl w:val="0"/>
        <w:spacing w:after="0" w:line="240" w:lineRule="auto"/>
        <w:ind w:left="490" w:hanging="348"/>
        <w:jc w:val="both"/>
        <w:rPr>
          <w:rFonts w:ascii="Times New Roman" w:eastAsia="Lucida Sans Unicode" w:hAnsi="Times New Roman" w:cs="Times New Roman"/>
          <w:kern w:val="1"/>
          <w:sz w:val="20"/>
          <w:szCs w:val="20"/>
          <w:lang w:eastAsia="es-ES"/>
        </w:rPr>
      </w:pPr>
      <w:r w:rsidRPr="001634B4">
        <w:rPr>
          <w:rFonts w:ascii="Times New Roman" w:eastAsia="Lucida Sans Unicode" w:hAnsi="Times New Roman" w:cs="Times New Roman"/>
          <w:b/>
          <w:bCs/>
          <w:kern w:val="1"/>
          <w:sz w:val="20"/>
          <w:szCs w:val="20"/>
          <w:lang w:eastAsia="es-ES"/>
        </w:rPr>
        <w:t xml:space="preserve">B). </w:t>
      </w:r>
      <w:r w:rsidRPr="001634B4">
        <w:rPr>
          <w:rFonts w:ascii="Times New Roman" w:eastAsia="Lucida Sans Unicode" w:hAnsi="Times New Roman" w:cs="Times New Roman"/>
          <w:bCs/>
          <w:kern w:val="1"/>
          <w:sz w:val="20"/>
          <w:szCs w:val="20"/>
          <w:lang w:eastAsia="es-ES"/>
        </w:rPr>
        <w:t>La creación de un fondo permanente, administrado a través de un Fideicomiso de Estabilización de Ingresos Estatales, cuyo objetivo sea compensar la caída de ingresos de libre disposición de ejercicios subsecuentes.</w:t>
      </w:r>
    </w:p>
    <w:p w:rsidR="001634B4" w:rsidRPr="001634B4" w:rsidRDefault="001634B4" w:rsidP="001634B4">
      <w:pPr>
        <w:widowControl w:val="0"/>
        <w:suppressAutoHyphens/>
        <w:spacing w:after="0" w:line="240" w:lineRule="auto"/>
        <w:ind w:left="708"/>
        <w:rPr>
          <w:rFonts w:ascii="Times New Roman" w:eastAsia="Lucida Sans Unicode" w:hAnsi="Times New Roman" w:cs="Times New Roman"/>
          <w:kern w:val="1"/>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Los ingresos excedentes derivados de ingresos de libre disposición del Estado podrán destinarse a los rubros mencionados en el presente artículo, sin limitación alguna, siempre y cuando el Estado se clasifique en un nivel de endeudamiento sostenible de acuerdo al Sistema de Alertas.</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lastRenderedPageBreak/>
        <w:t>Cuando el Estado se clasifique en un nivel de endeudamiento sostenible de acuerdo al Sistema de Alertas, podrá utilizar hasta un 5 por ciento, de los recursos a que se refiere el presente artículo, para cubrir el gasto corriente.</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Tratándose de ingresos de libre disposición que se encuentren destinados a un fin específico, en términos de las leyes, no resultarán aplicables las disposiciones establecidas en el párrafo cuarto de este artículo.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napToGrid w:val="0"/>
          <w:sz w:val="20"/>
          <w:szCs w:val="20"/>
          <w:lang w:eastAsia="es-ES"/>
        </w:rPr>
      </w:pPr>
      <w:r w:rsidRPr="001634B4">
        <w:rPr>
          <w:rFonts w:ascii="Times New Roman" w:eastAsia="Times New Roman" w:hAnsi="Times New Roman" w:cs="Times New Roman"/>
          <w:b/>
          <w:bCs/>
          <w:sz w:val="20"/>
          <w:szCs w:val="20"/>
          <w:lang w:eastAsia="es-ES"/>
        </w:rPr>
        <w:t>Artículo 322 Bis.-</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napToGrid w:val="0"/>
          <w:sz w:val="20"/>
          <w:szCs w:val="20"/>
          <w:lang w:eastAsia="es-ES"/>
        </w:rPr>
        <w:t>Los recursos estatales asignados a los Entes Públicos</w:t>
      </w:r>
      <w:r w:rsidRPr="001634B4">
        <w:rPr>
          <w:rFonts w:ascii="Times New Roman" w:eastAsia="Times New Roman" w:hAnsi="Times New Roman" w:cs="Times New Roman"/>
          <w:bCs/>
          <w:sz w:val="20"/>
          <w:szCs w:val="20"/>
          <w:lang w:eastAsia="es-ES"/>
        </w:rPr>
        <w:t xml:space="preserve">, </w:t>
      </w:r>
      <w:r w:rsidRPr="001634B4">
        <w:rPr>
          <w:rFonts w:ascii="Times New Roman" w:eastAsia="Times New Roman" w:hAnsi="Times New Roman" w:cs="Times New Roman"/>
          <w:color w:val="000000"/>
          <w:sz w:val="20"/>
          <w:szCs w:val="20"/>
          <w:lang w:eastAsia="es-ES"/>
        </w:rPr>
        <w:t>de acuerdo con su naturaleza jurídica y según corresponda,</w:t>
      </w:r>
      <w:r w:rsidRPr="001634B4">
        <w:rPr>
          <w:rFonts w:ascii="Times New Roman" w:eastAsia="Times New Roman" w:hAnsi="Times New Roman" w:cs="Times New Roman"/>
          <w:snapToGrid w:val="0"/>
          <w:sz w:val="20"/>
          <w:szCs w:val="20"/>
          <w:lang w:eastAsia="es-ES"/>
        </w:rPr>
        <w:t xml:space="preserve"> que no hayan sido ejercidos en los plazos legales correspondientes, así como los que resulten del superávit de las finanzas públicas estatales, serán reintegrados a la hacienda pública estatal, registrándose lo anterior a través de un apartado específico en la Ley de Ingresos del Estado y en la Cuenta Pública anual.</w:t>
      </w:r>
    </w:p>
    <w:p w:rsidR="001634B4" w:rsidRPr="001634B4" w:rsidRDefault="001634B4" w:rsidP="001634B4">
      <w:pPr>
        <w:spacing w:after="0" w:line="240" w:lineRule="auto"/>
        <w:jc w:val="both"/>
        <w:rPr>
          <w:rFonts w:ascii="Times New Roman" w:eastAsia="Times New Roman" w:hAnsi="Times New Roman" w:cs="Times New Roman"/>
          <w:snapToGrid w:val="0"/>
          <w:sz w:val="20"/>
          <w:szCs w:val="20"/>
          <w:lang w:eastAsia="es-ES"/>
        </w:rPr>
      </w:pPr>
    </w:p>
    <w:p w:rsidR="001634B4" w:rsidRPr="001634B4" w:rsidRDefault="001634B4" w:rsidP="001634B4">
      <w:pPr>
        <w:spacing w:after="0" w:line="240" w:lineRule="auto"/>
        <w:ind w:right="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Cs/>
          <w:snapToGrid w:val="0"/>
          <w:sz w:val="20"/>
          <w:szCs w:val="20"/>
          <w:lang w:eastAsia="es-ES"/>
        </w:rPr>
        <w:t>Para efectos de lo dispuesto en el párrafo que antecede, se entenderá por superávit, al</w:t>
      </w:r>
      <w:r w:rsidRPr="001634B4">
        <w:rPr>
          <w:rFonts w:ascii="Times New Roman" w:eastAsia="Times New Roman" w:hAnsi="Times New Roman" w:cs="Times New Roman"/>
          <w:bCs/>
          <w:sz w:val="20"/>
          <w:szCs w:val="20"/>
          <w:lang w:eastAsia="es-ES"/>
        </w:rPr>
        <w:t xml:space="preserve"> </w:t>
      </w:r>
      <w:r w:rsidRPr="001634B4">
        <w:rPr>
          <w:rFonts w:ascii="Times New Roman" w:eastAsia="Times New Roman" w:hAnsi="Times New Roman" w:cs="Times New Roman"/>
          <w:sz w:val="20"/>
          <w:szCs w:val="20"/>
          <w:lang w:eastAsia="es-ES"/>
        </w:rPr>
        <w:t>importe presupuestario que se produce cuando, en un periodo determinado, los ingresos efectivamente recaudados superan el monto de los gastos ejercidos.</w:t>
      </w:r>
    </w:p>
    <w:p w:rsidR="001634B4" w:rsidRPr="001634B4" w:rsidRDefault="001634B4" w:rsidP="001634B4">
      <w:pPr>
        <w:spacing w:after="0" w:line="240" w:lineRule="auto"/>
        <w:ind w:right="9"/>
        <w:jc w:val="both"/>
        <w:rPr>
          <w:rFonts w:ascii="Times New Roman" w:eastAsia="Times New Roman" w:hAnsi="Times New Roman" w:cs="Times New Roman"/>
          <w:snapToGrid w:val="0"/>
          <w:sz w:val="20"/>
          <w:szCs w:val="20"/>
          <w:lang w:eastAsia="es-ES"/>
        </w:rPr>
      </w:pPr>
    </w:p>
    <w:p w:rsidR="001634B4" w:rsidRPr="001634B4" w:rsidRDefault="001634B4" w:rsidP="001634B4">
      <w:pPr>
        <w:spacing w:after="0" w:line="240" w:lineRule="auto"/>
        <w:ind w:right="9"/>
        <w:jc w:val="both"/>
        <w:rPr>
          <w:rFonts w:ascii="Times New Roman" w:eastAsia="Times New Roman" w:hAnsi="Times New Roman" w:cs="Times New Roman"/>
          <w:color w:val="000000"/>
          <w:sz w:val="20"/>
          <w:szCs w:val="20"/>
          <w:lang w:eastAsia="es-ES"/>
        </w:rPr>
      </w:pPr>
      <w:r w:rsidRPr="001634B4">
        <w:rPr>
          <w:rFonts w:ascii="Times New Roman" w:eastAsia="Times New Roman" w:hAnsi="Times New Roman" w:cs="Times New Roman"/>
          <w:bCs/>
          <w:color w:val="000000"/>
          <w:sz w:val="20"/>
          <w:szCs w:val="20"/>
          <w:lang w:eastAsia="es-ES"/>
        </w:rPr>
        <w:t xml:space="preserve">Los recursos </w:t>
      </w:r>
      <w:r w:rsidRPr="001634B4">
        <w:rPr>
          <w:rFonts w:ascii="Times New Roman" w:eastAsia="Times New Roman" w:hAnsi="Times New Roman" w:cs="Times New Roman"/>
          <w:color w:val="000000"/>
          <w:sz w:val="20"/>
          <w:szCs w:val="20"/>
          <w:lang w:eastAsia="es-ES"/>
        </w:rPr>
        <w:t>referidos en el primer párrafo de este artículo,</w:t>
      </w:r>
      <w:r w:rsidRPr="001634B4">
        <w:rPr>
          <w:rFonts w:ascii="Times New Roman" w:eastAsia="Times New Roman" w:hAnsi="Times New Roman" w:cs="Times New Roman"/>
          <w:bCs/>
          <w:color w:val="000000"/>
          <w:sz w:val="20"/>
          <w:szCs w:val="20"/>
          <w:lang w:eastAsia="es-ES"/>
        </w:rPr>
        <w:t xml:space="preserve"> podrán reasignarse </w:t>
      </w:r>
      <w:r w:rsidRPr="001634B4">
        <w:rPr>
          <w:rFonts w:ascii="Times New Roman" w:eastAsia="Times New Roman" w:hAnsi="Times New Roman" w:cs="Times New Roman"/>
          <w:color w:val="000000"/>
          <w:sz w:val="20"/>
          <w:szCs w:val="20"/>
          <w:lang w:eastAsia="es-ES"/>
        </w:rPr>
        <w:t>por la persona titular de la Secretaría, de acuerdo</w:t>
      </w:r>
      <w:r w:rsidRPr="001634B4">
        <w:rPr>
          <w:rFonts w:ascii="Times New Roman" w:eastAsia="Times New Roman" w:hAnsi="Times New Roman" w:cs="Times New Roman"/>
          <w:bCs/>
          <w:color w:val="000000"/>
          <w:sz w:val="20"/>
          <w:szCs w:val="20"/>
          <w:lang w:eastAsia="es-ES"/>
        </w:rPr>
        <w:t xml:space="preserve"> </w:t>
      </w:r>
      <w:r w:rsidRPr="001634B4">
        <w:rPr>
          <w:rFonts w:ascii="Times New Roman" w:eastAsia="Times New Roman" w:hAnsi="Times New Roman" w:cs="Times New Roman"/>
          <w:bCs/>
          <w:sz w:val="20"/>
          <w:szCs w:val="20"/>
          <w:lang w:eastAsia="es-ES"/>
        </w:rPr>
        <w:t>con</w:t>
      </w:r>
      <w:r w:rsidRPr="001634B4">
        <w:rPr>
          <w:rFonts w:ascii="Times New Roman" w:eastAsia="Times New Roman" w:hAnsi="Times New Roman" w:cs="Times New Roman"/>
          <w:bCs/>
          <w:color w:val="000000"/>
          <w:sz w:val="20"/>
          <w:szCs w:val="20"/>
          <w:lang w:eastAsia="es-ES"/>
        </w:rPr>
        <w:t xml:space="preserve"> </w:t>
      </w:r>
      <w:r w:rsidRPr="001634B4">
        <w:rPr>
          <w:rFonts w:ascii="Times New Roman" w:eastAsia="Times New Roman" w:hAnsi="Times New Roman" w:cs="Times New Roman"/>
          <w:color w:val="000000"/>
          <w:sz w:val="20"/>
          <w:szCs w:val="20"/>
          <w:lang w:eastAsia="es-ES"/>
        </w:rPr>
        <w:t xml:space="preserve">las </w:t>
      </w:r>
      <w:r w:rsidRPr="001634B4">
        <w:rPr>
          <w:rFonts w:ascii="Times New Roman" w:eastAsia="Times New Roman" w:hAnsi="Times New Roman" w:cs="Times New Roman"/>
          <w:sz w:val="20"/>
          <w:szCs w:val="20"/>
          <w:lang w:eastAsia="es-ES"/>
        </w:rPr>
        <w:t>prioridades</w:t>
      </w:r>
      <w:r w:rsidRPr="001634B4">
        <w:rPr>
          <w:rFonts w:ascii="Times New Roman" w:eastAsia="Times New Roman" w:hAnsi="Times New Roman" w:cs="Times New Roman"/>
          <w:bCs/>
          <w:color w:val="000000"/>
          <w:sz w:val="20"/>
          <w:szCs w:val="20"/>
          <w:lang w:eastAsia="es-ES"/>
        </w:rPr>
        <w:t xml:space="preserve"> del presupuesto </w:t>
      </w:r>
      <w:r w:rsidRPr="001634B4">
        <w:rPr>
          <w:rFonts w:ascii="Times New Roman" w:eastAsia="Times New Roman" w:hAnsi="Times New Roman" w:cs="Times New Roman"/>
          <w:color w:val="000000"/>
          <w:sz w:val="20"/>
          <w:szCs w:val="20"/>
          <w:lang w:eastAsia="es-ES"/>
        </w:rPr>
        <w:t>estatal</w:t>
      </w:r>
      <w:r w:rsidRPr="001634B4">
        <w:rPr>
          <w:rFonts w:ascii="Times New Roman" w:eastAsia="Times New Roman" w:hAnsi="Times New Roman" w:cs="Times New Roman"/>
          <w:bCs/>
          <w:color w:val="000000"/>
          <w:sz w:val="20"/>
          <w:szCs w:val="20"/>
          <w:lang w:eastAsia="es-ES"/>
        </w:rPr>
        <w:t xml:space="preserve">, previo análisis de los objetivos, </w:t>
      </w:r>
      <w:r w:rsidRPr="001634B4">
        <w:rPr>
          <w:rFonts w:ascii="Times New Roman" w:eastAsia="Times New Roman" w:hAnsi="Times New Roman" w:cs="Times New Roman"/>
          <w:color w:val="000000"/>
          <w:sz w:val="20"/>
          <w:szCs w:val="20"/>
          <w:lang w:eastAsia="es-ES"/>
        </w:rPr>
        <w:t>condiciones</w:t>
      </w:r>
      <w:r w:rsidRPr="001634B4">
        <w:rPr>
          <w:rFonts w:ascii="Times New Roman" w:eastAsia="Times New Roman" w:hAnsi="Times New Roman" w:cs="Times New Roman"/>
          <w:bCs/>
          <w:color w:val="000000"/>
          <w:sz w:val="20"/>
          <w:szCs w:val="20"/>
          <w:lang w:eastAsia="es-ES"/>
        </w:rPr>
        <w:t xml:space="preserve"> económicas y a la situación de las finanzas públicas de la Entidad, </w:t>
      </w:r>
      <w:r w:rsidRPr="001634B4">
        <w:rPr>
          <w:rFonts w:ascii="Times New Roman" w:eastAsia="Times New Roman" w:hAnsi="Times New Roman" w:cs="Times New Roman"/>
          <w:color w:val="000000"/>
          <w:sz w:val="20"/>
          <w:szCs w:val="20"/>
          <w:lang w:eastAsia="es-ES"/>
        </w:rPr>
        <w:t>en términos de la normativa aplicable.</w:t>
      </w:r>
    </w:p>
    <w:p w:rsidR="001634B4" w:rsidRPr="001634B4" w:rsidRDefault="001634B4" w:rsidP="001634B4">
      <w:pPr>
        <w:spacing w:after="0" w:line="240" w:lineRule="auto"/>
        <w:ind w:right="9"/>
        <w:jc w:val="both"/>
        <w:rPr>
          <w:rFonts w:ascii="Times New Roman" w:eastAsia="Times New Roman" w:hAnsi="Times New Roman" w:cs="Times New Roman"/>
          <w:bCs/>
          <w:color w:val="000000"/>
          <w:sz w:val="20"/>
          <w:szCs w:val="20"/>
          <w:lang w:eastAsia="es-ES"/>
        </w:rPr>
      </w:pPr>
    </w:p>
    <w:p w:rsidR="001634B4" w:rsidRPr="001634B4" w:rsidRDefault="001634B4" w:rsidP="001634B4">
      <w:pPr>
        <w:spacing w:after="0" w:line="240" w:lineRule="auto"/>
        <w:ind w:right="9"/>
        <w:jc w:val="both"/>
        <w:rPr>
          <w:rFonts w:ascii="Times New Roman" w:eastAsia="Times New Roman" w:hAnsi="Times New Roman" w:cs="Times New Roman"/>
          <w:bCs/>
          <w:color w:val="000000"/>
          <w:sz w:val="20"/>
          <w:szCs w:val="20"/>
          <w:lang w:eastAsia="es-ES"/>
        </w:rPr>
      </w:pPr>
      <w:r w:rsidRPr="001634B4">
        <w:rPr>
          <w:rFonts w:ascii="Times New Roman" w:eastAsia="Times New Roman" w:hAnsi="Times New Roman" w:cs="Times New Roman"/>
          <w:bCs/>
          <w:color w:val="000000"/>
          <w:sz w:val="20"/>
          <w:szCs w:val="20"/>
          <w:lang w:eastAsia="es-ES"/>
        </w:rPr>
        <w:t xml:space="preserve">En el caso de los </w:t>
      </w:r>
      <w:r w:rsidRPr="001634B4">
        <w:rPr>
          <w:rFonts w:ascii="Times New Roman" w:eastAsia="Arial MT" w:hAnsi="Times New Roman" w:cs="Times New Roman"/>
          <w:sz w:val="20"/>
          <w:szCs w:val="20"/>
          <w:lang w:eastAsia="es-ES"/>
        </w:rPr>
        <w:t>recursos</w:t>
      </w:r>
      <w:r w:rsidRPr="001634B4">
        <w:rPr>
          <w:rFonts w:ascii="Times New Roman" w:eastAsia="Times New Roman" w:hAnsi="Times New Roman" w:cs="Times New Roman"/>
          <w:bCs/>
          <w:color w:val="000000"/>
          <w:sz w:val="20"/>
          <w:szCs w:val="20"/>
          <w:lang w:eastAsia="es-ES"/>
        </w:rPr>
        <w:t xml:space="preserve"> federales, los Entes Públicos serán los responsables de atender lo dispuesto en el artículo 17 de la Ley de Disciplina Financiera, como de la demás normativa aplicable.</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324 Bis.-</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sz w:val="20"/>
          <w:szCs w:val="20"/>
          <w:lang w:val="es-ES" w:eastAsia="es-ES"/>
        </w:rPr>
        <w:t xml:space="preserve">Los programas y proyectos de inversión, deberán contar con registro vigente en el Banco de Programas y Proyectos de la Subsecretaría de Planeación y Presupuesto, y con el estudio socioeconómico correspondiente </w:t>
      </w:r>
      <w:r w:rsidRPr="001634B4">
        <w:rPr>
          <w:rFonts w:ascii="Times New Roman" w:eastAsia="Times New Roman" w:hAnsi="Times New Roman" w:cs="Times New Roman"/>
          <w:bCs/>
          <w:sz w:val="20"/>
          <w:szCs w:val="20"/>
          <w:lang w:val="es-ES" w:eastAsia="es-ES"/>
        </w:rPr>
        <w:t xml:space="preserve">y serán evaluados, asignados y autorizados, conforme a las Reglas de Operación correspondientes y demás normativa aplicable. </w:t>
      </w:r>
    </w:p>
    <w:p w:rsidR="001634B4" w:rsidRPr="001634B4" w:rsidRDefault="001634B4" w:rsidP="001634B4">
      <w:pPr>
        <w:spacing w:after="0" w:line="240" w:lineRule="auto"/>
        <w:jc w:val="both"/>
        <w:rPr>
          <w:rFonts w:ascii="Times New Roman" w:eastAsia="Times New Roman" w:hAnsi="Times New Roman" w:cs="Times New Roman"/>
          <w:bCs/>
          <w:sz w:val="28"/>
          <w:szCs w:val="28"/>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jc w:val="both"/>
        <w:rPr>
          <w:rFonts w:ascii="Times New Roman" w:eastAsia="Times New Roman" w:hAnsi="Times New Roman" w:cs="Times New Roman"/>
          <w:sz w:val="24"/>
          <w:szCs w:val="24"/>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La Secretaría, a través de la Subsecretaría de Planeación y Presupuesto, hará uso de las herramientas tecnológicas que determine para tal efecto, con el objetivo de garantizar el uso eficiente y transparente de los recursos públicos destinados a la ejecución de programas y proyectos de inversión.</w:t>
      </w:r>
    </w:p>
    <w:p w:rsidR="001634B4" w:rsidRPr="001634B4" w:rsidRDefault="001634B4" w:rsidP="001634B4">
      <w:pPr>
        <w:spacing w:after="0" w:line="240" w:lineRule="auto"/>
        <w:jc w:val="both"/>
        <w:rPr>
          <w:rFonts w:ascii="Times New Roman" w:eastAsia="Times New Roman" w:hAnsi="Times New Roman" w:cs="Times New Roman"/>
          <w:bCs/>
          <w:sz w:val="24"/>
          <w:szCs w:val="24"/>
          <w:lang w:eastAsia="es-ES"/>
        </w:rPr>
      </w:pPr>
    </w:p>
    <w:p w:rsidR="001634B4" w:rsidRPr="001634B4" w:rsidRDefault="001634B4" w:rsidP="001634B4">
      <w:pPr>
        <w:spacing w:after="0" w:line="240" w:lineRule="auto"/>
        <w:ind w:right="201"/>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bCs/>
          <w:sz w:val="20"/>
          <w:szCs w:val="20"/>
          <w:lang w:eastAsia="es-ES"/>
        </w:rPr>
        <w:t xml:space="preserve">Artículo 327.- </w:t>
      </w: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Arial MT" w:hAnsi="Times New Roman" w:cs="Times New Roman"/>
          <w:sz w:val="24"/>
          <w:szCs w:val="24"/>
          <w:lang w:eastAsia="es-ES"/>
        </w:rPr>
      </w:pPr>
    </w:p>
    <w:p w:rsidR="001634B4" w:rsidRPr="001634B4" w:rsidRDefault="001634B4" w:rsidP="001634B4">
      <w:pPr>
        <w:spacing w:after="0" w:line="240" w:lineRule="auto"/>
        <w:ind w:right="201"/>
        <w:jc w:val="both"/>
        <w:rPr>
          <w:rFonts w:ascii="Times New Roman" w:eastAsia="Arial MT" w:hAnsi="Times New Roman" w:cs="Times New Roman"/>
          <w:b/>
          <w:bCs/>
          <w:sz w:val="20"/>
          <w:szCs w:val="20"/>
          <w:lang w:eastAsia="es-ES"/>
        </w:rPr>
      </w:pP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Arial MT" w:hAnsi="Times New Roman" w:cs="Times New Roman"/>
          <w:b/>
          <w:bCs/>
          <w:sz w:val="24"/>
          <w:szCs w:val="24"/>
          <w:lang w:eastAsia="es-ES"/>
        </w:rPr>
      </w:pPr>
    </w:p>
    <w:p w:rsidR="001634B4" w:rsidRPr="001634B4" w:rsidRDefault="001634B4" w:rsidP="001634B4">
      <w:pPr>
        <w:spacing w:after="0" w:line="240" w:lineRule="auto"/>
        <w:ind w:right="-2"/>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 xml:space="preserve">La evaluación del desempeño se hará en función a los objetivos y metas de los programas presupuestarios, según corresponda y demás elementos de programación y para tales efectos se diseñará, administrará y operará el Sistema </w:t>
      </w:r>
      <w:r w:rsidRPr="001634B4">
        <w:rPr>
          <w:rFonts w:ascii="Times New Roman" w:eastAsia="Arial MT" w:hAnsi="Times New Roman" w:cs="Times New Roman"/>
          <w:bCs/>
          <w:sz w:val="20"/>
          <w:szCs w:val="20"/>
          <w:lang w:eastAsia="es-ES"/>
        </w:rPr>
        <w:t xml:space="preserve">Integral </w:t>
      </w:r>
      <w:r w:rsidRPr="001634B4">
        <w:rPr>
          <w:rFonts w:ascii="Times New Roman" w:eastAsia="Arial MT" w:hAnsi="Times New Roman" w:cs="Times New Roman"/>
          <w:sz w:val="20"/>
          <w:szCs w:val="20"/>
          <w:lang w:eastAsia="es-ES"/>
        </w:rPr>
        <w:t xml:space="preserve">de Evaluación del Desempeño. </w:t>
      </w:r>
    </w:p>
    <w:p w:rsidR="001634B4" w:rsidRPr="001634B4" w:rsidRDefault="001634B4" w:rsidP="001634B4">
      <w:pPr>
        <w:spacing w:after="0" w:line="240" w:lineRule="auto"/>
        <w:ind w:right="-2"/>
        <w:jc w:val="both"/>
        <w:rPr>
          <w:rFonts w:ascii="Times New Roman" w:eastAsia="Arial MT" w:hAnsi="Times New Roman" w:cs="Times New Roman"/>
          <w:sz w:val="24"/>
          <w:szCs w:val="24"/>
          <w:lang w:eastAsia="es-ES"/>
        </w:rPr>
      </w:pPr>
    </w:p>
    <w:p w:rsidR="001634B4" w:rsidRPr="001634B4" w:rsidRDefault="001634B4" w:rsidP="001634B4">
      <w:pPr>
        <w:spacing w:after="0" w:line="240" w:lineRule="auto"/>
        <w:ind w:right="-2"/>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ind w:right="-2"/>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ind w:right="-2"/>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 xml:space="preserve">Son atribuciones de la Secretaría en relación con el Sistema </w:t>
      </w:r>
      <w:r w:rsidRPr="001634B4">
        <w:rPr>
          <w:rFonts w:ascii="Times New Roman" w:eastAsia="Arial MT" w:hAnsi="Times New Roman" w:cs="Times New Roman"/>
          <w:bCs/>
          <w:sz w:val="20"/>
          <w:szCs w:val="20"/>
          <w:lang w:eastAsia="es-ES"/>
        </w:rPr>
        <w:t xml:space="preserve">Integral </w:t>
      </w:r>
      <w:r w:rsidRPr="001634B4">
        <w:rPr>
          <w:rFonts w:ascii="Times New Roman" w:eastAsia="Arial MT" w:hAnsi="Times New Roman" w:cs="Times New Roman"/>
          <w:sz w:val="20"/>
          <w:szCs w:val="20"/>
          <w:lang w:eastAsia="es-ES"/>
        </w:rPr>
        <w:t>de Evaluación del Desempeño, las siguientes:</w:t>
      </w:r>
    </w:p>
    <w:p w:rsidR="001634B4" w:rsidRPr="001634B4" w:rsidRDefault="001634B4" w:rsidP="001634B4">
      <w:pPr>
        <w:spacing w:after="0" w:line="240" w:lineRule="auto"/>
        <w:jc w:val="both"/>
        <w:rPr>
          <w:rFonts w:ascii="Times New Roman" w:eastAsia="Arial MT" w:hAnsi="Times New Roman" w:cs="Times New Roman"/>
          <w:sz w:val="24"/>
          <w:szCs w:val="24"/>
          <w:lang w:eastAsia="es-ES"/>
        </w:rPr>
      </w:pPr>
    </w:p>
    <w:p w:rsidR="001634B4" w:rsidRPr="001634B4" w:rsidRDefault="001634B4" w:rsidP="001634B4">
      <w:pPr>
        <w:spacing w:after="0" w:line="240" w:lineRule="auto"/>
        <w:ind w:right="201"/>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sz w:val="20"/>
          <w:szCs w:val="20"/>
          <w:lang w:eastAsia="es-ES"/>
        </w:rPr>
        <w:t xml:space="preserve">I. </w:t>
      </w:r>
      <w:r w:rsidRPr="001634B4">
        <w:rPr>
          <w:rFonts w:ascii="Times New Roman" w:eastAsia="Arial MT" w:hAnsi="Times New Roman" w:cs="Times New Roman"/>
          <w:sz w:val="20"/>
          <w:szCs w:val="20"/>
          <w:lang w:eastAsia="es-ES"/>
        </w:rPr>
        <w:t xml:space="preserve">a </w:t>
      </w:r>
      <w:r w:rsidRPr="001634B4">
        <w:rPr>
          <w:rFonts w:ascii="Times New Roman" w:eastAsia="Arial MT" w:hAnsi="Times New Roman" w:cs="Times New Roman"/>
          <w:b/>
          <w:sz w:val="20"/>
          <w:szCs w:val="20"/>
          <w:lang w:eastAsia="es-ES"/>
        </w:rPr>
        <w:t xml:space="preserve">V. </w:t>
      </w: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jc w:val="both"/>
        <w:rPr>
          <w:rFonts w:ascii="Times New Roman" w:eastAsia="Arial MT" w:hAnsi="Times New Roman" w:cs="Times New Roman"/>
          <w:sz w:val="24"/>
          <w:szCs w:val="24"/>
          <w:lang w:eastAsia="es-ES"/>
        </w:rPr>
      </w:pPr>
    </w:p>
    <w:p w:rsidR="001634B4" w:rsidRPr="001634B4" w:rsidRDefault="001634B4" w:rsidP="001634B4">
      <w:pPr>
        <w:spacing w:after="0" w:line="240" w:lineRule="auto"/>
        <w:ind w:right="-2"/>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Los Poderes Legislativo y Judicial, los Organismos Autónomos y los Municipios, diseñarán, administrarán y operarán su respectivo Sistema Integral</w:t>
      </w:r>
      <w:r w:rsidRPr="001634B4">
        <w:rPr>
          <w:rFonts w:ascii="Times New Roman" w:eastAsia="Arial MT" w:hAnsi="Times New Roman" w:cs="Times New Roman"/>
          <w:bCs/>
          <w:sz w:val="20"/>
          <w:szCs w:val="20"/>
          <w:lang w:eastAsia="es-ES"/>
        </w:rPr>
        <w:t xml:space="preserve"> </w:t>
      </w:r>
      <w:r w:rsidRPr="001634B4">
        <w:rPr>
          <w:rFonts w:ascii="Times New Roman" w:eastAsia="Arial MT" w:hAnsi="Times New Roman" w:cs="Times New Roman"/>
          <w:sz w:val="20"/>
          <w:szCs w:val="20"/>
          <w:lang w:eastAsia="es-ES"/>
        </w:rPr>
        <w:t>de Evaluación del Desempeño, observando los principios rectores a que se refiere el artículo 134 de la Constitución Política de los Estados Unidos Mexicanos y el presente Código. Así mismo, se sujetarán, a la Ley de Coordinación Fiscal, a la Ley Federal de Presupuesto y Responsabilidad Hacendaria y a la Ley General de Contabilidad Gubernamental y demás normatividad aplicable, considerando además las previsiones presupuestales necesarias para dar cumplimiento a estas disposiciones.</w:t>
      </w:r>
    </w:p>
    <w:p w:rsidR="001634B4" w:rsidRPr="001634B4" w:rsidRDefault="001634B4" w:rsidP="001634B4">
      <w:pPr>
        <w:spacing w:after="0" w:line="240" w:lineRule="auto"/>
        <w:ind w:right="201"/>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ind w:right="201"/>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ind w:right="201"/>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lastRenderedPageBreak/>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bCs/>
          <w:sz w:val="20"/>
          <w:szCs w:val="20"/>
          <w:lang w:eastAsia="es-ES"/>
        </w:rPr>
        <w:t xml:space="preserve">Artículo 327-A.- </w:t>
      </w: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Arial MT" w:hAnsi="Times New Roman" w:cs="Times New Roman"/>
          <w:sz w:val="20"/>
          <w:szCs w:val="20"/>
          <w:lang w:eastAsia="es-ES"/>
        </w:rPr>
        <w:t>Las Dependencias y Entidades Públicas deberán tomar las previsiones presupuestales necesarias para dar cumplimiento a las disposiciones de este Código, en materia del Sistema I</w:t>
      </w:r>
      <w:r w:rsidRPr="001634B4">
        <w:rPr>
          <w:rFonts w:ascii="Times New Roman" w:eastAsia="Arial MT" w:hAnsi="Times New Roman" w:cs="Times New Roman"/>
          <w:bCs/>
          <w:sz w:val="20"/>
          <w:szCs w:val="20"/>
          <w:lang w:eastAsia="es-ES"/>
        </w:rPr>
        <w:t>ntegral</w:t>
      </w:r>
      <w:r w:rsidRPr="001634B4">
        <w:rPr>
          <w:rFonts w:ascii="Times New Roman" w:eastAsia="Arial MT" w:hAnsi="Times New Roman" w:cs="Times New Roman"/>
          <w:sz w:val="20"/>
          <w:szCs w:val="20"/>
          <w:lang w:eastAsia="es-ES"/>
        </w:rPr>
        <w:t xml:space="preserve"> de Evaluación del Desempeño.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
          <w:color w:val="000000"/>
          <w:sz w:val="20"/>
          <w:szCs w:val="20"/>
          <w:lang w:eastAsia="es-ES"/>
        </w:rPr>
      </w:pPr>
      <w:r w:rsidRPr="001634B4">
        <w:rPr>
          <w:rFonts w:ascii="Times New Roman" w:eastAsia="Times New Roman" w:hAnsi="Times New Roman" w:cs="Times New Roman"/>
          <w:b/>
          <w:color w:val="000000"/>
          <w:sz w:val="20"/>
          <w:szCs w:val="20"/>
          <w:lang w:eastAsia="es-ES"/>
        </w:rPr>
        <w:t xml:space="preserve">Artículo 327-D.- </w:t>
      </w:r>
      <w:r w:rsidRPr="001634B4">
        <w:rPr>
          <w:rFonts w:ascii="Times New Roman" w:eastAsia="Times New Roman" w:hAnsi="Times New Roman" w:cs="Times New Roman"/>
          <w:color w:val="000000"/>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color w:val="000000"/>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color w:val="000000"/>
          <w:sz w:val="20"/>
          <w:szCs w:val="20"/>
          <w:highlight w:val="lightGray"/>
          <w:lang w:eastAsia="es-ES"/>
        </w:rPr>
      </w:pPr>
      <w:r w:rsidRPr="001634B4">
        <w:rPr>
          <w:rFonts w:ascii="Times New Roman" w:eastAsia="Times New Roman" w:hAnsi="Times New Roman" w:cs="Times New Roman"/>
          <w:bCs/>
          <w:color w:val="000000"/>
          <w:sz w:val="20"/>
          <w:szCs w:val="20"/>
          <w:lang w:eastAsia="es-ES"/>
        </w:rPr>
        <w:t xml:space="preserve">Las dependencias, a través de las Unidades de Información, Planeación, Programación y Evaluación o su equivalente, así como las entidades públicas, por conducto de sus dependencias coordinadoras de sector; enviarán a la Secretaría, dentro de los primeros diez días hábiles posteriores al cierre del trimestre inmediato anterior, sus avances del informe programático presupuestal, sin detrimento de la actualización periódica que hagan de sus indicadores contenidos en </w:t>
      </w:r>
      <w:r w:rsidRPr="001634B4">
        <w:rPr>
          <w:rFonts w:ascii="Times New Roman" w:eastAsia="Times New Roman" w:hAnsi="Times New Roman" w:cs="Times New Roman"/>
          <w:sz w:val="20"/>
          <w:szCs w:val="20"/>
          <w:lang w:eastAsia="es-ES"/>
        </w:rPr>
        <w:t>los medios electrónicos</w:t>
      </w:r>
      <w:r w:rsidRPr="001634B4">
        <w:rPr>
          <w:rFonts w:ascii="Times New Roman" w:eastAsia="Times New Roman" w:hAnsi="Times New Roman" w:cs="Times New Roman"/>
          <w:color w:val="000000"/>
          <w:sz w:val="20"/>
          <w:szCs w:val="20"/>
          <w:lang w:eastAsia="es-ES"/>
        </w:rPr>
        <w:t xml:space="preserve"> que la Secretaría determine.</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sz w:val="20"/>
          <w:szCs w:val="20"/>
          <w:lang w:eastAsia="es-ES"/>
        </w:rPr>
        <w:t xml:space="preserve">Artículo 339 Bis.- </w:t>
      </w:r>
      <w:r w:rsidRPr="001634B4">
        <w:rPr>
          <w:rFonts w:ascii="Times New Roman" w:eastAsia="Arial MT" w:hAnsi="Times New Roman" w:cs="Times New Roman"/>
          <w:sz w:val="20"/>
          <w:szCs w:val="20"/>
          <w:lang w:eastAsia="es-ES"/>
        </w:rPr>
        <w:t xml:space="preserve"> …</w:t>
      </w: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p>
    <w:p w:rsidR="001634B4" w:rsidRPr="001634B4" w:rsidRDefault="001634B4" w:rsidP="00D311E7">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sz w:val="20"/>
          <w:szCs w:val="20"/>
          <w:lang w:eastAsia="es-ES"/>
        </w:rPr>
        <w:t xml:space="preserve">I. </w:t>
      </w:r>
      <w:r w:rsidRPr="001634B4">
        <w:rPr>
          <w:rFonts w:ascii="Times New Roman" w:eastAsia="Arial MT" w:hAnsi="Times New Roman" w:cs="Times New Roman"/>
          <w:sz w:val="20"/>
          <w:szCs w:val="20"/>
          <w:lang w:eastAsia="es-ES"/>
        </w:rPr>
        <w:t xml:space="preserve">a </w:t>
      </w:r>
      <w:r w:rsidRPr="001634B4">
        <w:rPr>
          <w:rFonts w:ascii="Times New Roman" w:eastAsia="Arial MT" w:hAnsi="Times New Roman" w:cs="Times New Roman"/>
          <w:b/>
          <w:sz w:val="20"/>
          <w:szCs w:val="20"/>
          <w:lang w:eastAsia="es-ES"/>
        </w:rPr>
        <w:t>IV</w:t>
      </w:r>
      <w:r w:rsidRPr="001634B4">
        <w:rPr>
          <w:rFonts w:ascii="Times New Roman" w:eastAsia="Arial MT" w:hAnsi="Times New Roman" w:cs="Times New Roman"/>
          <w:sz w:val="20"/>
          <w:szCs w:val="20"/>
          <w:lang w:eastAsia="es-ES"/>
        </w:rPr>
        <w:t>. …</w:t>
      </w:r>
    </w:p>
    <w:p w:rsidR="001634B4" w:rsidRPr="001634B4" w:rsidRDefault="001634B4" w:rsidP="00D311E7">
      <w:pPr>
        <w:spacing w:after="0" w:line="240" w:lineRule="auto"/>
        <w:jc w:val="both"/>
        <w:rPr>
          <w:rFonts w:ascii="Times New Roman" w:eastAsia="Arial MT" w:hAnsi="Times New Roman" w:cs="Times New Roman"/>
          <w:sz w:val="20"/>
          <w:szCs w:val="20"/>
          <w:lang w:eastAsia="es-ES"/>
        </w:rPr>
      </w:pPr>
    </w:p>
    <w:p w:rsidR="001634B4" w:rsidRPr="001634B4" w:rsidRDefault="001634B4" w:rsidP="00D311E7">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sz w:val="20"/>
          <w:szCs w:val="20"/>
          <w:lang w:eastAsia="es-ES"/>
        </w:rPr>
        <w:t>V.</w:t>
      </w:r>
      <w:r w:rsidRPr="001634B4">
        <w:rPr>
          <w:rFonts w:ascii="Times New Roman" w:eastAsia="Arial MT" w:hAnsi="Times New Roman" w:cs="Times New Roman"/>
          <w:sz w:val="20"/>
          <w:szCs w:val="20"/>
          <w:lang w:eastAsia="es-ES"/>
        </w:rPr>
        <w:t xml:space="preserve"> La persona titular </w:t>
      </w:r>
      <w:r w:rsidRPr="001634B4">
        <w:rPr>
          <w:rFonts w:ascii="Times New Roman" w:eastAsia="Arial MT" w:hAnsi="Times New Roman" w:cs="Times New Roman"/>
          <w:bCs/>
          <w:sz w:val="20"/>
          <w:szCs w:val="20"/>
          <w:lang w:eastAsia="es-ES"/>
        </w:rPr>
        <w:t>del Órgano Superior</w:t>
      </w:r>
      <w:r w:rsidRPr="001634B4">
        <w:rPr>
          <w:rFonts w:ascii="Times New Roman" w:eastAsia="Arial MT" w:hAnsi="Times New Roman" w:cs="Times New Roman"/>
          <w:sz w:val="20"/>
          <w:szCs w:val="20"/>
          <w:lang w:eastAsia="es-ES"/>
        </w:rPr>
        <w:t xml:space="preserve"> de Fiscalización del Estado de México.</w:t>
      </w:r>
    </w:p>
    <w:p w:rsidR="001634B4" w:rsidRPr="001634B4" w:rsidRDefault="001634B4" w:rsidP="00D311E7">
      <w:pPr>
        <w:spacing w:after="0" w:line="240" w:lineRule="auto"/>
        <w:jc w:val="both"/>
        <w:rPr>
          <w:rFonts w:ascii="Times New Roman" w:eastAsia="Arial MT" w:hAnsi="Times New Roman" w:cs="Times New Roman"/>
          <w:color w:val="000000"/>
          <w:sz w:val="20"/>
          <w:szCs w:val="20"/>
          <w:lang w:eastAsia="es-ES"/>
        </w:rPr>
      </w:pPr>
    </w:p>
    <w:p w:rsidR="001634B4" w:rsidRPr="001634B4" w:rsidRDefault="001634B4" w:rsidP="00D311E7">
      <w:pPr>
        <w:spacing w:after="0" w:line="240" w:lineRule="auto"/>
        <w:jc w:val="both"/>
        <w:rPr>
          <w:rFonts w:ascii="Times New Roman" w:eastAsia="Arial MT" w:hAnsi="Times New Roman" w:cs="Times New Roman"/>
          <w:color w:val="000000"/>
          <w:sz w:val="20"/>
          <w:szCs w:val="20"/>
          <w:lang w:eastAsia="es-ES"/>
        </w:rPr>
      </w:pPr>
      <w:r w:rsidRPr="001634B4">
        <w:rPr>
          <w:rFonts w:ascii="Times New Roman" w:eastAsia="Arial MT" w:hAnsi="Times New Roman" w:cs="Times New Roman"/>
          <w:b/>
          <w:color w:val="000000"/>
          <w:sz w:val="20"/>
          <w:szCs w:val="20"/>
          <w:lang w:eastAsia="es-ES"/>
        </w:rPr>
        <w:t>VI</w:t>
      </w:r>
      <w:r w:rsidRPr="001634B4">
        <w:rPr>
          <w:rFonts w:ascii="Times New Roman" w:eastAsia="Arial MT" w:hAnsi="Times New Roman" w:cs="Times New Roman"/>
          <w:bCs/>
          <w:color w:val="000000"/>
          <w:sz w:val="20"/>
          <w:szCs w:val="20"/>
          <w:lang w:eastAsia="es-ES"/>
        </w:rPr>
        <w:t xml:space="preserve">. a </w:t>
      </w:r>
      <w:r w:rsidRPr="001634B4">
        <w:rPr>
          <w:rFonts w:ascii="Times New Roman" w:eastAsia="Arial MT" w:hAnsi="Times New Roman" w:cs="Times New Roman"/>
          <w:b/>
          <w:bCs/>
          <w:color w:val="000000"/>
          <w:sz w:val="20"/>
          <w:szCs w:val="20"/>
          <w:lang w:eastAsia="es-ES"/>
        </w:rPr>
        <w:t>VIII</w:t>
      </w:r>
      <w:r w:rsidRPr="001634B4">
        <w:rPr>
          <w:rFonts w:ascii="Times New Roman" w:eastAsia="Arial MT" w:hAnsi="Times New Roman" w:cs="Times New Roman"/>
          <w:bCs/>
          <w:color w:val="000000"/>
          <w:sz w:val="20"/>
          <w:szCs w:val="20"/>
          <w:lang w:eastAsia="es-ES"/>
        </w:rPr>
        <w:t>. …</w:t>
      </w:r>
    </w:p>
    <w:p w:rsidR="001634B4" w:rsidRPr="001634B4" w:rsidRDefault="001634B4" w:rsidP="00D311E7">
      <w:pPr>
        <w:spacing w:after="0" w:line="240" w:lineRule="auto"/>
        <w:jc w:val="both"/>
        <w:rPr>
          <w:rFonts w:ascii="Times New Roman" w:eastAsia="Arial MT" w:hAnsi="Times New Roman" w:cs="Times New Roman"/>
          <w:color w:val="000000"/>
          <w:sz w:val="20"/>
          <w:szCs w:val="20"/>
          <w:lang w:eastAsia="es-ES"/>
        </w:rPr>
      </w:pPr>
    </w:p>
    <w:p w:rsidR="001634B4" w:rsidRPr="001634B4" w:rsidRDefault="001634B4" w:rsidP="00D311E7">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bCs/>
          <w:sz w:val="20"/>
          <w:szCs w:val="20"/>
          <w:lang w:eastAsia="es-ES"/>
        </w:rPr>
        <w:t>IX.</w:t>
      </w:r>
      <w:r w:rsidRPr="001634B4">
        <w:rPr>
          <w:rFonts w:ascii="Times New Roman" w:eastAsia="Arial MT" w:hAnsi="Times New Roman" w:cs="Times New Roman"/>
          <w:sz w:val="20"/>
          <w:szCs w:val="20"/>
          <w:lang w:eastAsia="es-ES"/>
        </w:rPr>
        <w:t xml:space="preserve"> Una persona representante de los organismos autónomos.</w:t>
      </w:r>
    </w:p>
    <w:p w:rsidR="001634B4" w:rsidRPr="001634B4" w:rsidRDefault="001634B4" w:rsidP="00D311E7">
      <w:pPr>
        <w:spacing w:after="0" w:line="240" w:lineRule="auto"/>
        <w:jc w:val="both"/>
        <w:rPr>
          <w:rFonts w:ascii="Times New Roman" w:eastAsia="Arial MT" w:hAnsi="Times New Roman" w:cs="Times New Roman"/>
          <w:color w:val="000000"/>
          <w:sz w:val="20"/>
          <w:szCs w:val="20"/>
          <w:lang w:eastAsia="es-ES"/>
        </w:rPr>
      </w:pPr>
    </w:p>
    <w:p w:rsidR="001634B4" w:rsidRPr="001634B4" w:rsidRDefault="001634B4" w:rsidP="00D311E7">
      <w:pPr>
        <w:spacing w:after="0" w:line="240" w:lineRule="auto"/>
        <w:jc w:val="both"/>
        <w:rPr>
          <w:rFonts w:ascii="Times New Roman" w:eastAsia="Arial MT" w:hAnsi="Times New Roman" w:cs="Times New Roman"/>
          <w:bCs/>
          <w:color w:val="000000"/>
          <w:sz w:val="20"/>
          <w:szCs w:val="20"/>
          <w:lang w:eastAsia="es-ES"/>
        </w:rPr>
      </w:pPr>
      <w:r w:rsidRPr="001634B4">
        <w:rPr>
          <w:rFonts w:ascii="Times New Roman" w:eastAsia="Arial MT" w:hAnsi="Times New Roman" w:cs="Times New Roman"/>
          <w:b/>
          <w:bCs/>
          <w:color w:val="000000"/>
          <w:sz w:val="20"/>
          <w:szCs w:val="20"/>
          <w:lang w:eastAsia="es-ES"/>
        </w:rPr>
        <w:t xml:space="preserve">X. </w:t>
      </w:r>
      <w:r w:rsidRPr="001634B4">
        <w:rPr>
          <w:rFonts w:ascii="Times New Roman" w:eastAsia="Arial MT" w:hAnsi="Times New Roman" w:cs="Times New Roman"/>
          <w:bCs/>
          <w:color w:val="000000"/>
          <w:sz w:val="20"/>
          <w:szCs w:val="20"/>
          <w:lang w:eastAsia="es-ES"/>
        </w:rPr>
        <w:t xml:space="preserve">a </w:t>
      </w:r>
      <w:r w:rsidRPr="001634B4">
        <w:rPr>
          <w:rFonts w:ascii="Times New Roman" w:eastAsia="Arial MT" w:hAnsi="Times New Roman" w:cs="Times New Roman"/>
          <w:b/>
          <w:bCs/>
          <w:color w:val="000000"/>
          <w:sz w:val="20"/>
          <w:szCs w:val="20"/>
          <w:lang w:eastAsia="es-ES"/>
        </w:rPr>
        <w:t xml:space="preserve">XI. </w:t>
      </w:r>
      <w:r w:rsidRPr="001634B4">
        <w:rPr>
          <w:rFonts w:ascii="Times New Roman" w:eastAsia="Arial MT" w:hAnsi="Times New Roman" w:cs="Times New Roman"/>
          <w:bCs/>
          <w:color w:val="000000"/>
          <w:sz w:val="20"/>
          <w:szCs w:val="20"/>
          <w:lang w:eastAsia="es-ES"/>
        </w:rPr>
        <w:t>…</w:t>
      </w:r>
    </w:p>
    <w:p w:rsidR="001634B4" w:rsidRPr="001634B4" w:rsidRDefault="001634B4" w:rsidP="00D311E7">
      <w:pPr>
        <w:spacing w:after="0" w:line="240" w:lineRule="auto"/>
        <w:jc w:val="both"/>
        <w:rPr>
          <w:rFonts w:ascii="Times New Roman" w:eastAsia="Arial MT" w:hAnsi="Times New Roman" w:cs="Times New Roman"/>
          <w:color w:val="000000"/>
          <w:sz w:val="20"/>
          <w:szCs w:val="20"/>
          <w:lang w:eastAsia="es-ES"/>
        </w:rPr>
      </w:pPr>
    </w:p>
    <w:p w:rsidR="001634B4" w:rsidRPr="001634B4" w:rsidRDefault="001634B4" w:rsidP="00D311E7">
      <w:pPr>
        <w:spacing w:after="0" w:line="240" w:lineRule="auto"/>
        <w:ind w:firstLine="142"/>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color w:val="000000"/>
          <w:sz w:val="20"/>
          <w:szCs w:val="20"/>
          <w:lang w:eastAsia="es-ES"/>
        </w:rPr>
        <w:t xml:space="preserve">XII. </w:t>
      </w:r>
      <w:r w:rsidRPr="001634B4">
        <w:rPr>
          <w:rFonts w:ascii="Times New Roman" w:eastAsia="Arial MT" w:hAnsi="Times New Roman" w:cs="Times New Roman"/>
          <w:color w:val="000000"/>
          <w:sz w:val="20"/>
          <w:szCs w:val="20"/>
          <w:lang w:eastAsia="es-ES"/>
        </w:rPr>
        <w:t xml:space="preserve">La persona que presida el Colegio de Contadores </w:t>
      </w:r>
      <w:r w:rsidRPr="001634B4">
        <w:rPr>
          <w:rFonts w:ascii="Times New Roman" w:eastAsia="Arial MT" w:hAnsi="Times New Roman" w:cs="Times New Roman"/>
          <w:bCs/>
          <w:sz w:val="20"/>
          <w:szCs w:val="20"/>
          <w:lang w:eastAsia="es-ES"/>
        </w:rPr>
        <w:t xml:space="preserve">Públicos </w:t>
      </w:r>
      <w:r w:rsidRPr="001634B4">
        <w:rPr>
          <w:rFonts w:ascii="Times New Roman" w:eastAsia="Arial MT" w:hAnsi="Times New Roman" w:cs="Times New Roman"/>
          <w:sz w:val="20"/>
          <w:szCs w:val="20"/>
          <w:lang w:eastAsia="es-ES"/>
        </w:rPr>
        <w:t>del Valle de Toluca,</w:t>
      </w:r>
      <w:r w:rsidRPr="001634B4">
        <w:rPr>
          <w:rFonts w:ascii="Times New Roman" w:eastAsia="Arial MT" w:hAnsi="Times New Roman" w:cs="Times New Roman"/>
          <w:bCs/>
          <w:sz w:val="20"/>
          <w:szCs w:val="20"/>
          <w:lang w:eastAsia="es-ES"/>
        </w:rPr>
        <w:t xml:space="preserve"> en su calidad de invitada, quien tendrá derecho a voz, pero no a voto</w:t>
      </w: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val="es-ES" w:eastAsia="es-ES"/>
        </w:rPr>
      </w:pPr>
      <w:r w:rsidRPr="001634B4">
        <w:rPr>
          <w:rFonts w:ascii="Times New Roman" w:eastAsia="Arial MT" w:hAnsi="Times New Roman" w:cs="Times New Roman"/>
          <w:sz w:val="20"/>
          <w:szCs w:val="20"/>
          <w:lang w:val="es-ES" w:eastAsia="es-ES"/>
        </w:rPr>
        <w:t xml:space="preserve">Los cargos en el Consejo serán honorarios y no darán derecho a retribución alguna, teniendo como función apoyar a los Entes Públicos </w:t>
      </w:r>
      <w:r w:rsidRPr="001634B4">
        <w:rPr>
          <w:rFonts w:ascii="Times New Roman" w:eastAsia="Arial MT" w:hAnsi="Times New Roman" w:cs="Times New Roman"/>
          <w:bCs/>
          <w:sz w:val="20"/>
          <w:szCs w:val="20"/>
          <w:lang w:val="es-ES" w:eastAsia="es-ES"/>
        </w:rPr>
        <w:t>del Estado</w:t>
      </w:r>
      <w:r w:rsidRPr="001634B4">
        <w:rPr>
          <w:rFonts w:ascii="Times New Roman" w:eastAsia="Arial MT" w:hAnsi="Times New Roman" w:cs="Times New Roman"/>
          <w:sz w:val="20"/>
          <w:szCs w:val="20"/>
          <w:lang w:val="es-ES" w:eastAsia="es-ES"/>
        </w:rPr>
        <w:t>, de acuerdo con su naturaleza jurídica y según corresponda, en la interpretación e implementación de las normas y disposiciones emitidas por el Consejo Nacional para la Armonización Contable.</w:t>
      </w: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bCs/>
          <w:sz w:val="20"/>
          <w:szCs w:val="20"/>
          <w:lang w:eastAsia="es-ES"/>
        </w:rPr>
        <w:t xml:space="preserve">Artículo 345.- </w:t>
      </w:r>
      <w:r w:rsidRPr="001634B4">
        <w:rPr>
          <w:rFonts w:ascii="Times New Roman" w:eastAsia="Arial MT" w:hAnsi="Times New Roman" w:cs="Times New Roman"/>
          <w:sz w:val="20"/>
          <w:szCs w:val="20"/>
          <w:lang w:eastAsia="es-ES"/>
        </w:rPr>
        <w:t>Las Dependencias deberán conservar, en sus propios archivos contables, la documentación contable del año en curso y la de ejercicios fiscales anteriores, cuyas cuentas públicas hayan sido revisadas y fiscalizadas. Tratándose de los comprobantes fiscales digitales, estos deberán estar agregados en forma electrónica a cada póliza de registro contable.</w:t>
      </w: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jc w:val="both"/>
        <w:rPr>
          <w:rFonts w:ascii="Times New Roman" w:eastAsia="Arial MT" w:hAnsi="Times New Roman" w:cs="Times New Roman"/>
          <w:b/>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Derogado.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bCs/>
          <w:sz w:val="20"/>
          <w:szCs w:val="20"/>
          <w:lang w:eastAsia="es-ES"/>
        </w:rPr>
        <w:t xml:space="preserve">Artículo 348.- </w:t>
      </w:r>
      <w:r w:rsidRPr="001634B4">
        <w:rPr>
          <w:rFonts w:ascii="Times New Roman" w:eastAsia="Arial MT" w:hAnsi="Times New Roman" w:cs="Times New Roman"/>
          <w:sz w:val="20"/>
          <w:szCs w:val="20"/>
          <w:lang w:eastAsia="es-ES"/>
        </w:rPr>
        <w:t>Para el registro de las operaciones financieras, la Secretaría y las tesorerías, en coordinación con el Órgano Superior de Fiscalización del Estado de México, en el marco del Sistema de Coordinación Hacendaria del Estado de México, elaborarán el Manual Único de Contabilidad Gubernamental del Ejercicio Fiscal que corresponda, el cual se integrará por el catálogo de cuentas, su instructivo y la guía contabilizadora, así como los demás catálogos de clasificación de los ingresos y egresos necesarios para realizar el registro contable correspondiente.</w:t>
      </w: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sz w:val="20"/>
          <w:szCs w:val="20"/>
          <w:lang w:eastAsia="es-ES"/>
        </w:rPr>
        <w:t>El catálogo de cuentas estará integrado por cuentas de activo, pasivo, hacienda pública o patrimonio, resultados deudoras, resultados acreedoras, y las de orden, que entre otras comprenderán las presupuestales.</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sz w:val="20"/>
          <w:szCs w:val="20"/>
          <w:lang w:eastAsia="es-ES"/>
        </w:rPr>
      </w:pPr>
      <w:r w:rsidRPr="001634B4">
        <w:rPr>
          <w:rFonts w:ascii="Times New Roman" w:eastAsia="Arial MT" w:hAnsi="Times New Roman" w:cs="Times New Roman"/>
          <w:b/>
          <w:bCs/>
          <w:sz w:val="20"/>
          <w:szCs w:val="20"/>
          <w:lang w:eastAsia="es-ES"/>
        </w:rPr>
        <w:t>Artículo 351.-</w:t>
      </w:r>
      <w:r w:rsidRPr="001634B4">
        <w:rPr>
          <w:rFonts w:ascii="Times New Roman" w:eastAsia="Arial MT" w:hAnsi="Times New Roman" w:cs="Times New Roman"/>
          <w:sz w:val="20"/>
          <w:szCs w:val="20"/>
          <w:lang w:eastAsia="es-ES"/>
        </w:rPr>
        <w:t xml:space="preserve"> La Secretaría, los poderes Legislativo y Judicial, los Organismos </w:t>
      </w:r>
      <w:r w:rsidRPr="001634B4">
        <w:rPr>
          <w:rFonts w:ascii="Times New Roman" w:eastAsia="Arial MT" w:hAnsi="Times New Roman" w:cs="Times New Roman"/>
          <w:bCs/>
          <w:sz w:val="20"/>
          <w:szCs w:val="20"/>
          <w:lang w:eastAsia="es-ES"/>
        </w:rPr>
        <w:t>Auxiliares</w:t>
      </w:r>
      <w:r w:rsidRPr="001634B4">
        <w:rPr>
          <w:rFonts w:ascii="Times New Roman" w:eastAsia="Arial MT" w:hAnsi="Times New Roman" w:cs="Times New Roman"/>
          <w:sz w:val="20"/>
          <w:szCs w:val="20"/>
          <w:lang w:eastAsia="es-ES"/>
        </w:rPr>
        <w:t>, los Organismos Autónomos, así como las Tesorerías, publicarán los principales resultados trimestrales de la gestión financiera, observando la normatividad aplicable al efecto.</w:t>
      </w:r>
    </w:p>
    <w:p w:rsidR="001634B4" w:rsidRPr="001634B4" w:rsidRDefault="001634B4" w:rsidP="001634B4">
      <w:pPr>
        <w:spacing w:after="0" w:line="240" w:lineRule="auto"/>
        <w:ind w:left="238"/>
        <w:jc w:val="both"/>
        <w:rPr>
          <w:rFonts w:ascii="Times New Roman" w:eastAsia="Arial MT"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Arial MT" w:hAnsi="Times New Roman" w:cs="Times New Roman"/>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bCs/>
          <w:sz w:val="20"/>
          <w:szCs w:val="20"/>
          <w:lang w:eastAsia="es-ES"/>
        </w:rPr>
      </w:pPr>
      <w:r w:rsidRPr="001634B4">
        <w:rPr>
          <w:rFonts w:ascii="Times New Roman" w:eastAsia="Arial MT" w:hAnsi="Times New Roman" w:cs="Times New Roman"/>
          <w:b/>
          <w:bCs/>
          <w:sz w:val="20"/>
          <w:szCs w:val="20"/>
          <w:lang w:eastAsia="es-ES"/>
        </w:rPr>
        <w:t xml:space="preserve">Artículo 352 Bis.- </w:t>
      </w:r>
      <w:r w:rsidRPr="001634B4">
        <w:rPr>
          <w:rFonts w:ascii="Times New Roman" w:eastAsia="Arial MT"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Arial MT"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bCs/>
          <w:sz w:val="20"/>
          <w:szCs w:val="20"/>
          <w:lang w:eastAsia="es-ES"/>
        </w:rPr>
      </w:pPr>
      <w:r w:rsidRPr="001634B4">
        <w:rPr>
          <w:rFonts w:ascii="Times New Roman" w:eastAsia="Arial MT"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Arial MT" w:hAnsi="Times New Roman" w:cs="Times New Roman"/>
          <w:bCs/>
          <w:sz w:val="20"/>
          <w:szCs w:val="20"/>
          <w:lang w:eastAsia="es-ES"/>
        </w:rPr>
      </w:pPr>
    </w:p>
    <w:p w:rsidR="001634B4" w:rsidRPr="001634B4" w:rsidRDefault="001634B4" w:rsidP="001634B4">
      <w:pPr>
        <w:spacing w:after="0" w:line="240" w:lineRule="auto"/>
        <w:jc w:val="both"/>
        <w:rPr>
          <w:rFonts w:ascii="Times New Roman" w:eastAsia="Arial MT" w:hAnsi="Times New Roman" w:cs="Times New Roman"/>
          <w:bCs/>
          <w:sz w:val="20"/>
          <w:szCs w:val="20"/>
          <w:lang w:eastAsia="es-ES"/>
        </w:rPr>
      </w:pPr>
      <w:r w:rsidRPr="001634B4">
        <w:rPr>
          <w:rFonts w:ascii="Times New Roman" w:eastAsia="Arial MT"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Arial MT"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Arial MT" w:hAnsi="Times New Roman" w:cs="Times New Roman"/>
          <w:bCs/>
          <w:sz w:val="20"/>
          <w:szCs w:val="20"/>
          <w:lang w:eastAsia="es-ES"/>
        </w:rPr>
        <w:t xml:space="preserve">La persona titular de la Secretaría comparecerá por instrucciones de la persona titular del Poder Ejecutivo, </w:t>
      </w:r>
      <w:r w:rsidRPr="001634B4">
        <w:rPr>
          <w:rFonts w:ascii="Times New Roman" w:eastAsia="Arial MT" w:hAnsi="Times New Roman" w:cs="Times New Roman"/>
          <w:sz w:val="20"/>
          <w:szCs w:val="20"/>
          <w:lang w:eastAsia="es-ES"/>
        </w:rPr>
        <w:t>en las reuniones trimestrales de análisis y evaluación de los informes presentados que, celebren el Órgano Superior de Fiscalización de la Legislatura y las Comisiones Legislativas respectivas.</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framePr w:hSpace="141" w:wrap="around" w:vAnchor="text" w:hAnchor="text" w:xAlign="center" w:y="1"/>
        <w:widowControl w:val="0"/>
        <w:spacing w:after="0" w:line="240" w:lineRule="auto"/>
        <w:suppressOverlap/>
        <w:jc w:val="both"/>
        <w:rPr>
          <w:rFonts w:ascii="Times New Roman" w:eastAsia="Times New Roman" w:hAnsi="Times New Roman" w:cs="Times New Roman"/>
          <w:bCs/>
          <w:snapToGrid w:val="0"/>
          <w:sz w:val="20"/>
          <w:szCs w:val="20"/>
          <w:lang w:eastAsia="es-ES"/>
        </w:rPr>
      </w:pPr>
      <w:r w:rsidRPr="001634B4">
        <w:rPr>
          <w:rFonts w:ascii="Times New Roman" w:eastAsia="Times New Roman" w:hAnsi="Times New Roman" w:cs="Times New Roman"/>
          <w:b/>
          <w:snapToGrid w:val="0"/>
          <w:sz w:val="20"/>
          <w:szCs w:val="20"/>
          <w:lang w:eastAsia="es-ES"/>
        </w:rPr>
        <w:t>Artículo 361.-</w:t>
      </w:r>
      <w:r w:rsidRPr="001634B4">
        <w:rPr>
          <w:rFonts w:ascii="Times New Roman" w:eastAsia="Times New Roman" w:hAnsi="Times New Roman" w:cs="Times New Roman"/>
          <w:bCs/>
          <w:snapToGrid w:val="0"/>
          <w:sz w:val="20"/>
          <w:szCs w:val="20"/>
          <w:lang w:eastAsia="es-ES"/>
        </w:rPr>
        <w:t xml:space="preserve"> …</w:t>
      </w:r>
    </w:p>
    <w:p w:rsidR="001634B4" w:rsidRPr="001634B4" w:rsidRDefault="001634B4" w:rsidP="001634B4">
      <w:pPr>
        <w:framePr w:hSpace="141" w:wrap="around" w:vAnchor="text" w:hAnchor="text" w:xAlign="center" w:y="1"/>
        <w:widowControl w:val="0"/>
        <w:spacing w:after="0" w:line="240" w:lineRule="auto"/>
        <w:suppressOverlap/>
        <w:jc w:val="both"/>
        <w:rPr>
          <w:rFonts w:ascii="Times New Roman" w:eastAsia="Times New Roman" w:hAnsi="Times New Roman" w:cs="Times New Roman"/>
          <w:b/>
          <w:snapToGrid w:val="0"/>
          <w:sz w:val="20"/>
          <w:szCs w:val="20"/>
          <w:lang w:eastAsia="es-ES"/>
        </w:rPr>
      </w:pPr>
    </w:p>
    <w:p w:rsidR="001634B4" w:rsidRPr="001634B4" w:rsidRDefault="001634B4" w:rsidP="001634B4">
      <w:pPr>
        <w:framePr w:hSpace="141" w:wrap="around" w:vAnchor="text" w:hAnchor="text" w:xAlign="center" w:y="1"/>
        <w:widowControl w:val="0"/>
        <w:spacing w:after="0" w:line="240" w:lineRule="auto"/>
        <w:suppressOverlap/>
        <w:jc w:val="both"/>
        <w:rPr>
          <w:rFonts w:ascii="Times New Roman" w:eastAsia="Times New Roman" w:hAnsi="Times New Roman" w:cs="Times New Roman"/>
          <w:b/>
          <w:snapToGrid w:val="0"/>
          <w:sz w:val="20"/>
          <w:szCs w:val="20"/>
          <w:lang w:eastAsia="es-ES"/>
        </w:rPr>
      </w:pPr>
      <w:r w:rsidRPr="001634B4">
        <w:rPr>
          <w:rFonts w:ascii="Times New Roman" w:eastAsia="Times New Roman" w:hAnsi="Times New Roman" w:cs="Times New Roman"/>
          <w:b/>
          <w:snapToGrid w:val="0"/>
          <w:sz w:val="20"/>
          <w:szCs w:val="20"/>
          <w:lang w:eastAsia="es-ES"/>
        </w:rPr>
        <w:t xml:space="preserve">I. </w:t>
      </w:r>
      <w:r w:rsidRPr="001634B4">
        <w:rPr>
          <w:rFonts w:ascii="Times New Roman" w:eastAsia="Times New Roman" w:hAnsi="Times New Roman" w:cs="Times New Roman"/>
          <w:snapToGrid w:val="0"/>
          <w:sz w:val="20"/>
          <w:szCs w:val="20"/>
          <w:lang w:eastAsia="es-ES"/>
        </w:rPr>
        <w:t>a</w:t>
      </w:r>
      <w:r w:rsidRPr="001634B4">
        <w:rPr>
          <w:rFonts w:ascii="Times New Roman" w:eastAsia="Times New Roman" w:hAnsi="Times New Roman" w:cs="Times New Roman"/>
          <w:b/>
          <w:snapToGrid w:val="0"/>
          <w:sz w:val="20"/>
          <w:szCs w:val="20"/>
          <w:lang w:eastAsia="es-ES"/>
        </w:rPr>
        <w:t xml:space="preserve"> XVI. …</w:t>
      </w:r>
    </w:p>
    <w:p w:rsidR="001634B4" w:rsidRPr="001634B4" w:rsidRDefault="001634B4" w:rsidP="001634B4">
      <w:pPr>
        <w:framePr w:hSpace="141" w:wrap="around" w:vAnchor="text" w:hAnchor="text" w:xAlign="center" w:y="1"/>
        <w:widowControl w:val="0"/>
        <w:spacing w:after="0" w:line="240" w:lineRule="auto"/>
        <w:suppressOverlap/>
        <w:jc w:val="both"/>
        <w:rPr>
          <w:rFonts w:ascii="Times New Roman" w:eastAsia="Times New Roman" w:hAnsi="Times New Roman" w:cs="Times New Roman"/>
          <w:b/>
          <w:snapToGrid w:val="0"/>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XVII. </w:t>
      </w:r>
      <w:r w:rsidRPr="001634B4">
        <w:rPr>
          <w:rFonts w:ascii="Times New Roman" w:eastAsia="Times New Roman" w:hAnsi="Times New Roman" w:cs="Times New Roman"/>
          <w:sz w:val="20"/>
          <w:szCs w:val="20"/>
          <w:lang w:val="es-ES" w:eastAsia="es-ES"/>
        </w:rPr>
        <w:t>No entregar, en su caso, la constancia de retención por cada contribuyente y periodo al que corresponda, o hacerlo de forma extemporánea, y se sancionará con una multa de cincuenta y hasta cien veces el valor diario de la Unidad de Medida y Actualización vigente.</w:t>
      </w:r>
    </w:p>
    <w:p w:rsidR="001634B4" w:rsidRPr="001634B4" w:rsidRDefault="001634B4" w:rsidP="001634B4">
      <w:pPr>
        <w:spacing w:after="0" w:line="240" w:lineRule="auto"/>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 xml:space="preserve">XVIII. </w:t>
      </w:r>
      <w:r w:rsidRPr="001634B4">
        <w:rPr>
          <w:rFonts w:ascii="Times New Roman" w:eastAsia="Times New Roman" w:hAnsi="Times New Roman" w:cs="Times New Roman"/>
          <w:kern w:val="2"/>
          <w:sz w:val="20"/>
          <w:szCs w:val="20"/>
          <w:lang w:val="es-ES" w:eastAsia="es-ES"/>
          <w14:ligatures w14:val="standardContextual"/>
        </w:rPr>
        <w:t xml:space="preserve">a </w:t>
      </w:r>
      <w:r w:rsidRPr="001634B4">
        <w:rPr>
          <w:rFonts w:ascii="Times New Roman" w:eastAsia="Times New Roman" w:hAnsi="Times New Roman" w:cs="Times New Roman"/>
          <w:b/>
          <w:kern w:val="2"/>
          <w:sz w:val="20"/>
          <w:szCs w:val="20"/>
          <w:lang w:val="es-ES" w:eastAsia="es-ES"/>
          <w14:ligatures w14:val="standardContextual"/>
        </w:rPr>
        <w:t xml:space="preserve">XXIV. </w:t>
      </w: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b/>
          <w:kern w:val="2"/>
          <w:sz w:val="20"/>
          <w:szCs w:val="20"/>
          <w:lang w:val="es-ES" w:eastAsia="es-ES"/>
          <w14:ligatures w14:val="standardContextual"/>
        </w:rPr>
        <w:t>Artículo 364.-</w:t>
      </w:r>
      <w:r w:rsidRPr="001634B4">
        <w:rPr>
          <w:rFonts w:ascii="Times New Roman" w:eastAsia="Times New Roman" w:hAnsi="Times New Roman" w:cs="Times New Roman"/>
          <w:kern w:val="2"/>
          <w:sz w:val="20"/>
          <w:szCs w:val="20"/>
          <w:lang w:val="es-ES" w:eastAsia="es-ES"/>
          <w14:ligatures w14:val="standardContextual"/>
        </w:rPr>
        <w:t xml:space="preserve"> …</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Cuando se solicite la reducción, el contribuyente deberá presentar la solicitud ante la autoridad fiscal, dentro de los quince días hábiles siguientes, contados a partir de la fecha del pago anticipado de la totalidad de los conceptos referidos en el primer párrafo o del 20% tratándose de pago en parcialidades y en el caso de no hacerlo en dicho plazo, se entenderá que renunció a esa prerrogativa y los pagos efectuados se aplicarán al crédito fiscal conforme al artículo 34 de este ordenamiento.</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16"/>
          <w:szCs w:val="16"/>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p>
    <w:p w:rsidR="001634B4" w:rsidRPr="001634B4" w:rsidRDefault="001634B4" w:rsidP="001634B4">
      <w:pPr>
        <w:spacing w:after="0" w:line="240" w:lineRule="auto"/>
        <w:jc w:val="both"/>
        <w:rPr>
          <w:rFonts w:ascii="Times New Roman" w:eastAsia="Times New Roman" w:hAnsi="Times New Roman" w:cs="Times New Roman"/>
          <w:kern w:val="2"/>
          <w:sz w:val="20"/>
          <w:szCs w:val="20"/>
          <w:lang w:val="es-ES" w:eastAsia="es-ES"/>
          <w14:ligatures w14:val="standardContextual"/>
        </w:rPr>
      </w:pPr>
      <w:r w:rsidRPr="001634B4">
        <w:rPr>
          <w:rFonts w:ascii="Times New Roman" w:eastAsia="Times New Roman" w:hAnsi="Times New Roman" w:cs="Times New Roman"/>
          <w:kern w:val="2"/>
          <w:sz w:val="20"/>
          <w:szCs w:val="20"/>
          <w:lang w:val="es-ES" w:eastAsia="es-ES"/>
          <w14:ligatures w14:val="standardContextual"/>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Artículo 380-A.-</w:t>
      </w:r>
      <w:r w:rsidRPr="001634B4">
        <w:rPr>
          <w:rFonts w:ascii="Times New Roman" w:eastAsia="Times New Roman" w:hAnsi="Times New Roman" w:cs="Times New Roman"/>
          <w:bCs/>
          <w:sz w:val="20"/>
          <w:szCs w:val="20"/>
          <w:lang w:eastAsia="es-ES"/>
        </w:rPr>
        <w:t xml:space="preserve"> La autoridad podrá practicar el aseguramiento precautorio de los bienes o la negociación de los contribuyentes, los responsables solidarios o terceros relacionados con ellos, según corresponda, una vez agotada la medida de apremio a que hace referencia la fracción I del artículo 48 Bis de este Código, salvo cuando: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708" w:hanging="566"/>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lastRenderedPageBreak/>
        <w:t>I.</w:t>
      </w:r>
      <w:r w:rsidRPr="001634B4">
        <w:rPr>
          <w:rFonts w:ascii="Times New Roman" w:eastAsia="Times New Roman" w:hAnsi="Times New Roman" w:cs="Times New Roman"/>
          <w:bCs/>
          <w:sz w:val="20"/>
          <w:szCs w:val="20"/>
          <w:lang w:eastAsia="es-ES"/>
        </w:rPr>
        <w:t xml:space="preserve"> </w:t>
      </w:r>
      <w:r w:rsidRPr="001634B4">
        <w:rPr>
          <w:rFonts w:ascii="Times New Roman" w:eastAsia="Times New Roman" w:hAnsi="Times New Roman" w:cs="Times New Roman"/>
          <w:bCs/>
          <w:sz w:val="20"/>
          <w:szCs w:val="20"/>
          <w:lang w:eastAsia="es-ES"/>
        </w:rPr>
        <w:tab/>
        <w:t>No sean localizables en su domicilio fiscal o en el que se considere como tal, en términos de las fracciones I, II, III, IV o V del primer párrafo del artículo 22 de este Código.</w:t>
      </w:r>
    </w:p>
    <w:p w:rsidR="001634B4" w:rsidRPr="001634B4" w:rsidRDefault="001634B4" w:rsidP="001634B4">
      <w:pPr>
        <w:spacing w:after="0" w:line="240" w:lineRule="auto"/>
        <w:ind w:left="142"/>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708" w:hanging="554"/>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II.</w:t>
      </w:r>
      <w:r w:rsidRPr="001634B4">
        <w:rPr>
          <w:rFonts w:ascii="Times New Roman" w:eastAsia="Times New Roman" w:hAnsi="Times New Roman" w:cs="Times New Roman"/>
          <w:bCs/>
          <w:sz w:val="20"/>
          <w:szCs w:val="20"/>
          <w:lang w:eastAsia="es-ES"/>
        </w:rPr>
        <w:t xml:space="preserve"> </w:t>
      </w:r>
      <w:r w:rsidRPr="001634B4">
        <w:rPr>
          <w:rFonts w:ascii="Times New Roman" w:eastAsia="Times New Roman" w:hAnsi="Times New Roman" w:cs="Times New Roman"/>
          <w:bCs/>
          <w:sz w:val="20"/>
          <w:szCs w:val="20"/>
          <w:lang w:eastAsia="es-ES"/>
        </w:rPr>
        <w:tab/>
        <w:t>Durante el desarrollo de las facultades de comprobación, desocupe su domicilio fiscal sin presentar el aviso correspondiente o aquel domicilio que haya aumentado la autoridad fiscal para el desarrollo de dichas facultades.</w:t>
      </w:r>
    </w:p>
    <w:p w:rsidR="001634B4" w:rsidRPr="001634B4" w:rsidRDefault="001634B4" w:rsidP="001634B4">
      <w:pPr>
        <w:spacing w:after="0" w:line="240" w:lineRule="auto"/>
        <w:ind w:left="142"/>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708" w:hanging="566"/>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 xml:space="preserve">III. </w:t>
      </w:r>
      <w:r w:rsidRPr="001634B4">
        <w:rPr>
          <w:rFonts w:ascii="Times New Roman" w:eastAsia="Times New Roman" w:hAnsi="Times New Roman" w:cs="Times New Roman"/>
          <w:b/>
          <w:bCs/>
          <w:sz w:val="20"/>
          <w:szCs w:val="20"/>
          <w:lang w:eastAsia="es-ES"/>
        </w:rPr>
        <w:tab/>
      </w:r>
      <w:r w:rsidRPr="001634B4">
        <w:rPr>
          <w:rFonts w:ascii="Times New Roman" w:eastAsia="Times New Roman" w:hAnsi="Times New Roman" w:cs="Times New Roman"/>
          <w:bCs/>
          <w:sz w:val="20"/>
          <w:szCs w:val="20"/>
          <w:lang w:eastAsia="es-ES"/>
        </w:rPr>
        <w:t>Durante el desarrollo de las facultades de comprobación, no atienda las solicitudes o requerimientos que les realicen las autoridades fiscales o al atenderlos, no proporcione lo solicitado o lo proporcione de manera parcial, o bien, se niegue a proporcionar la contabilidad con la cual acredite el cumplimiento de las disposiciones fiscales a que está obligado.</w:t>
      </w:r>
    </w:p>
    <w:p w:rsidR="001634B4" w:rsidRPr="001634B4" w:rsidRDefault="001634B4" w:rsidP="001634B4">
      <w:pPr>
        <w:spacing w:after="0" w:line="240" w:lineRule="auto"/>
        <w:ind w:left="364" w:hanging="222"/>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708" w:hanging="566"/>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IV.</w:t>
      </w:r>
      <w:r w:rsidRPr="001634B4">
        <w:rPr>
          <w:rFonts w:ascii="Times New Roman" w:eastAsia="Times New Roman" w:hAnsi="Times New Roman" w:cs="Times New Roman"/>
          <w:bCs/>
          <w:sz w:val="20"/>
          <w:szCs w:val="20"/>
          <w:lang w:eastAsia="es-ES"/>
        </w:rPr>
        <w:t xml:space="preserve"> </w:t>
      </w:r>
      <w:r w:rsidRPr="001634B4">
        <w:rPr>
          <w:rFonts w:ascii="Times New Roman" w:eastAsia="Times New Roman" w:hAnsi="Times New Roman" w:cs="Times New Roman"/>
          <w:bCs/>
          <w:sz w:val="20"/>
          <w:szCs w:val="20"/>
          <w:lang w:eastAsia="es-ES"/>
        </w:rPr>
        <w:tab/>
        <w:t>Durante el desarrollo de las facultades de comprobación, exista riesgo inminente de que oculte, enajene o dilapide sus bienes.</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El aseguramiento precautorio de los bienes o la negociación de los contribuyentes, los responsables solidarios o terceros relacionados con ellos, según corresponda, se realizará conforme a lo siguiente:</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F068E2">
      <w:pPr>
        <w:widowControl w:val="0"/>
        <w:numPr>
          <w:ilvl w:val="0"/>
          <w:numId w:val="129"/>
        </w:numPr>
        <w:suppressAutoHyphens/>
        <w:spacing w:after="0" w:line="240" w:lineRule="auto"/>
        <w:ind w:left="709" w:hanging="567"/>
        <w:jc w:val="both"/>
        <w:rPr>
          <w:rFonts w:ascii="Times New Roman" w:eastAsia="Lucida Sans Unicode" w:hAnsi="Times New Roman" w:cs="Times New Roman"/>
          <w:bCs/>
          <w:kern w:val="1"/>
          <w:sz w:val="20"/>
          <w:szCs w:val="20"/>
          <w:lang w:eastAsia="es-ES"/>
        </w:rPr>
      </w:pPr>
      <w:r w:rsidRPr="001634B4">
        <w:rPr>
          <w:rFonts w:ascii="Times New Roman" w:eastAsia="Lucida Sans Unicode" w:hAnsi="Times New Roman" w:cs="Times New Roman"/>
          <w:bCs/>
          <w:kern w:val="1"/>
          <w:sz w:val="20"/>
          <w:szCs w:val="20"/>
          <w:lang w:eastAsia="es-ES"/>
        </w:rPr>
        <w:t>Se practicará hasta por el monto de la determinación provisional de adeudos fiscales presuntivos, que para estos efectos realice la autoridad fiscal, en términos del artículo 50 de este Código.</w:t>
      </w:r>
    </w:p>
    <w:p w:rsidR="001634B4" w:rsidRPr="001634B4" w:rsidRDefault="001634B4" w:rsidP="001634B4">
      <w:pPr>
        <w:spacing w:after="0" w:line="240" w:lineRule="auto"/>
        <w:ind w:left="142"/>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708" w:hanging="566"/>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II.</w:t>
      </w:r>
      <w:r w:rsidRPr="001634B4">
        <w:rPr>
          <w:rFonts w:ascii="Times New Roman" w:eastAsia="Times New Roman" w:hAnsi="Times New Roman" w:cs="Times New Roman"/>
          <w:bCs/>
          <w:sz w:val="20"/>
          <w:szCs w:val="20"/>
          <w:lang w:eastAsia="es-ES"/>
        </w:rPr>
        <w:tab/>
        <w:t>Tratándose de los bienes o la negociación de los terceros relacionados con los contribuyentes o responsables solidarios, según corresponda, se practicará hasta por la tercera parte del monto de las operaciones, actos o actividades que dicho tercero realizó con tal contribuyente o responsable solidario, o con el que la autoridad fiscal pretenda comprobar con las solicitudes de información o requerimientos de documentación dirigidos a estos.</w:t>
      </w:r>
    </w:p>
    <w:p w:rsidR="001634B4" w:rsidRPr="001634B4" w:rsidRDefault="001634B4" w:rsidP="001634B4">
      <w:pPr>
        <w:spacing w:after="0" w:line="240" w:lineRule="auto"/>
        <w:ind w:left="142"/>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left="709" w:hanging="567"/>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III.</w:t>
      </w:r>
      <w:r w:rsidRPr="001634B4">
        <w:rPr>
          <w:rFonts w:ascii="Times New Roman" w:eastAsia="Times New Roman" w:hAnsi="Times New Roman" w:cs="Times New Roman"/>
          <w:bCs/>
          <w:sz w:val="20"/>
          <w:szCs w:val="20"/>
          <w:lang w:eastAsia="es-ES"/>
        </w:rPr>
        <w:t xml:space="preserve"> </w:t>
      </w:r>
      <w:r w:rsidRPr="001634B4">
        <w:rPr>
          <w:rFonts w:ascii="Times New Roman" w:eastAsia="Times New Roman" w:hAnsi="Times New Roman" w:cs="Times New Roman"/>
          <w:bCs/>
          <w:sz w:val="20"/>
          <w:szCs w:val="20"/>
          <w:lang w:eastAsia="es-ES"/>
        </w:rPr>
        <w:tab/>
        <w:t>La autoridad fiscal que practique el aseguramiento precautorio, levantará un acta circunstanciada en la que asiente las razones que consideró para su práctica, misma que se integrará al expediente administrativo.</w:t>
      </w:r>
    </w:p>
    <w:p w:rsidR="001634B4" w:rsidRPr="001634B4" w:rsidRDefault="001634B4" w:rsidP="001634B4">
      <w:pPr>
        <w:spacing w:after="0" w:line="240" w:lineRule="auto"/>
        <w:ind w:left="142"/>
        <w:jc w:val="both"/>
        <w:rPr>
          <w:rFonts w:ascii="Times New Roman" w:eastAsia="Times New Roman" w:hAnsi="Times New Roman" w:cs="Times New Roman"/>
          <w:bCs/>
          <w:sz w:val="16"/>
          <w:szCs w:val="16"/>
          <w:lang w:eastAsia="es-ES"/>
        </w:rPr>
      </w:pPr>
    </w:p>
    <w:p w:rsidR="001634B4" w:rsidRPr="001634B4" w:rsidRDefault="001634B4" w:rsidP="001634B4">
      <w:pPr>
        <w:spacing w:after="0" w:line="240" w:lineRule="auto"/>
        <w:ind w:left="709" w:hanging="567"/>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
          <w:bCs/>
          <w:sz w:val="20"/>
          <w:szCs w:val="20"/>
          <w:lang w:eastAsia="es-ES"/>
        </w:rPr>
        <w:t>IV.</w:t>
      </w:r>
      <w:r w:rsidRPr="001634B4">
        <w:rPr>
          <w:rFonts w:ascii="Times New Roman" w:eastAsia="Times New Roman" w:hAnsi="Times New Roman" w:cs="Times New Roman"/>
          <w:b/>
          <w:bCs/>
          <w:sz w:val="20"/>
          <w:szCs w:val="20"/>
          <w:lang w:eastAsia="es-ES"/>
        </w:rPr>
        <w:tab/>
      </w:r>
      <w:r w:rsidRPr="001634B4">
        <w:rPr>
          <w:rFonts w:ascii="Times New Roman" w:eastAsia="Times New Roman" w:hAnsi="Times New Roman" w:cs="Times New Roman"/>
          <w:bCs/>
          <w:sz w:val="20"/>
          <w:szCs w:val="20"/>
          <w:lang w:eastAsia="es-ES"/>
        </w:rPr>
        <w:t>Una vez practicado el aseguramiento precautorio, la autoridad fiscal notificará a los contribuyentes, responsables solidarios o terceros relacionados con ellos, según corresponda, que se llevó a cabo el aseguramiento precautorio de sus bienes o negociación, señalando la conducta que lo originó y, en su caso, el monto sobre el cual procedió el mismo.</w:t>
      </w:r>
    </w:p>
    <w:p w:rsidR="001634B4" w:rsidRPr="001634B4" w:rsidRDefault="001634B4" w:rsidP="001634B4">
      <w:pPr>
        <w:spacing w:after="0" w:line="240" w:lineRule="auto"/>
        <w:ind w:left="142"/>
        <w:jc w:val="both"/>
        <w:rPr>
          <w:rFonts w:ascii="Times New Roman" w:eastAsia="Times New Roman" w:hAnsi="Times New Roman" w:cs="Times New Roman"/>
          <w:bCs/>
          <w:sz w:val="16"/>
          <w:szCs w:val="16"/>
          <w:lang w:eastAsia="es-ES"/>
        </w:rPr>
      </w:pPr>
    </w:p>
    <w:p w:rsidR="001634B4" w:rsidRPr="001634B4" w:rsidRDefault="001634B4" w:rsidP="001634B4">
      <w:pPr>
        <w:spacing w:after="0" w:line="240" w:lineRule="auto"/>
        <w:ind w:left="714"/>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 xml:space="preserve">Dicha notificación se efectuará en un plazo no mayor a veinte días, contados a partir del día hábil siguiente al en que el aseguramiento precautorio se haya llevado a cabo. </w:t>
      </w:r>
    </w:p>
    <w:p w:rsidR="001634B4" w:rsidRPr="001634B4" w:rsidRDefault="001634B4" w:rsidP="001634B4">
      <w:pPr>
        <w:spacing w:after="0" w:line="240" w:lineRule="auto"/>
        <w:ind w:left="714"/>
        <w:jc w:val="both"/>
        <w:rPr>
          <w:rFonts w:ascii="Times New Roman" w:eastAsia="Times New Roman" w:hAnsi="Times New Roman" w:cs="Times New Roman"/>
          <w:bCs/>
          <w:sz w:val="16"/>
          <w:szCs w:val="16"/>
          <w:lang w:eastAsia="es-ES"/>
        </w:rPr>
      </w:pPr>
    </w:p>
    <w:p w:rsidR="001634B4" w:rsidRPr="001634B4" w:rsidRDefault="001634B4" w:rsidP="001634B4">
      <w:pPr>
        <w:spacing w:after="0" w:line="240" w:lineRule="auto"/>
        <w:ind w:left="714"/>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En el caso de que los bienes asegurados, correspondan a depósitos bancarios, componentes de ahorro o inversión asociados a seguros de vida que no formen parte de la prima que haya de erogarse para el pago de dicho seguro, o cualquier otro depósito, componente, producto o instrumento de ahorro o inversión en moneda nacional o extranjera que se realicen en cualquier tipo de cuenta o contrato que tenga a su nombre el contribuyente, responsable solidario o tercero relacionado con ellos, según corresponda, en alguna de las entidades financieras o sociedades cooperativas de ahorro y préstamo, el plazo para llevar a cabo su notificación, se computará a partir de la fecha en que la comisión de que se trate, o bien, la entidad financiera o sociedad cooperativa de ahorro y préstamo que corresponda, haya proporcionado a la autoridad fiscal la información relativa al nombre, razón, o denominación social de la entidad financiera o sociedad cooperativa de ahorro y préstamo que lo haya practicado, al monto de las cantidades aseguradas al contribuyente, responsable solidario o tercero con ellos relacionado, según corresponda, así como el número de las cuentas o de los contratos sobre los que se haya practicado dicho aseguramiento.</w:t>
      </w:r>
    </w:p>
    <w:p w:rsidR="001634B4" w:rsidRPr="001634B4" w:rsidRDefault="001634B4" w:rsidP="001634B4">
      <w:pPr>
        <w:spacing w:after="0" w:line="240" w:lineRule="auto"/>
        <w:ind w:left="714"/>
        <w:jc w:val="both"/>
        <w:rPr>
          <w:rFonts w:ascii="Times New Roman" w:eastAsia="Times New Roman" w:hAnsi="Times New Roman" w:cs="Times New Roman"/>
          <w:bCs/>
          <w:sz w:val="16"/>
          <w:szCs w:val="16"/>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Para la práctica del aseguramiento precautorio, serán aplicables las disposiciones establecidas para el embargo y para la intervención en el procedimiento administrativo de ejecución, en aquello que no se oponga a lo previsto en este artículo.</w:t>
      </w:r>
    </w:p>
    <w:p w:rsidR="001634B4" w:rsidRPr="001634B4" w:rsidRDefault="001634B4" w:rsidP="001634B4">
      <w:pPr>
        <w:spacing w:after="0" w:line="240" w:lineRule="auto"/>
        <w:jc w:val="both"/>
        <w:rPr>
          <w:rFonts w:ascii="Times New Roman" w:eastAsia="Times New Roman" w:hAnsi="Times New Roman" w:cs="Times New Roman"/>
          <w:bCs/>
          <w:sz w:val="16"/>
          <w:szCs w:val="16"/>
          <w:lang w:eastAsia="es-ES"/>
        </w:rPr>
      </w:pPr>
    </w:p>
    <w:p w:rsidR="001634B4" w:rsidRPr="001634B4" w:rsidRDefault="001634B4" w:rsidP="001634B4">
      <w:pPr>
        <w:spacing w:after="0" w:line="240" w:lineRule="auto"/>
        <w:jc w:val="both"/>
        <w:rPr>
          <w:rFonts w:ascii="Times New Roman" w:eastAsia="Times New Roman" w:hAnsi="Times New Roman" w:cs="Times New Roman"/>
          <w:color w:val="000000"/>
          <w:sz w:val="20"/>
          <w:szCs w:val="20"/>
          <w:lang w:eastAsia="es-MX"/>
        </w:rPr>
      </w:pPr>
      <w:r w:rsidRPr="001634B4">
        <w:rPr>
          <w:rFonts w:ascii="Times New Roman" w:eastAsia="Times New Roman" w:hAnsi="Times New Roman" w:cs="Times New Roman"/>
          <w:b/>
          <w:bCs/>
          <w:color w:val="000000"/>
          <w:sz w:val="20"/>
          <w:szCs w:val="20"/>
          <w:lang w:eastAsia="es-MX"/>
        </w:rPr>
        <w:t xml:space="preserve">Artículo 380-B.- </w:t>
      </w:r>
      <w:r w:rsidRPr="001634B4">
        <w:rPr>
          <w:rFonts w:ascii="Times New Roman" w:eastAsia="Times New Roman" w:hAnsi="Times New Roman" w:cs="Times New Roman"/>
          <w:color w:val="000000"/>
          <w:sz w:val="20"/>
          <w:szCs w:val="20"/>
          <w:lang w:eastAsia="es-MX"/>
        </w:rPr>
        <w:t xml:space="preserve">El </w:t>
      </w:r>
      <w:r w:rsidRPr="001634B4">
        <w:rPr>
          <w:rFonts w:ascii="Times New Roman" w:eastAsia="Times New Roman" w:hAnsi="Times New Roman" w:cs="Times New Roman"/>
          <w:sz w:val="20"/>
          <w:szCs w:val="20"/>
          <w:lang w:eastAsia="es-ES"/>
        </w:rPr>
        <w:t>aseguramiento</w:t>
      </w:r>
      <w:r w:rsidRPr="001634B4">
        <w:rPr>
          <w:rFonts w:ascii="Times New Roman" w:eastAsia="Times New Roman" w:hAnsi="Times New Roman" w:cs="Times New Roman"/>
          <w:bCs/>
          <w:sz w:val="20"/>
          <w:szCs w:val="20"/>
          <w:lang w:eastAsia="es-ES"/>
        </w:rPr>
        <w:t xml:space="preserve"> precautorio de</w:t>
      </w:r>
      <w:r w:rsidRPr="001634B4">
        <w:rPr>
          <w:rFonts w:ascii="Times New Roman" w:eastAsia="Times New Roman" w:hAnsi="Times New Roman" w:cs="Times New Roman"/>
          <w:sz w:val="20"/>
          <w:szCs w:val="20"/>
          <w:lang w:eastAsia="es-ES"/>
        </w:rPr>
        <w:t xml:space="preserve"> los bienes o la negociación</w:t>
      </w:r>
      <w:r w:rsidRPr="001634B4">
        <w:rPr>
          <w:rFonts w:ascii="Times New Roman" w:eastAsia="Times New Roman" w:hAnsi="Times New Roman" w:cs="Times New Roman"/>
          <w:bCs/>
          <w:sz w:val="20"/>
          <w:szCs w:val="20"/>
          <w:lang w:eastAsia="es-ES"/>
        </w:rPr>
        <w:t xml:space="preserve"> de l</w:t>
      </w:r>
      <w:r w:rsidRPr="001634B4">
        <w:rPr>
          <w:rFonts w:ascii="Times New Roman" w:eastAsia="Times New Roman" w:hAnsi="Times New Roman" w:cs="Times New Roman"/>
          <w:sz w:val="20"/>
          <w:szCs w:val="20"/>
          <w:lang w:eastAsia="es-ES"/>
        </w:rPr>
        <w:t xml:space="preserve">os contribuyentes, los responsables solidarios o terceros relacionados con ellos, según corresponda, </w:t>
      </w:r>
      <w:r w:rsidRPr="001634B4">
        <w:rPr>
          <w:rFonts w:ascii="Times New Roman" w:eastAsia="Times New Roman" w:hAnsi="Times New Roman" w:cs="Times New Roman"/>
          <w:color w:val="000000"/>
          <w:sz w:val="20"/>
          <w:szCs w:val="20"/>
          <w:lang w:eastAsia="es-MX"/>
        </w:rPr>
        <w:t>quedará sin efectos cuando:</w:t>
      </w:r>
    </w:p>
    <w:p w:rsidR="001634B4" w:rsidRPr="001634B4" w:rsidRDefault="001634B4" w:rsidP="001634B4">
      <w:pPr>
        <w:spacing w:after="0" w:line="240" w:lineRule="auto"/>
        <w:jc w:val="both"/>
        <w:rPr>
          <w:rFonts w:ascii="Times New Roman" w:eastAsia="Times New Roman" w:hAnsi="Times New Roman" w:cs="Times New Roman"/>
          <w:color w:val="000000"/>
          <w:sz w:val="16"/>
          <w:szCs w:val="16"/>
          <w:lang w:eastAsia="es-MX"/>
        </w:rPr>
      </w:pPr>
    </w:p>
    <w:p w:rsidR="001634B4" w:rsidRPr="001634B4" w:rsidRDefault="001634B4" w:rsidP="001634B4">
      <w:pPr>
        <w:spacing w:after="0" w:line="240" w:lineRule="auto"/>
        <w:ind w:firstLine="284"/>
        <w:jc w:val="both"/>
        <w:rPr>
          <w:rFonts w:ascii="Times New Roman" w:eastAsia="Times New Roman" w:hAnsi="Times New Roman" w:cs="Times New Roman"/>
          <w:color w:val="000000"/>
          <w:sz w:val="20"/>
          <w:szCs w:val="20"/>
          <w:lang w:eastAsia="es-MX"/>
        </w:rPr>
      </w:pPr>
      <w:r w:rsidRPr="001634B4">
        <w:rPr>
          <w:rFonts w:ascii="Times New Roman" w:eastAsia="Times New Roman" w:hAnsi="Times New Roman" w:cs="Times New Roman"/>
          <w:b/>
          <w:color w:val="000000"/>
          <w:sz w:val="20"/>
          <w:szCs w:val="20"/>
          <w:lang w:eastAsia="es-MX"/>
        </w:rPr>
        <w:t>I.</w:t>
      </w:r>
      <w:r w:rsidRPr="001634B4">
        <w:rPr>
          <w:rFonts w:ascii="Times New Roman" w:eastAsia="Times New Roman" w:hAnsi="Times New Roman" w:cs="Times New Roman"/>
          <w:color w:val="000000"/>
          <w:sz w:val="20"/>
          <w:szCs w:val="20"/>
          <w:lang w:eastAsia="es-MX"/>
        </w:rPr>
        <w:t xml:space="preserve"> a </w:t>
      </w:r>
      <w:r w:rsidRPr="001634B4">
        <w:rPr>
          <w:rFonts w:ascii="Times New Roman" w:eastAsia="Times New Roman" w:hAnsi="Times New Roman" w:cs="Times New Roman"/>
          <w:b/>
          <w:color w:val="000000"/>
          <w:sz w:val="20"/>
          <w:szCs w:val="20"/>
          <w:lang w:eastAsia="es-MX"/>
        </w:rPr>
        <w:t xml:space="preserve">III. </w:t>
      </w:r>
      <w:r w:rsidRPr="001634B4">
        <w:rPr>
          <w:rFonts w:ascii="Times New Roman" w:eastAsia="Times New Roman" w:hAnsi="Times New Roman" w:cs="Times New Roman"/>
          <w:color w:val="000000"/>
          <w:sz w:val="20"/>
          <w:szCs w:val="20"/>
          <w:lang w:eastAsia="es-MX"/>
        </w:rPr>
        <w:t>…</w:t>
      </w:r>
    </w:p>
    <w:p w:rsidR="001634B4" w:rsidRPr="001634B4" w:rsidRDefault="001634B4" w:rsidP="001634B4">
      <w:pPr>
        <w:spacing w:after="0" w:line="240" w:lineRule="auto"/>
        <w:ind w:firstLine="284"/>
        <w:jc w:val="both"/>
        <w:rPr>
          <w:rFonts w:ascii="Times New Roman" w:eastAsia="Times New Roman" w:hAnsi="Times New Roman" w:cs="Times New Roman"/>
          <w:color w:val="000000"/>
          <w:sz w:val="16"/>
          <w:szCs w:val="16"/>
          <w:lang w:eastAsia="es-MX"/>
        </w:rPr>
      </w:pPr>
    </w:p>
    <w:p w:rsidR="001634B4" w:rsidRPr="001634B4" w:rsidRDefault="001634B4" w:rsidP="001634B4">
      <w:pPr>
        <w:spacing w:after="0" w:line="240" w:lineRule="auto"/>
        <w:ind w:left="574" w:hanging="29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color w:val="000000"/>
          <w:sz w:val="20"/>
          <w:szCs w:val="20"/>
          <w:lang w:eastAsia="es-MX"/>
        </w:rPr>
        <w:lastRenderedPageBreak/>
        <w:t xml:space="preserve">IV. </w:t>
      </w:r>
      <w:r w:rsidRPr="001634B4">
        <w:rPr>
          <w:rFonts w:ascii="Times New Roman" w:eastAsia="Times New Roman" w:hAnsi="Times New Roman" w:cs="Times New Roman"/>
          <w:color w:val="000000"/>
          <w:sz w:val="20"/>
          <w:szCs w:val="20"/>
          <w:lang w:eastAsia="es-MX"/>
        </w:rPr>
        <w:t xml:space="preserve">La autoridad </w:t>
      </w:r>
      <w:r w:rsidRPr="001634B4">
        <w:rPr>
          <w:rFonts w:ascii="Times New Roman" w:eastAsia="Times New Roman" w:hAnsi="Times New Roman" w:cs="Times New Roman"/>
          <w:sz w:val="20"/>
          <w:szCs w:val="20"/>
          <w:lang w:eastAsia="es-ES"/>
        </w:rPr>
        <w:t>haya concluido sus facultades de comprobación dentro de los plazos establecidos en este Código.</w:t>
      </w:r>
    </w:p>
    <w:p w:rsidR="001634B4" w:rsidRPr="001634B4" w:rsidRDefault="001634B4" w:rsidP="001634B4">
      <w:pPr>
        <w:spacing w:after="0" w:line="240" w:lineRule="auto"/>
        <w:ind w:firstLine="284"/>
        <w:jc w:val="both"/>
        <w:rPr>
          <w:rFonts w:ascii="Times New Roman" w:eastAsia="Times New Roman" w:hAnsi="Times New Roman" w:cs="Times New Roman"/>
          <w:b/>
          <w:color w:val="000000"/>
          <w:sz w:val="16"/>
          <w:szCs w:val="16"/>
          <w:lang w:eastAsia="es-MX"/>
        </w:rPr>
      </w:pPr>
    </w:p>
    <w:p w:rsidR="001634B4" w:rsidRPr="001634B4" w:rsidRDefault="001634B4" w:rsidP="001634B4">
      <w:pPr>
        <w:spacing w:after="0" w:line="240" w:lineRule="auto"/>
        <w:ind w:firstLine="284"/>
        <w:jc w:val="both"/>
        <w:rPr>
          <w:rFonts w:ascii="Times New Roman" w:eastAsia="Times New Roman" w:hAnsi="Times New Roman" w:cs="Times New Roman"/>
          <w:color w:val="000000"/>
          <w:sz w:val="20"/>
          <w:szCs w:val="20"/>
          <w:lang w:eastAsia="es-MX"/>
        </w:rPr>
      </w:pPr>
      <w:r w:rsidRPr="001634B4">
        <w:rPr>
          <w:rFonts w:ascii="Times New Roman" w:eastAsia="Times New Roman" w:hAnsi="Times New Roman" w:cs="Times New Roman"/>
          <w:b/>
          <w:color w:val="000000"/>
          <w:sz w:val="20"/>
          <w:szCs w:val="20"/>
          <w:lang w:eastAsia="es-MX"/>
        </w:rPr>
        <w:t xml:space="preserve">V. </w:t>
      </w:r>
      <w:r w:rsidRPr="001634B4">
        <w:rPr>
          <w:rFonts w:ascii="Times New Roman" w:eastAsia="Times New Roman" w:hAnsi="Times New Roman" w:cs="Times New Roman"/>
          <w:color w:val="000000"/>
          <w:sz w:val="20"/>
          <w:szCs w:val="20"/>
          <w:lang w:eastAsia="es-MX"/>
        </w:rPr>
        <w:t>Derogada.</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Para efectos de las fracciones I, III y IV, la autoridad fiscal ordenará que se levante la medida a más tardar al décimo quinto día siguiente a que ello suceda.</w:t>
      </w: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La autoridad fiscal notificará a l</w:t>
      </w:r>
      <w:r w:rsidRPr="001634B4">
        <w:rPr>
          <w:rFonts w:ascii="Times New Roman" w:eastAsia="Times New Roman" w:hAnsi="Times New Roman" w:cs="Times New Roman"/>
          <w:sz w:val="20"/>
          <w:szCs w:val="20"/>
          <w:lang w:eastAsia="es-ES"/>
        </w:rPr>
        <w:t>os contribuyentes, los responsables solidarios o terceros relacionados con ellos, según corresponda</w:t>
      </w:r>
      <w:r w:rsidRPr="001634B4">
        <w:rPr>
          <w:rFonts w:ascii="Times New Roman" w:eastAsia="Times New Roman" w:hAnsi="Times New Roman" w:cs="Times New Roman"/>
          <w:bCs/>
          <w:sz w:val="20"/>
          <w:szCs w:val="20"/>
          <w:lang w:eastAsia="es-ES"/>
        </w:rPr>
        <w:t xml:space="preserve">, que se llevó a cabo el levantamiento del aseguramiento precautorio de sus bienes o negociación, en un plazo no mayor a veinte días contado a partir del día hábil siguiente al en que se haya llevado a cabo dicho levantamiento. </w:t>
      </w:r>
    </w:p>
    <w:p w:rsidR="001634B4" w:rsidRPr="001634B4" w:rsidRDefault="001634B4" w:rsidP="001634B4">
      <w:pPr>
        <w:widowControl w:val="0"/>
        <w:suppressAutoHyphens/>
        <w:spacing w:after="0" w:line="240" w:lineRule="auto"/>
        <w:jc w:val="both"/>
        <w:rPr>
          <w:rFonts w:ascii="Times New Roman" w:eastAsia="Lucida Sans Unicode" w:hAnsi="Times New Roman" w:cs="Times New Roman"/>
          <w:bCs/>
          <w:kern w:val="1"/>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En el caso de que los bienes asegurados, correspondan a depósitos bancarios, componentes de ahorro o inversión asociados a seguros de vida que no formen parte de la prima que haya de erogarse para el pago de dicho seguro, o cualquier otro depósito, componente, producto o instrumento de ahorro o inversión en moneda nacional o extranjera que se realicen en cualquier tipo de cuenta o contrato que tenga a su nombre el contribuyente, responsable solidario o tercero relacionado con ellos, según corresponda, en alguna de las entidades financieras o sociedades cooperativas de ahorro y préstamo, el plazo para llevar a cabo su notificación, se computará a partir de la fecha en que la comisión de que se trate, o bien, la entidad financiera o sociedad cooperativa de ahorro y préstamo que corresponda, haya informado a la autoridad fiscal sobre el levantamiento del aseguramiento precautorio.</w:t>
      </w:r>
    </w:p>
    <w:p w:rsidR="001634B4" w:rsidRPr="001634B4" w:rsidRDefault="001634B4" w:rsidP="001634B4">
      <w:pPr>
        <w:spacing w:after="0" w:line="240" w:lineRule="auto"/>
        <w:jc w:val="both"/>
        <w:rPr>
          <w:rFonts w:ascii="Times New Roman" w:eastAsia="Times New Roman" w:hAnsi="Times New Roman" w:cs="Times New Roman"/>
          <w:b/>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r w:rsidRPr="001634B4">
        <w:rPr>
          <w:rFonts w:ascii="Times New Roman" w:eastAsia="Times New Roman" w:hAnsi="Times New Roman" w:cs="Times New Roman"/>
          <w:bCs/>
          <w:sz w:val="20"/>
          <w:szCs w:val="20"/>
          <w:lang w:eastAsia="es-ES"/>
        </w:rPr>
        <w:t>Derogado.</w:t>
      </w:r>
    </w:p>
    <w:p w:rsidR="001634B4" w:rsidRPr="001634B4" w:rsidRDefault="001634B4" w:rsidP="001634B4">
      <w:pPr>
        <w:spacing w:after="0" w:line="240" w:lineRule="auto"/>
        <w:jc w:val="both"/>
        <w:rPr>
          <w:rFonts w:ascii="Times New Roman" w:eastAsia="Times New Roman" w:hAnsi="Times New Roman" w:cs="Times New Roman"/>
          <w:bCs/>
          <w:sz w:val="20"/>
          <w:szCs w:val="20"/>
          <w:lang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ARTÍCULO SEGUNDO. Se reforman</w:t>
      </w:r>
      <w:r w:rsidRPr="001634B4">
        <w:rPr>
          <w:rFonts w:ascii="Times New Roman" w:eastAsia="Times New Roman" w:hAnsi="Times New Roman" w:cs="Times New Roman"/>
          <w:sz w:val="20"/>
          <w:szCs w:val="20"/>
          <w:lang w:val="es-ES" w:eastAsia="es-ES"/>
        </w:rPr>
        <w:t xml:space="preserve"> los artículos 8; 16 párrafo segundo en sus fracciones I, II y III y en sus párrafos tercero y cuarto; 17; 21 en su proemio; 36 en sus párrafos tercero y cuarto; 72; 73 en sus párrafos primero, segundo y tercero; 88; 91; 93 en su párrafo primero y 100; </w:t>
      </w:r>
      <w:r w:rsidRPr="001634B4">
        <w:rPr>
          <w:rFonts w:ascii="Times New Roman" w:eastAsia="Times New Roman" w:hAnsi="Times New Roman" w:cs="Times New Roman"/>
          <w:b/>
          <w:sz w:val="20"/>
          <w:szCs w:val="20"/>
          <w:lang w:val="es-ES" w:eastAsia="es-ES"/>
        </w:rPr>
        <w:t>se adicionan</w:t>
      </w:r>
      <w:r w:rsidRPr="001634B4">
        <w:rPr>
          <w:rFonts w:ascii="Times New Roman" w:eastAsia="Times New Roman" w:hAnsi="Times New Roman" w:cs="Times New Roman"/>
          <w:sz w:val="20"/>
          <w:szCs w:val="20"/>
          <w:lang w:val="es-ES" w:eastAsia="es-ES"/>
        </w:rPr>
        <w:t xml:space="preserve"> al artículo 16 párrafo segundo una fracción II recorriendo las subsecuentes en su orden y los párrafos cuarto y quinto recorriendo el subsecuente en su orden, todos de la Ley de Seguridad Social para los Servidores Públicos del Estado de México y Municipios, para quedar como sigue:</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color w:val="000000"/>
          <w:sz w:val="20"/>
          <w:szCs w:val="20"/>
          <w:lang w:val="es-ES" w:eastAsia="es-ES"/>
        </w:rPr>
      </w:pPr>
      <w:r w:rsidRPr="001634B4">
        <w:rPr>
          <w:rFonts w:ascii="Times New Roman" w:eastAsia="Times New Roman" w:hAnsi="Times New Roman" w:cs="Times New Roman"/>
          <w:b/>
          <w:color w:val="000000"/>
          <w:sz w:val="20"/>
          <w:szCs w:val="20"/>
          <w:lang w:val="es-ES" w:eastAsia="es-ES"/>
        </w:rPr>
        <w:t xml:space="preserve">ARTÍCULO 8.- </w:t>
      </w:r>
      <w:r w:rsidRPr="001634B4">
        <w:rPr>
          <w:rFonts w:ascii="Times New Roman" w:eastAsia="Times New Roman" w:hAnsi="Times New Roman" w:cs="Times New Roman"/>
          <w:color w:val="000000"/>
          <w:sz w:val="20"/>
          <w:szCs w:val="20"/>
          <w:lang w:val="es-ES" w:eastAsia="es-ES"/>
        </w:rPr>
        <w:t>Para recibir las prestaciones que conforme a esta Ley correspondan, los familiares o dependientes económicos del servidor público y pensionado, deberán afiliarse ante el Instituto para el control de la vigencia de derechos.</w:t>
      </w:r>
    </w:p>
    <w:p w:rsidR="001634B4" w:rsidRPr="001634B4" w:rsidRDefault="001634B4" w:rsidP="001634B4">
      <w:pPr>
        <w:spacing w:after="0" w:line="240" w:lineRule="auto"/>
        <w:ind w:right="344"/>
        <w:jc w:val="both"/>
        <w:rPr>
          <w:rFonts w:ascii="Times New Roman" w:eastAsia="Times New Roman" w:hAnsi="Times New Roman" w:cs="Times New Roman"/>
          <w:color w:val="000000"/>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color w:val="000000"/>
          <w:sz w:val="20"/>
          <w:szCs w:val="20"/>
          <w:lang w:val="es-ES" w:eastAsia="es-ES"/>
        </w:rPr>
      </w:pPr>
      <w:r w:rsidRPr="001634B4">
        <w:rPr>
          <w:rFonts w:ascii="Times New Roman" w:eastAsia="Times New Roman" w:hAnsi="Times New Roman" w:cs="Times New Roman"/>
          <w:color w:val="000000"/>
          <w:sz w:val="20"/>
          <w:szCs w:val="20"/>
          <w:lang w:val="es-ES" w:eastAsia="es-ES"/>
        </w:rPr>
        <w:t>En caso de requerir atención médica sin haber cumplido con el requisito de afiliación, el Instituto se encontrará imposibilitado hasta en tanto se encuentren vigentes sus derechos; excepto en los casos de urgencia médica, para lo cual se atenderán conforme a las disposiciones aplicables.</w:t>
      </w:r>
    </w:p>
    <w:p w:rsidR="001634B4" w:rsidRPr="001634B4" w:rsidRDefault="001634B4" w:rsidP="001634B4">
      <w:pPr>
        <w:spacing w:after="0" w:line="240" w:lineRule="auto"/>
        <w:jc w:val="both"/>
        <w:rPr>
          <w:rFonts w:ascii="Times New Roman" w:eastAsia="Times New Roman" w:hAnsi="Times New Roman" w:cs="Times New Roman"/>
          <w:color w:val="000000"/>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sz w:val="20"/>
          <w:szCs w:val="20"/>
          <w:lang w:val="es-ES" w:eastAsia="es-ES"/>
        </w:rPr>
        <w:t>Los requisitos que sean necesarios para acreditar los derechos relativos a las prestaciones que correspondan conforme a esta ley, se comprobarán de conformidad con las disposiciones legales, reglamentarias y administrativas aplicables, así como los</w:t>
      </w:r>
      <w:r w:rsidRPr="001634B4">
        <w:rPr>
          <w:rFonts w:ascii="Times New Roman" w:eastAsia="Times New Roman" w:hAnsi="Times New Roman" w:cs="Times New Roman"/>
          <w:bCs/>
          <w:sz w:val="20"/>
          <w:szCs w:val="20"/>
          <w:lang w:val="es-ES" w:eastAsia="es-ES"/>
        </w:rPr>
        <w:t xml:space="preserve"> estudios socioeconómicos que para tal efecto realice el Instituto.</w:t>
      </w:r>
    </w:p>
    <w:p w:rsidR="001634B4" w:rsidRPr="001634B4" w:rsidRDefault="001634B4" w:rsidP="001634B4">
      <w:pPr>
        <w:spacing w:after="0" w:line="240" w:lineRule="auto"/>
        <w:ind w:left="301" w:right="29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 xml:space="preserve">Cuando el Instituto con motivo del ejercicio de sus atribuciones, determine que han cambiado las condiciones o requisitos, bajo los cuales se otorgó una afiliación a los derechohabientes; </w:t>
      </w:r>
      <w:r w:rsidRPr="001634B4">
        <w:rPr>
          <w:rFonts w:ascii="Times New Roman" w:eastAsia="Times New Roman" w:hAnsi="Times New Roman" w:cs="Times New Roman"/>
          <w:bCs/>
          <w:sz w:val="20"/>
          <w:szCs w:val="20"/>
          <w:lang w:val="es-ES" w:eastAsia="es-ES"/>
        </w:rPr>
        <w:t xml:space="preserve">podrá </w:t>
      </w:r>
      <w:r w:rsidRPr="001634B4">
        <w:rPr>
          <w:rFonts w:ascii="Times New Roman" w:eastAsia="Times New Roman" w:hAnsi="Times New Roman" w:cs="Times New Roman"/>
          <w:sz w:val="20"/>
          <w:szCs w:val="20"/>
          <w:lang w:val="es-ES" w:eastAsia="es-ES"/>
        </w:rPr>
        <w:t>suspender, modificar o revocar en cualquier momento la misma, previo otorgamiento de garantía de audiencia, de conformidad con las formalidades establecidas en las disposiciones legales aplicables.</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hd w:val="clear" w:color="auto" w:fill="FFFFFF"/>
        <w:spacing w:after="0" w:line="240" w:lineRule="auto"/>
        <w:ind w:left="-33"/>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 xml:space="preserve">ARTÍCULO 16.- </w:t>
      </w:r>
      <w:r w:rsidRPr="001634B4">
        <w:rPr>
          <w:rFonts w:ascii="Times New Roman" w:eastAsia="Gotham" w:hAnsi="Times New Roman" w:cs="Times New Roman"/>
          <w:sz w:val="20"/>
          <w:szCs w:val="20"/>
          <w:lang w:val="es-ES" w:eastAsia="es-ES"/>
        </w:rPr>
        <w:t>…</w:t>
      </w:r>
    </w:p>
    <w:p w:rsidR="001634B4" w:rsidRPr="001634B4" w:rsidRDefault="001634B4" w:rsidP="001634B4">
      <w:pPr>
        <w:spacing w:after="0" w:line="240" w:lineRule="auto"/>
        <w:ind w:left="-33"/>
        <w:jc w:val="both"/>
        <w:rPr>
          <w:rFonts w:ascii="Times New Roman" w:eastAsia="Gotham" w:hAnsi="Times New Roman" w:cs="Times New Roman"/>
          <w:b/>
          <w:sz w:val="20"/>
          <w:szCs w:val="20"/>
          <w:lang w:val="es-ES" w:eastAsia="es-ES"/>
        </w:rPr>
      </w:pPr>
    </w:p>
    <w:p w:rsidR="001634B4" w:rsidRPr="001634B4" w:rsidRDefault="001634B4" w:rsidP="001634B4">
      <w:pPr>
        <w:pBdr>
          <w:top w:val="nil"/>
          <w:left w:val="nil"/>
          <w:bottom w:val="nil"/>
          <w:right w:val="nil"/>
          <w:between w:val="nil"/>
        </w:pBdr>
        <w:spacing w:after="0" w:line="240" w:lineRule="auto"/>
        <w:ind w:left="-33"/>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sz w:val="20"/>
          <w:szCs w:val="20"/>
          <w:lang w:val="es-ES" w:eastAsia="es-ES"/>
        </w:rPr>
        <w:t>…</w:t>
      </w:r>
    </w:p>
    <w:p w:rsidR="001634B4" w:rsidRPr="001634B4" w:rsidRDefault="001634B4" w:rsidP="001634B4">
      <w:pPr>
        <w:spacing w:after="0" w:line="240" w:lineRule="auto"/>
        <w:ind w:left="-33"/>
        <w:jc w:val="both"/>
        <w:rPr>
          <w:rFonts w:ascii="Times New Roman" w:eastAsia="Gotham" w:hAnsi="Times New Roman" w:cs="Times New Roman"/>
          <w:sz w:val="20"/>
          <w:szCs w:val="20"/>
          <w:lang w:val="es-ES" w:eastAsia="es-ES"/>
        </w:rPr>
      </w:pPr>
    </w:p>
    <w:p w:rsidR="001634B4" w:rsidRPr="001634B4" w:rsidRDefault="001634B4" w:rsidP="00F068E2">
      <w:pPr>
        <w:widowControl w:val="0"/>
        <w:numPr>
          <w:ilvl w:val="0"/>
          <w:numId w:val="131"/>
        </w:numPr>
        <w:pBdr>
          <w:top w:val="nil"/>
          <w:left w:val="nil"/>
          <w:bottom w:val="nil"/>
          <w:right w:val="nil"/>
          <w:between w:val="nil"/>
        </w:pBdr>
        <w:suppressAutoHyphens/>
        <w:spacing w:after="0" w:line="240" w:lineRule="auto"/>
        <w:jc w:val="both"/>
        <w:rPr>
          <w:rFonts w:ascii="Times New Roman" w:eastAsia="Gotham" w:hAnsi="Times New Roman" w:cs="Times New Roman"/>
          <w:strike/>
          <w:kern w:val="1"/>
          <w:sz w:val="20"/>
          <w:szCs w:val="20"/>
          <w:lang w:val="es-ES_tradnl" w:eastAsia="es-ES"/>
        </w:rPr>
      </w:pPr>
      <w:r w:rsidRPr="001634B4">
        <w:rPr>
          <w:rFonts w:ascii="Times New Roman" w:eastAsia="Gotham" w:hAnsi="Times New Roman" w:cs="Times New Roman"/>
          <w:kern w:val="1"/>
          <w:sz w:val="20"/>
          <w:szCs w:val="20"/>
          <w:lang w:val="es-ES_tradnl" w:eastAsia="es-ES"/>
        </w:rPr>
        <w:t>Una Presidencia, que estará a cargo de la persona titular de la Dependencia a la que se encuentre sectorizado el Instituto.</w:t>
      </w:r>
      <w:r w:rsidRPr="001634B4">
        <w:rPr>
          <w:rFonts w:ascii="Times New Roman" w:eastAsia="Gotham" w:hAnsi="Times New Roman" w:cs="Times New Roman"/>
          <w:strike/>
          <w:kern w:val="1"/>
          <w:sz w:val="20"/>
          <w:szCs w:val="20"/>
          <w:lang w:val="es-ES_tradnl" w:eastAsia="es-ES"/>
        </w:rPr>
        <w:t xml:space="preserve"> </w:t>
      </w:r>
    </w:p>
    <w:p w:rsidR="001634B4" w:rsidRPr="001634B4" w:rsidRDefault="001634B4" w:rsidP="001634B4">
      <w:pPr>
        <w:pBdr>
          <w:top w:val="nil"/>
          <w:left w:val="nil"/>
          <w:bottom w:val="nil"/>
          <w:right w:val="nil"/>
          <w:between w:val="nil"/>
        </w:pBdr>
        <w:spacing w:after="0" w:line="240" w:lineRule="auto"/>
        <w:ind w:left="-33"/>
        <w:rPr>
          <w:rFonts w:ascii="Times New Roman" w:eastAsia="Gotham" w:hAnsi="Times New Roman" w:cs="Times New Roman"/>
          <w:sz w:val="20"/>
          <w:szCs w:val="20"/>
          <w:lang w:val="es-ES" w:eastAsia="es-ES"/>
        </w:rPr>
      </w:pPr>
    </w:p>
    <w:p w:rsidR="001634B4" w:rsidRPr="001634B4" w:rsidRDefault="001634B4" w:rsidP="001634B4">
      <w:pPr>
        <w:spacing w:after="0" w:line="240" w:lineRule="auto"/>
        <w:ind w:left="709" w:hanging="742"/>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II.</w:t>
      </w:r>
      <w:r w:rsidRPr="001634B4">
        <w:rPr>
          <w:rFonts w:ascii="Times New Roman" w:eastAsia="Gotham" w:hAnsi="Times New Roman" w:cs="Times New Roman"/>
          <w:sz w:val="20"/>
          <w:szCs w:val="20"/>
          <w:lang w:val="es-ES" w:eastAsia="es-ES"/>
        </w:rPr>
        <w:t xml:space="preserve"> </w:t>
      </w:r>
      <w:r w:rsidRPr="001634B4">
        <w:rPr>
          <w:rFonts w:ascii="Times New Roman" w:eastAsia="Gotham" w:hAnsi="Times New Roman" w:cs="Times New Roman"/>
          <w:sz w:val="20"/>
          <w:szCs w:val="20"/>
          <w:lang w:val="es-ES" w:eastAsia="es-ES"/>
        </w:rPr>
        <w:tab/>
        <w:t>Una Secretaría Técnica, que será la persona designada por el Consejo Directivo, a propuesta de la Presidencia.</w:t>
      </w:r>
    </w:p>
    <w:p w:rsidR="001634B4" w:rsidRPr="001634B4" w:rsidRDefault="001634B4" w:rsidP="001634B4">
      <w:pPr>
        <w:spacing w:after="0" w:line="240" w:lineRule="auto"/>
        <w:ind w:left="-33"/>
        <w:jc w:val="both"/>
        <w:rPr>
          <w:rFonts w:ascii="Times New Roman" w:eastAsia="Gotham" w:hAnsi="Times New Roman" w:cs="Times New Roman"/>
          <w:sz w:val="20"/>
          <w:szCs w:val="20"/>
          <w:lang w:val="es-ES" w:eastAsia="es-ES"/>
        </w:rPr>
      </w:pPr>
    </w:p>
    <w:p w:rsidR="001634B4" w:rsidRPr="001634B4" w:rsidRDefault="001634B4" w:rsidP="001634B4">
      <w:pPr>
        <w:spacing w:after="0" w:line="240" w:lineRule="auto"/>
        <w:ind w:left="-33"/>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III.</w:t>
      </w:r>
      <w:r w:rsidRPr="001634B4">
        <w:rPr>
          <w:rFonts w:ascii="Times New Roman" w:eastAsia="Gotham" w:hAnsi="Times New Roman" w:cs="Times New Roman"/>
          <w:sz w:val="20"/>
          <w:szCs w:val="20"/>
          <w:lang w:val="es-ES" w:eastAsia="es-ES"/>
        </w:rPr>
        <w:t xml:space="preserve"> </w:t>
      </w:r>
      <w:r w:rsidRPr="001634B4">
        <w:rPr>
          <w:rFonts w:ascii="Times New Roman" w:eastAsia="Gotham" w:hAnsi="Times New Roman" w:cs="Times New Roman"/>
          <w:sz w:val="20"/>
          <w:szCs w:val="20"/>
          <w:lang w:val="es-ES" w:eastAsia="es-ES"/>
        </w:rPr>
        <w:tab/>
      </w:r>
      <w:r w:rsidRPr="001634B4">
        <w:rPr>
          <w:rFonts w:ascii="Times New Roman" w:eastAsia="Gotham" w:hAnsi="Times New Roman" w:cs="Times New Roman"/>
          <w:bCs/>
          <w:sz w:val="20"/>
          <w:szCs w:val="20"/>
          <w:lang w:val="es-ES" w:eastAsia="es-ES"/>
        </w:rPr>
        <w:t>Catorce</w:t>
      </w:r>
      <w:r w:rsidRPr="001634B4">
        <w:rPr>
          <w:rFonts w:ascii="Times New Roman" w:eastAsia="Gotham" w:hAnsi="Times New Roman" w:cs="Times New Roman"/>
          <w:sz w:val="20"/>
          <w:szCs w:val="20"/>
          <w:lang w:val="es-ES" w:eastAsia="es-ES"/>
        </w:rPr>
        <w:t xml:space="preserve"> vocales que serán: </w:t>
      </w:r>
    </w:p>
    <w:p w:rsidR="001634B4" w:rsidRPr="001634B4" w:rsidRDefault="001634B4" w:rsidP="001634B4">
      <w:pPr>
        <w:pBdr>
          <w:top w:val="nil"/>
          <w:left w:val="nil"/>
          <w:bottom w:val="nil"/>
          <w:right w:val="nil"/>
          <w:between w:val="nil"/>
        </w:pBdr>
        <w:spacing w:after="0" w:line="240" w:lineRule="auto"/>
        <w:jc w:val="both"/>
        <w:rPr>
          <w:rFonts w:ascii="Times New Roman" w:eastAsia="Gotham" w:hAnsi="Times New Roman" w:cs="Times New Roman"/>
          <w:sz w:val="20"/>
          <w:szCs w:val="20"/>
          <w:lang w:val="es-ES" w:eastAsia="es-ES"/>
        </w:rPr>
      </w:pPr>
    </w:p>
    <w:p w:rsidR="001634B4" w:rsidRPr="001634B4" w:rsidRDefault="001634B4" w:rsidP="001634B4">
      <w:pPr>
        <w:pBdr>
          <w:top w:val="nil"/>
          <w:left w:val="nil"/>
          <w:bottom w:val="nil"/>
          <w:right w:val="nil"/>
          <w:between w:val="nil"/>
        </w:pBdr>
        <w:spacing w:after="0" w:line="240" w:lineRule="auto"/>
        <w:ind w:left="1418" w:hanging="709"/>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1.</w:t>
      </w:r>
      <w:r w:rsidRPr="001634B4">
        <w:rPr>
          <w:rFonts w:ascii="Times New Roman" w:eastAsia="Gotham" w:hAnsi="Times New Roman" w:cs="Times New Roman"/>
          <w:sz w:val="20"/>
          <w:szCs w:val="20"/>
          <w:lang w:val="es-ES" w:eastAsia="es-ES"/>
        </w:rPr>
        <w:t xml:space="preserve"> </w:t>
      </w:r>
      <w:r w:rsidRPr="001634B4">
        <w:rPr>
          <w:rFonts w:ascii="Times New Roman" w:eastAsia="Gotham" w:hAnsi="Times New Roman" w:cs="Times New Roman"/>
          <w:sz w:val="20"/>
          <w:szCs w:val="20"/>
          <w:lang w:val="es-ES" w:eastAsia="es-ES"/>
        </w:rPr>
        <w:tab/>
        <w:t xml:space="preserve">Una persona representante del Poder Legislativo que será el o la presidenta de la Junta de Coordinación Política. </w:t>
      </w:r>
    </w:p>
    <w:p w:rsidR="001634B4" w:rsidRPr="001634B4" w:rsidRDefault="001634B4" w:rsidP="001634B4">
      <w:pPr>
        <w:pBdr>
          <w:top w:val="nil"/>
          <w:left w:val="nil"/>
          <w:bottom w:val="nil"/>
          <w:right w:val="nil"/>
          <w:between w:val="nil"/>
        </w:pBdr>
        <w:spacing w:after="0" w:line="240" w:lineRule="auto"/>
        <w:ind w:left="851" w:hanging="142"/>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 xml:space="preserve">2. </w:t>
      </w:r>
      <w:r w:rsidRPr="001634B4">
        <w:rPr>
          <w:rFonts w:ascii="Times New Roman" w:eastAsia="Gotham" w:hAnsi="Times New Roman" w:cs="Times New Roman"/>
          <w:b/>
          <w:sz w:val="20"/>
          <w:szCs w:val="20"/>
          <w:lang w:val="es-ES" w:eastAsia="es-ES"/>
        </w:rPr>
        <w:tab/>
      </w:r>
      <w:r w:rsidRPr="001634B4">
        <w:rPr>
          <w:rFonts w:ascii="Times New Roman" w:eastAsia="Gotham" w:hAnsi="Times New Roman" w:cs="Times New Roman"/>
          <w:sz w:val="20"/>
          <w:szCs w:val="20"/>
          <w:lang w:val="es-ES" w:eastAsia="es-ES"/>
        </w:rPr>
        <w:t xml:space="preserve">Una persona representante del Poder Judicial. </w:t>
      </w:r>
    </w:p>
    <w:p w:rsidR="001634B4" w:rsidRPr="001634B4" w:rsidRDefault="001634B4" w:rsidP="001634B4">
      <w:pPr>
        <w:pBdr>
          <w:top w:val="nil"/>
          <w:left w:val="nil"/>
          <w:bottom w:val="nil"/>
          <w:right w:val="nil"/>
          <w:between w:val="nil"/>
        </w:pBdr>
        <w:spacing w:after="0" w:line="240" w:lineRule="auto"/>
        <w:ind w:left="851" w:hanging="142"/>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 xml:space="preserve">3. </w:t>
      </w:r>
      <w:r w:rsidRPr="001634B4">
        <w:rPr>
          <w:rFonts w:ascii="Times New Roman" w:eastAsia="Gotham" w:hAnsi="Times New Roman" w:cs="Times New Roman"/>
          <w:b/>
          <w:sz w:val="20"/>
          <w:szCs w:val="20"/>
          <w:lang w:val="es-ES" w:eastAsia="es-ES"/>
        </w:rPr>
        <w:tab/>
      </w:r>
      <w:r w:rsidRPr="001634B4">
        <w:rPr>
          <w:rFonts w:ascii="Times New Roman" w:eastAsia="Gotham" w:hAnsi="Times New Roman" w:cs="Times New Roman"/>
          <w:sz w:val="20"/>
          <w:szCs w:val="20"/>
          <w:lang w:val="es-ES" w:eastAsia="es-ES"/>
        </w:rPr>
        <w:t>Una persona representante de la Secretaría de Finanzas.</w:t>
      </w:r>
    </w:p>
    <w:p w:rsidR="001634B4" w:rsidRPr="001634B4" w:rsidRDefault="001634B4" w:rsidP="001634B4">
      <w:pPr>
        <w:pBdr>
          <w:top w:val="nil"/>
          <w:left w:val="nil"/>
          <w:bottom w:val="nil"/>
          <w:right w:val="nil"/>
          <w:between w:val="nil"/>
        </w:pBdr>
        <w:spacing w:after="0" w:line="240" w:lineRule="auto"/>
        <w:ind w:left="851" w:hanging="142"/>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 xml:space="preserve">4. </w:t>
      </w:r>
      <w:r w:rsidRPr="001634B4">
        <w:rPr>
          <w:rFonts w:ascii="Times New Roman" w:eastAsia="Gotham" w:hAnsi="Times New Roman" w:cs="Times New Roman"/>
          <w:b/>
          <w:sz w:val="20"/>
          <w:szCs w:val="20"/>
          <w:lang w:val="es-ES" w:eastAsia="es-ES"/>
        </w:rPr>
        <w:tab/>
      </w:r>
      <w:r w:rsidRPr="001634B4">
        <w:rPr>
          <w:rFonts w:ascii="Times New Roman" w:eastAsia="Gotham" w:hAnsi="Times New Roman" w:cs="Times New Roman"/>
          <w:sz w:val="20"/>
          <w:szCs w:val="20"/>
          <w:lang w:val="es-ES" w:eastAsia="es-ES"/>
        </w:rPr>
        <w:t xml:space="preserve">Una persona representante de la Oficialía Mayor. </w:t>
      </w:r>
    </w:p>
    <w:p w:rsidR="001634B4" w:rsidRPr="001634B4" w:rsidRDefault="001634B4" w:rsidP="001634B4">
      <w:pPr>
        <w:pBdr>
          <w:top w:val="nil"/>
          <w:left w:val="nil"/>
          <w:bottom w:val="nil"/>
          <w:right w:val="nil"/>
          <w:between w:val="nil"/>
        </w:pBdr>
        <w:spacing w:after="0" w:line="240" w:lineRule="auto"/>
        <w:ind w:left="1418" w:hanging="709"/>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 xml:space="preserve">5. </w:t>
      </w:r>
      <w:r w:rsidRPr="001634B4">
        <w:rPr>
          <w:rFonts w:ascii="Times New Roman" w:eastAsia="Gotham" w:hAnsi="Times New Roman" w:cs="Times New Roman"/>
          <w:b/>
          <w:sz w:val="20"/>
          <w:szCs w:val="20"/>
          <w:lang w:val="es-ES" w:eastAsia="es-ES"/>
        </w:rPr>
        <w:tab/>
      </w:r>
      <w:r w:rsidRPr="001634B4">
        <w:rPr>
          <w:rFonts w:ascii="Times New Roman" w:eastAsia="Gotham" w:hAnsi="Times New Roman" w:cs="Times New Roman"/>
          <w:sz w:val="20"/>
          <w:szCs w:val="20"/>
          <w:lang w:val="es-ES" w:eastAsia="es-ES"/>
        </w:rPr>
        <w:t xml:space="preserve">Una persona representante de la Secretaría de Salud que será el o la Secretaria del ramo. </w:t>
      </w:r>
    </w:p>
    <w:p w:rsidR="001634B4" w:rsidRPr="001634B4" w:rsidRDefault="001634B4" w:rsidP="001634B4">
      <w:pPr>
        <w:pBdr>
          <w:top w:val="nil"/>
          <w:left w:val="nil"/>
          <w:bottom w:val="nil"/>
          <w:right w:val="nil"/>
          <w:between w:val="nil"/>
        </w:pBdr>
        <w:spacing w:after="0" w:line="240" w:lineRule="auto"/>
        <w:ind w:left="851" w:hanging="142"/>
        <w:jc w:val="both"/>
        <w:rPr>
          <w:rFonts w:ascii="Times New Roman" w:eastAsia="Gotham" w:hAnsi="Times New Roman" w:cs="Times New Roman"/>
          <w:b/>
          <w:sz w:val="20"/>
          <w:szCs w:val="20"/>
          <w:lang w:val="es-ES" w:eastAsia="es-ES"/>
        </w:rPr>
      </w:pPr>
      <w:r w:rsidRPr="001634B4">
        <w:rPr>
          <w:rFonts w:ascii="Times New Roman" w:eastAsia="Gotham" w:hAnsi="Times New Roman" w:cs="Times New Roman"/>
          <w:b/>
          <w:sz w:val="20"/>
          <w:szCs w:val="20"/>
          <w:lang w:val="es-ES" w:eastAsia="es-ES"/>
        </w:rPr>
        <w:t xml:space="preserve">6. </w:t>
      </w:r>
      <w:r w:rsidRPr="001634B4">
        <w:rPr>
          <w:rFonts w:ascii="Times New Roman" w:eastAsia="Gotham" w:hAnsi="Times New Roman" w:cs="Times New Roman"/>
          <w:b/>
          <w:sz w:val="20"/>
          <w:szCs w:val="20"/>
          <w:lang w:val="es-ES" w:eastAsia="es-ES"/>
        </w:rPr>
        <w:tab/>
      </w:r>
      <w:r w:rsidRPr="001634B4">
        <w:rPr>
          <w:rFonts w:ascii="Times New Roman" w:eastAsia="Gotham" w:hAnsi="Times New Roman" w:cs="Times New Roman"/>
          <w:sz w:val="20"/>
          <w:szCs w:val="20"/>
          <w:lang w:val="es-ES" w:eastAsia="es-ES"/>
        </w:rPr>
        <w:t>Una persona representante de los Organismos Auxiliares.</w:t>
      </w:r>
      <w:r w:rsidRPr="001634B4">
        <w:rPr>
          <w:rFonts w:ascii="Times New Roman" w:eastAsia="Gotham" w:hAnsi="Times New Roman" w:cs="Times New Roman"/>
          <w:b/>
          <w:sz w:val="20"/>
          <w:szCs w:val="20"/>
          <w:lang w:val="es-ES" w:eastAsia="es-ES"/>
        </w:rPr>
        <w:t xml:space="preserve"> </w:t>
      </w:r>
    </w:p>
    <w:p w:rsidR="001634B4" w:rsidRPr="001634B4" w:rsidRDefault="001634B4" w:rsidP="001634B4">
      <w:pPr>
        <w:pBdr>
          <w:top w:val="nil"/>
          <w:left w:val="nil"/>
          <w:bottom w:val="nil"/>
          <w:right w:val="nil"/>
          <w:between w:val="nil"/>
        </w:pBdr>
        <w:spacing w:after="0" w:line="240" w:lineRule="auto"/>
        <w:ind w:left="1418" w:hanging="709"/>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 xml:space="preserve">7. </w:t>
      </w:r>
      <w:r w:rsidRPr="001634B4">
        <w:rPr>
          <w:rFonts w:ascii="Times New Roman" w:eastAsia="Gotham" w:hAnsi="Times New Roman" w:cs="Times New Roman"/>
          <w:b/>
          <w:sz w:val="20"/>
          <w:szCs w:val="20"/>
          <w:lang w:val="es-ES" w:eastAsia="es-ES"/>
        </w:rPr>
        <w:tab/>
      </w:r>
      <w:r w:rsidRPr="001634B4">
        <w:rPr>
          <w:rFonts w:ascii="Times New Roman" w:eastAsia="Gotham" w:hAnsi="Times New Roman" w:cs="Times New Roman"/>
          <w:sz w:val="20"/>
          <w:szCs w:val="20"/>
          <w:lang w:val="es-ES" w:eastAsia="es-ES"/>
        </w:rPr>
        <w:t>Una persona representante de los 125 municipios que el Consejo designará por insaculación.</w:t>
      </w:r>
    </w:p>
    <w:p w:rsidR="001634B4" w:rsidRPr="001634B4" w:rsidRDefault="001634B4" w:rsidP="001634B4">
      <w:pPr>
        <w:pBdr>
          <w:top w:val="nil"/>
          <w:left w:val="nil"/>
          <w:bottom w:val="nil"/>
          <w:right w:val="nil"/>
          <w:between w:val="nil"/>
        </w:pBdr>
        <w:spacing w:after="0" w:line="240" w:lineRule="auto"/>
        <w:ind w:left="1418" w:hanging="709"/>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 xml:space="preserve">8. </w:t>
      </w:r>
      <w:r w:rsidRPr="001634B4">
        <w:rPr>
          <w:rFonts w:ascii="Times New Roman" w:eastAsia="Gotham" w:hAnsi="Times New Roman" w:cs="Times New Roman"/>
          <w:b/>
          <w:sz w:val="20"/>
          <w:szCs w:val="20"/>
          <w:lang w:val="es-ES" w:eastAsia="es-ES"/>
        </w:rPr>
        <w:tab/>
      </w:r>
      <w:r w:rsidRPr="001634B4">
        <w:rPr>
          <w:rFonts w:ascii="Times New Roman" w:eastAsia="Gotham" w:hAnsi="Times New Roman" w:cs="Times New Roman"/>
          <w:sz w:val="20"/>
          <w:szCs w:val="20"/>
          <w:lang w:val="es-ES" w:eastAsia="es-ES"/>
        </w:rPr>
        <w:t>Cinco personas que representen a las personas servidoras públicas</w:t>
      </w:r>
      <w:r w:rsidRPr="001634B4">
        <w:rPr>
          <w:rFonts w:ascii="Times New Roman" w:eastAsia="Times New Roman" w:hAnsi="Times New Roman" w:cs="Times New Roman"/>
          <w:sz w:val="20"/>
          <w:szCs w:val="20"/>
          <w:lang w:val="es-ES" w:eastAsia="es-ES"/>
        </w:rPr>
        <w:t xml:space="preserve"> </w:t>
      </w:r>
      <w:r w:rsidRPr="001634B4">
        <w:rPr>
          <w:rFonts w:ascii="Times New Roman" w:eastAsia="Gotham" w:hAnsi="Times New Roman" w:cs="Times New Roman"/>
          <w:sz w:val="20"/>
          <w:szCs w:val="20"/>
          <w:lang w:val="es-ES" w:eastAsia="es-ES"/>
        </w:rPr>
        <w:t>afiliadas a las asociaciones sindicales, de acuerdo a lo siguiente: dos del Sindicato Único de Trabajadores de los Poderes, Municipios, e Instituciones Descentralizadas del Estado de México (SUTEYM), que serán el o la Secretaria General y el o la Secretaria de Servicios Médicos o Prestaciones,</w:t>
      </w:r>
      <w:r w:rsidRPr="001634B4">
        <w:rPr>
          <w:rFonts w:ascii="Times New Roman" w:eastAsia="Times New Roman" w:hAnsi="Times New Roman" w:cs="Times New Roman"/>
          <w:sz w:val="20"/>
          <w:szCs w:val="20"/>
          <w:lang w:val="es-ES" w:eastAsia="es-ES"/>
        </w:rPr>
        <w:t xml:space="preserve"> </w:t>
      </w:r>
      <w:r w:rsidRPr="001634B4">
        <w:rPr>
          <w:rFonts w:ascii="Times New Roman" w:eastAsia="Gotham" w:hAnsi="Times New Roman" w:cs="Times New Roman"/>
          <w:sz w:val="20"/>
          <w:szCs w:val="20"/>
          <w:lang w:val="es-ES" w:eastAsia="es-ES"/>
        </w:rPr>
        <w:t>dos</w:t>
      </w:r>
      <w:r w:rsidRPr="001634B4">
        <w:rPr>
          <w:rFonts w:ascii="Times New Roman" w:eastAsia="Times New Roman" w:hAnsi="Times New Roman" w:cs="Times New Roman"/>
          <w:sz w:val="20"/>
          <w:szCs w:val="20"/>
          <w:lang w:val="es-ES" w:eastAsia="es-ES"/>
        </w:rPr>
        <w:t xml:space="preserve"> </w:t>
      </w:r>
      <w:r w:rsidRPr="001634B4">
        <w:rPr>
          <w:rFonts w:ascii="Times New Roman" w:eastAsia="Gotham" w:hAnsi="Times New Roman" w:cs="Times New Roman"/>
          <w:sz w:val="20"/>
          <w:szCs w:val="20"/>
          <w:lang w:val="es-ES" w:eastAsia="es-ES"/>
        </w:rPr>
        <w:t>designados por el Sindicato de Maestros al Servicio del Estado de México (SMSEM) y; un representante de los sindicatos universitarios que será el o la Secretaria General.</w:t>
      </w:r>
    </w:p>
    <w:p w:rsidR="001634B4" w:rsidRPr="001634B4" w:rsidRDefault="001634B4" w:rsidP="001634B4">
      <w:pPr>
        <w:pBdr>
          <w:top w:val="nil"/>
          <w:left w:val="nil"/>
          <w:bottom w:val="nil"/>
          <w:right w:val="nil"/>
          <w:between w:val="nil"/>
        </w:pBdr>
        <w:spacing w:after="0" w:line="240" w:lineRule="auto"/>
        <w:ind w:left="1418" w:hanging="709"/>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bCs/>
          <w:sz w:val="20"/>
          <w:szCs w:val="20"/>
          <w:lang w:val="es-ES" w:eastAsia="es-ES"/>
        </w:rPr>
        <w:t xml:space="preserve">9. </w:t>
      </w:r>
      <w:r w:rsidRPr="001634B4">
        <w:rPr>
          <w:rFonts w:ascii="Times New Roman" w:eastAsia="Gotham" w:hAnsi="Times New Roman" w:cs="Times New Roman"/>
          <w:b/>
          <w:bCs/>
          <w:sz w:val="20"/>
          <w:szCs w:val="20"/>
          <w:lang w:val="es-ES" w:eastAsia="es-ES"/>
        </w:rPr>
        <w:tab/>
      </w:r>
      <w:r w:rsidRPr="001634B4">
        <w:rPr>
          <w:rFonts w:ascii="Times New Roman" w:eastAsia="Gotham" w:hAnsi="Times New Roman" w:cs="Times New Roman"/>
          <w:bCs/>
          <w:sz w:val="20"/>
          <w:szCs w:val="20"/>
          <w:lang w:val="es-ES" w:eastAsia="es-ES"/>
        </w:rPr>
        <w:t>Dos</w:t>
      </w:r>
      <w:r w:rsidRPr="001634B4">
        <w:rPr>
          <w:rFonts w:ascii="Times New Roman" w:eastAsia="Gotham" w:hAnsi="Times New Roman" w:cs="Times New Roman"/>
          <w:sz w:val="20"/>
          <w:szCs w:val="20"/>
          <w:lang w:val="es-ES" w:eastAsia="es-ES"/>
        </w:rPr>
        <w:t xml:space="preserve"> personas representantes de la Unión de Pensionados</w:t>
      </w:r>
      <w:r w:rsidRPr="001634B4">
        <w:rPr>
          <w:rFonts w:ascii="Times New Roman" w:eastAsia="Times New Roman" w:hAnsi="Times New Roman" w:cs="Times New Roman"/>
          <w:sz w:val="20"/>
          <w:szCs w:val="20"/>
          <w:lang w:val="es-ES" w:eastAsia="es-ES"/>
        </w:rPr>
        <w:t xml:space="preserve"> </w:t>
      </w:r>
      <w:r w:rsidRPr="001634B4">
        <w:rPr>
          <w:rFonts w:ascii="Times New Roman" w:eastAsia="Gotham" w:hAnsi="Times New Roman" w:cs="Times New Roman"/>
          <w:sz w:val="20"/>
          <w:szCs w:val="20"/>
          <w:lang w:val="es-ES" w:eastAsia="es-ES"/>
        </w:rPr>
        <w:t xml:space="preserve">y Pensionistas, A.C., </w:t>
      </w:r>
      <w:r w:rsidRPr="001634B4">
        <w:rPr>
          <w:rFonts w:ascii="Times New Roman" w:eastAsia="Times New Roman" w:hAnsi="Times New Roman" w:cs="Times New Roman"/>
          <w:bCs/>
          <w:sz w:val="20"/>
          <w:szCs w:val="20"/>
          <w:lang w:val="es-ES" w:eastAsia="es-ES"/>
        </w:rPr>
        <w:t>preferentemente uno del Valle de Toluca y otro del Valle de México.</w:t>
      </w:r>
    </w:p>
    <w:p w:rsidR="001634B4" w:rsidRPr="001634B4" w:rsidRDefault="001634B4" w:rsidP="001634B4">
      <w:pPr>
        <w:pBdr>
          <w:top w:val="nil"/>
          <w:left w:val="nil"/>
          <w:bottom w:val="nil"/>
          <w:right w:val="nil"/>
          <w:between w:val="nil"/>
        </w:pBdr>
        <w:spacing w:after="0" w:line="240" w:lineRule="auto"/>
        <w:ind w:left="-33"/>
        <w:rPr>
          <w:rFonts w:ascii="Times New Roman" w:eastAsia="Gotham" w:hAnsi="Times New Roman" w:cs="Times New Roman"/>
          <w:color w:val="000000"/>
          <w:sz w:val="20"/>
          <w:szCs w:val="20"/>
          <w:lang w:val="es-ES" w:eastAsia="es-ES"/>
        </w:rPr>
      </w:pPr>
    </w:p>
    <w:p w:rsidR="001634B4" w:rsidRPr="001634B4" w:rsidRDefault="001634B4" w:rsidP="001634B4">
      <w:pPr>
        <w:spacing w:after="0" w:line="240" w:lineRule="auto"/>
        <w:ind w:left="709" w:hanging="742"/>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b/>
          <w:sz w:val="20"/>
          <w:szCs w:val="20"/>
          <w:lang w:val="es-ES" w:eastAsia="es-ES"/>
        </w:rPr>
        <w:t>IV.</w:t>
      </w:r>
      <w:r w:rsidRPr="001634B4">
        <w:rPr>
          <w:rFonts w:ascii="Times New Roman" w:eastAsia="Gotham" w:hAnsi="Times New Roman" w:cs="Times New Roman"/>
          <w:sz w:val="20"/>
          <w:szCs w:val="20"/>
          <w:lang w:val="es-ES" w:eastAsia="es-ES"/>
        </w:rPr>
        <w:t xml:space="preserve"> </w:t>
      </w:r>
      <w:r w:rsidRPr="001634B4">
        <w:rPr>
          <w:rFonts w:ascii="Times New Roman" w:eastAsia="Gotham" w:hAnsi="Times New Roman" w:cs="Times New Roman"/>
          <w:sz w:val="20"/>
          <w:szCs w:val="20"/>
          <w:lang w:val="es-ES" w:eastAsia="es-ES"/>
        </w:rPr>
        <w:tab/>
        <w:t>Una Comisaría, que estará a cargo de la persona representante de la Secretaría de la Contraloría.</w:t>
      </w:r>
    </w:p>
    <w:p w:rsidR="001634B4" w:rsidRPr="001634B4" w:rsidRDefault="001634B4" w:rsidP="001634B4">
      <w:pPr>
        <w:spacing w:after="0" w:line="240" w:lineRule="auto"/>
        <w:ind w:left="-33"/>
        <w:rPr>
          <w:rFonts w:ascii="Times New Roman" w:eastAsia="Gotham" w:hAnsi="Times New Roman" w:cs="Times New Roman"/>
          <w:sz w:val="20"/>
          <w:szCs w:val="20"/>
          <w:lang w:val="es-ES" w:eastAsia="es-ES"/>
        </w:rPr>
      </w:pPr>
    </w:p>
    <w:p w:rsidR="001634B4" w:rsidRPr="001634B4" w:rsidRDefault="001634B4" w:rsidP="001634B4">
      <w:pPr>
        <w:pBdr>
          <w:top w:val="nil"/>
          <w:left w:val="nil"/>
          <w:bottom w:val="nil"/>
          <w:right w:val="nil"/>
          <w:between w:val="nil"/>
        </w:pBdr>
        <w:spacing w:after="0" w:line="240" w:lineRule="auto"/>
        <w:ind w:left="-33"/>
        <w:jc w:val="both"/>
        <w:rPr>
          <w:rFonts w:ascii="Times New Roman" w:eastAsia="Gotham" w:hAnsi="Times New Roman" w:cs="Times New Roman"/>
          <w:color w:val="000000"/>
          <w:sz w:val="20"/>
          <w:szCs w:val="20"/>
          <w:lang w:val="es-ES" w:eastAsia="es-ES"/>
        </w:rPr>
      </w:pPr>
      <w:r w:rsidRPr="001634B4">
        <w:rPr>
          <w:rFonts w:ascii="Times New Roman" w:eastAsia="Gotham" w:hAnsi="Times New Roman" w:cs="Times New Roman"/>
          <w:color w:val="000000"/>
          <w:sz w:val="20"/>
          <w:szCs w:val="20"/>
          <w:lang w:val="es-ES" w:eastAsia="es-ES"/>
        </w:rPr>
        <w:t>La Comisaría participará en las sesiones del Consejo sólo con voz. La persona titular de la Dirección General del Instituto participará únicamente con voz informativa.</w:t>
      </w:r>
      <w:r w:rsidRPr="001634B4">
        <w:rPr>
          <w:rFonts w:ascii="Times New Roman" w:eastAsia="Gotham" w:hAnsi="Times New Roman" w:cs="Times New Roman"/>
          <w:color w:val="000000"/>
          <w:sz w:val="20"/>
          <w:szCs w:val="20"/>
          <w:lang w:val="es-ES" w:eastAsia="es-ES"/>
        </w:rPr>
        <w:cr/>
      </w:r>
    </w:p>
    <w:p w:rsidR="001634B4" w:rsidRPr="001634B4" w:rsidRDefault="001634B4" w:rsidP="001634B4">
      <w:pPr>
        <w:spacing w:after="0" w:line="240" w:lineRule="auto"/>
        <w:ind w:left="-33"/>
        <w:jc w:val="both"/>
        <w:rPr>
          <w:rFonts w:ascii="Times New Roman" w:eastAsia="Gotham" w:hAnsi="Times New Roman" w:cs="Times New Roman"/>
          <w:bCs/>
          <w:sz w:val="20"/>
          <w:szCs w:val="20"/>
          <w:lang w:val="es-ES" w:eastAsia="es-ES"/>
        </w:rPr>
      </w:pPr>
      <w:r w:rsidRPr="001634B4">
        <w:rPr>
          <w:rFonts w:ascii="Times New Roman" w:eastAsia="Gotham" w:hAnsi="Times New Roman" w:cs="Times New Roman"/>
          <w:bCs/>
          <w:sz w:val="20"/>
          <w:szCs w:val="20"/>
          <w:lang w:val="es-ES" w:eastAsia="es-ES"/>
        </w:rPr>
        <w:t xml:space="preserve">La Comisaría, tendrá la obligación de practicar auditorías permanentes a las reservas financieras del Instituto y mantener informado de los resultados al Consejo Directivo. </w:t>
      </w:r>
    </w:p>
    <w:p w:rsidR="001634B4" w:rsidRPr="001634B4" w:rsidRDefault="001634B4" w:rsidP="001634B4">
      <w:pPr>
        <w:spacing w:after="0" w:line="240" w:lineRule="auto"/>
        <w:ind w:left="-33"/>
        <w:rPr>
          <w:rFonts w:ascii="Times New Roman" w:eastAsia="Gotham" w:hAnsi="Times New Roman" w:cs="Times New Roman"/>
          <w:bCs/>
          <w:sz w:val="20"/>
          <w:szCs w:val="20"/>
          <w:highlight w:val="lightGray"/>
          <w:lang w:val="es-ES" w:eastAsia="es-ES"/>
        </w:rPr>
      </w:pPr>
    </w:p>
    <w:p w:rsidR="001634B4" w:rsidRPr="001634B4" w:rsidRDefault="001634B4" w:rsidP="001634B4">
      <w:pPr>
        <w:spacing w:after="0" w:line="240" w:lineRule="auto"/>
        <w:ind w:left="-33"/>
        <w:jc w:val="both"/>
        <w:rPr>
          <w:rFonts w:ascii="Times New Roman" w:eastAsia="Gotham" w:hAnsi="Times New Roman" w:cs="Times New Roman"/>
          <w:bCs/>
          <w:sz w:val="20"/>
          <w:szCs w:val="20"/>
          <w:lang w:val="es-ES" w:eastAsia="es-ES"/>
        </w:rPr>
      </w:pPr>
      <w:r w:rsidRPr="001634B4">
        <w:rPr>
          <w:rFonts w:ascii="Times New Roman" w:eastAsia="Gotham" w:hAnsi="Times New Roman" w:cs="Times New Roman"/>
          <w:bCs/>
          <w:sz w:val="20"/>
          <w:szCs w:val="20"/>
          <w:lang w:val="es-ES" w:eastAsia="es-ES"/>
        </w:rPr>
        <w:t>Será invitada permanente a las sesiones del Consejo Directivo, una persona representante de la Consejería Jurídica, la cual contará con voz, pero sin voto.</w:t>
      </w:r>
    </w:p>
    <w:p w:rsidR="001634B4" w:rsidRPr="001634B4" w:rsidRDefault="001634B4" w:rsidP="001634B4">
      <w:pPr>
        <w:spacing w:after="0" w:line="240" w:lineRule="auto"/>
        <w:ind w:left="-33"/>
        <w:jc w:val="both"/>
        <w:rPr>
          <w:rFonts w:ascii="Times New Roman" w:eastAsia="Gotham" w:hAnsi="Times New Roman" w:cs="Times New Roman"/>
          <w:sz w:val="20"/>
          <w:szCs w:val="20"/>
          <w:lang w:val="es-ES" w:eastAsia="es-ES"/>
        </w:rPr>
      </w:pPr>
    </w:p>
    <w:p w:rsidR="001634B4" w:rsidRPr="001634B4" w:rsidRDefault="001634B4" w:rsidP="001634B4">
      <w:pPr>
        <w:spacing w:after="0" w:line="240" w:lineRule="auto"/>
        <w:ind w:left="-33"/>
        <w:jc w:val="both"/>
        <w:rPr>
          <w:rFonts w:ascii="Times New Roman" w:eastAsia="Gotham" w:hAnsi="Times New Roman" w:cs="Times New Roman"/>
          <w:sz w:val="20"/>
          <w:szCs w:val="20"/>
          <w:lang w:val="es-ES" w:eastAsia="es-ES"/>
        </w:rPr>
      </w:pPr>
      <w:r w:rsidRPr="001634B4">
        <w:rPr>
          <w:rFonts w:ascii="Times New Roman" w:eastAsia="Gotham" w:hAnsi="Times New Roman" w:cs="Times New Roman"/>
          <w:sz w:val="20"/>
          <w:szCs w:val="20"/>
          <w:lang w:val="es-ES" w:eastAsia="es-ES"/>
        </w:rPr>
        <w:t>Los vocales durarán en su cargo tres años, pudiendo ser ratificados o removidos libremente por quien los hubiera designado.</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ARTÍCULO 17.-</w:t>
      </w:r>
      <w:r w:rsidRPr="001634B4">
        <w:rPr>
          <w:rFonts w:ascii="Times New Roman" w:eastAsia="Times New Roman" w:hAnsi="Times New Roman" w:cs="Times New Roman"/>
          <w:bCs/>
          <w:sz w:val="20"/>
          <w:szCs w:val="20"/>
          <w:lang w:val="es-ES" w:eastAsia="es-ES"/>
        </w:rPr>
        <w:t xml:space="preserve"> Por cada una de las personas integrantes del Consejo Directivo, se designará una persona suplente, propuesta por la persona propietaria y será aprobada por dicho Consejo, con excepción de la Presidencia y la Secretaría Técnica.</w:t>
      </w: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right="9"/>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 xml:space="preserve">ARTÍCULO 21.- </w:t>
      </w:r>
      <w:r w:rsidRPr="001634B4">
        <w:rPr>
          <w:rFonts w:ascii="Times New Roman" w:eastAsia="Times New Roman" w:hAnsi="Times New Roman" w:cs="Times New Roman"/>
          <w:bCs/>
          <w:sz w:val="20"/>
          <w:szCs w:val="20"/>
          <w:lang w:val="es-ES" w:eastAsia="es-ES"/>
        </w:rPr>
        <w:t xml:space="preserve">La persona titular de la Dirección General del Instituto, será designada por la persona Titular del Poder Ejecutivo del Estado, informando dicha designación al Consejo Directivo, debiendo cumplir con el requisito de ser profesionista de probada experiencia en </w:t>
      </w:r>
      <w:r w:rsidRPr="001634B4">
        <w:rPr>
          <w:rFonts w:ascii="Times New Roman" w:eastAsia="Times New Roman" w:hAnsi="Times New Roman" w:cs="Times New Roman"/>
          <w:sz w:val="20"/>
          <w:szCs w:val="20"/>
          <w:lang w:val="es-ES" w:eastAsia="es-ES"/>
        </w:rPr>
        <w:t>administración</w:t>
      </w:r>
      <w:r w:rsidRPr="001634B4">
        <w:rPr>
          <w:rFonts w:ascii="Times New Roman" w:eastAsia="Times New Roman" w:hAnsi="Times New Roman" w:cs="Times New Roman"/>
          <w:bCs/>
          <w:sz w:val="20"/>
          <w:szCs w:val="20"/>
          <w:lang w:val="es-ES" w:eastAsia="es-ES"/>
        </w:rPr>
        <w:t xml:space="preserve"> pública, con formación académica comprobable, a través de título profesional o estudios de posgrado en la rama jurídica, económica, contable o administrativa, o</w:t>
      </w:r>
      <w:r w:rsidRPr="001634B4">
        <w:rPr>
          <w:rFonts w:ascii="Times New Roman" w:eastAsia="Times New Roman" w:hAnsi="Times New Roman" w:cs="Times New Roman"/>
          <w:sz w:val="20"/>
          <w:szCs w:val="20"/>
          <w:lang w:val="es-ES" w:eastAsia="es-ES"/>
        </w:rPr>
        <w:t xml:space="preserve"> </w:t>
      </w:r>
      <w:r w:rsidRPr="001634B4">
        <w:rPr>
          <w:rFonts w:ascii="Times New Roman" w:eastAsia="Times New Roman" w:hAnsi="Times New Roman" w:cs="Times New Roman"/>
          <w:bCs/>
          <w:sz w:val="20"/>
          <w:szCs w:val="20"/>
          <w:lang w:val="es-ES" w:eastAsia="es-ES"/>
        </w:rPr>
        <w:t>bien en sistemas de salud o de seguridad social; quien tendrá las atribuciones siguientes:</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I.</w:t>
      </w:r>
      <w:r w:rsidRPr="001634B4">
        <w:rPr>
          <w:rFonts w:ascii="Times New Roman" w:eastAsia="Times New Roman" w:hAnsi="Times New Roman" w:cs="Times New Roman"/>
          <w:sz w:val="20"/>
          <w:szCs w:val="20"/>
          <w:lang w:val="es-ES" w:eastAsia="es-ES"/>
        </w:rPr>
        <w:t xml:space="preserve"> a </w:t>
      </w:r>
      <w:r w:rsidRPr="001634B4">
        <w:rPr>
          <w:rFonts w:ascii="Times New Roman" w:eastAsia="Times New Roman" w:hAnsi="Times New Roman" w:cs="Times New Roman"/>
          <w:b/>
          <w:sz w:val="20"/>
          <w:szCs w:val="20"/>
          <w:lang w:val="es-ES" w:eastAsia="es-ES"/>
        </w:rPr>
        <w:t>XI.</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jc w:val="both"/>
        <w:rPr>
          <w:rFonts w:ascii="Times New Roman" w:eastAsia="Times New Roman" w:hAnsi="Times New Roman" w:cs="Times New Roman"/>
          <w:b/>
          <w:bCs/>
          <w:sz w:val="20"/>
          <w:szCs w:val="20"/>
          <w:lang w:val="es-ES" w:eastAsia="es-ES"/>
        </w:rPr>
      </w:pPr>
    </w:p>
    <w:p w:rsidR="001634B4" w:rsidRPr="001634B4" w:rsidRDefault="001634B4" w:rsidP="001634B4">
      <w:pPr>
        <w:spacing w:after="0" w:line="240" w:lineRule="auto"/>
        <w:ind w:right="29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ARTÍCULO 36.- </w:t>
      </w: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92"/>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right="292"/>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w:t>
      </w:r>
    </w:p>
    <w:p w:rsidR="001634B4" w:rsidRPr="001634B4" w:rsidRDefault="001634B4" w:rsidP="001634B4">
      <w:pPr>
        <w:spacing w:after="0" w:line="240" w:lineRule="auto"/>
        <w:ind w:right="292"/>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right="9"/>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 xml:space="preserve">El cobro de créditos fiscales a favor del Instituto se aplicará a través de la Secretaría de Finanzas, en términos del Código Financiero del Estado de México y Municipios. </w:t>
      </w:r>
    </w:p>
    <w:p w:rsidR="001634B4" w:rsidRPr="001634B4" w:rsidRDefault="001634B4" w:rsidP="001634B4">
      <w:pPr>
        <w:spacing w:after="0" w:line="240" w:lineRule="auto"/>
        <w:ind w:left="301" w:right="292"/>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right="9"/>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Cs/>
          <w:sz w:val="20"/>
          <w:szCs w:val="20"/>
          <w:lang w:val="es-ES" w:eastAsia="es-ES"/>
        </w:rPr>
        <w:t>Los créditos fiscales a cargo de las instituciones públicas se actualizarán por el transcurso del tiempo, adicionalmente se causarán los recargos y multas correspondientes, conforme a las disposiciones establecidas en el Código Financiero del Estado de México y Municipios, y en la Ley de Ingresos del Estado de México del Ejercicio Fiscal correspondiente.</w:t>
      </w:r>
    </w:p>
    <w:p w:rsidR="001634B4" w:rsidRPr="001634B4" w:rsidRDefault="001634B4" w:rsidP="001634B4">
      <w:pPr>
        <w:spacing w:after="0" w:line="240" w:lineRule="auto"/>
        <w:ind w:right="9"/>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bCs/>
          <w:sz w:val="20"/>
          <w:szCs w:val="20"/>
          <w:lang w:val="es-ES" w:eastAsia="es-ES"/>
        </w:rPr>
      </w:pPr>
      <w:r w:rsidRPr="001634B4">
        <w:rPr>
          <w:rFonts w:ascii="Times New Roman" w:eastAsia="Times New Roman" w:hAnsi="Times New Roman" w:cs="Times New Roman"/>
          <w:b/>
          <w:sz w:val="20"/>
          <w:szCs w:val="20"/>
          <w:lang w:val="es-ES" w:eastAsia="es-ES"/>
        </w:rPr>
        <w:t>ARTÍCULO 72.-</w:t>
      </w:r>
      <w:r w:rsidRPr="001634B4">
        <w:rPr>
          <w:rFonts w:ascii="Times New Roman" w:eastAsia="Times New Roman" w:hAnsi="Times New Roman" w:cs="Times New Roman"/>
          <w:bCs/>
          <w:sz w:val="20"/>
          <w:szCs w:val="20"/>
          <w:lang w:val="es-ES" w:eastAsia="es-ES"/>
        </w:rPr>
        <w:t xml:space="preserve"> En </w:t>
      </w:r>
      <w:r w:rsidRPr="001634B4">
        <w:rPr>
          <w:rFonts w:ascii="Times New Roman" w:eastAsia="Times New Roman" w:hAnsi="Times New Roman" w:cs="Times New Roman"/>
          <w:sz w:val="20"/>
          <w:szCs w:val="20"/>
          <w:lang w:val="es-ES" w:eastAsia="es-ES"/>
        </w:rPr>
        <w:t>cualquier</w:t>
      </w:r>
      <w:r w:rsidRPr="001634B4">
        <w:rPr>
          <w:rFonts w:ascii="Times New Roman" w:eastAsia="Times New Roman" w:hAnsi="Times New Roman" w:cs="Times New Roman"/>
          <w:bCs/>
          <w:sz w:val="20"/>
          <w:szCs w:val="20"/>
          <w:lang w:val="es-ES" w:eastAsia="es-ES"/>
        </w:rPr>
        <w:t xml:space="preserve"> momento, las personas servidoras públicas podrán </w:t>
      </w:r>
      <w:r w:rsidRPr="001634B4">
        <w:rPr>
          <w:rFonts w:ascii="Times New Roman" w:eastAsia="Times New Roman" w:hAnsi="Times New Roman" w:cs="Times New Roman"/>
          <w:sz w:val="20"/>
          <w:szCs w:val="20"/>
          <w:lang w:val="es-ES" w:eastAsia="es-ES"/>
        </w:rPr>
        <w:t>consultar</w:t>
      </w:r>
      <w:r w:rsidRPr="001634B4">
        <w:rPr>
          <w:rFonts w:ascii="Times New Roman" w:eastAsia="Times New Roman" w:hAnsi="Times New Roman" w:cs="Times New Roman"/>
          <w:bCs/>
          <w:sz w:val="20"/>
          <w:szCs w:val="20"/>
          <w:lang w:val="es-ES" w:eastAsia="es-ES"/>
        </w:rPr>
        <w:t xml:space="preserve"> </w:t>
      </w:r>
      <w:r w:rsidRPr="001634B4">
        <w:rPr>
          <w:rFonts w:ascii="Times New Roman" w:eastAsia="Times New Roman" w:hAnsi="Times New Roman" w:cs="Times New Roman"/>
          <w:sz w:val="20"/>
          <w:szCs w:val="20"/>
          <w:lang w:val="es-ES" w:eastAsia="es-ES"/>
        </w:rPr>
        <w:t>en la plataforma digital que para tal efecto habilite el</w:t>
      </w:r>
      <w:r w:rsidRPr="001634B4">
        <w:rPr>
          <w:rFonts w:ascii="Times New Roman" w:eastAsia="Times New Roman" w:hAnsi="Times New Roman" w:cs="Times New Roman"/>
          <w:bCs/>
          <w:sz w:val="20"/>
          <w:szCs w:val="20"/>
          <w:lang w:val="es-ES" w:eastAsia="es-ES"/>
        </w:rPr>
        <w:t xml:space="preserve"> Instituto, </w:t>
      </w:r>
      <w:r w:rsidRPr="001634B4">
        <w:rPr>
          <w:rFonts w:ascii="Times New Roman" w:eastAsia="Times New Roman" w:hAnsi="Times New Roman" w:cs="Times New Roman"/>
          <w:sz w:val="20"/>
          <w:szCs w:val="20"/>
          <w:lang w:val="es-ES" w:eastAsia="es-ES"/>
        </w:rPr>
        <w:t>los periodos cotizados</w:t>
      </w:r>
      <w:r w:rsidRPr="001634B4">
        <w:rPr>
          <w:rFonts w:ascii="Times New Roman" w:eastAsia="Times New Roman" w:hAnsi="Times New Roman" w:cs="Times New Roman"/>
          <w:bCs/>
          <w:sz w:val="20"/>
          <w:szCs w:val="20"/>
          <w:lang w:val="es-ES" w:eastAsia="es-ES"/>
        </w:rPr>
        <w:t xml:space="preserve"> del sistema solidario de reparto.</w:t>
      </w:r>
    </w:p>
    <w:p w:rsidR="001634B4" w:rsidRPr="001634B4" w:rsidRDefault="001634B4" w:rsidP="001634B4">
      <w:pPr>
        <w:spacing w:after="0" w:line="240" w:lineRule="auto"/>
        <w:ind w:right="9"/>
        <w:jc w:val="both"/>
        <w:rPr>
          <w:rFonts w:ascii="Times New Roman" w:eastAsia="Times New Roman" w:hAnsi="Times New Roman" w:cs="Times New Roman"/>
          <w:bCs/>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lastRenderedPageBreak/>
        <w:t>ARTÍCULO 73.-</w:t>
      </w:r>
      <w:r w:rsidRPr="001634B4">
        <w:rPr>
          <w:rFonts w:ascii="Times New Roman" w:eastAsia="Times New Roman" w:hAnsi="Times New Roman" w:cs="Times New Roman"/>
          <w:sz w:val="20"/>
          <w:szCs w:val="20"/>
          <w:lang w:val="es-ES" w:eastAsia="es-ES"/>
        </w:rPr>
        <w:t xml:space="preserve"> El Instituto resolverá el otorgamiento de una pensión del sistema solidario de reparto, </w:t>
      </w:r>
      <w:r w:rsidRPr="001634B4">
        <w:rPr>
          <w:rFonts w:ascii="Times New Roman" w:eastAsia="Times New Roman" w:hAnsi="Times New Roman" w:cs="Times New Roman"/>
          <w:bCs/>
          <w:sz w:val="20"/>
          <w:szCs w:val="20"/>
          <w:lang w:val="es-ES" w:eastAsia="es-ES"/>
        </w:rPr>
        <w:t xml:space="preserve">a través de la emisión del dictamen correspondiente, en un plazo de </w:t>
      </w:r>
      <w:r w:rsidRPr="001634B4">
        <w:rPr>
          <w:rFonts w:ascii="Times New Roman" w:eastAsia="Times New Roman" w:hAnsi="Times New Roman" w:cs="Times New Roman"/>
          <w:sz w:val="20"/>
          <w:szCs w:val="20"/>
          <w:lang w:val="es-ES" w:eastAsia="es-ES"/>
        </w:rPr>
        <w:t>treinta</w:t>
      </w:r>
      <w:r w:rsidRPr="001634B4">
        <w:rPr>
          <w:rFonts w:ascii="Times New Roman" w:eastAsia="Times New Roman" w:hAnsi="Times New Roman" w:cs="Times New Roman"/>
          <w:bCs/>
          <w:sz w:val="20"/>
          <w:szCs w:val="20"/>
          <w:lang w:val="es-ES" w:eastAsia="es-ES"/>
        </w:rPr>
        <w:t xml:space="preserve"> </w:t>
      </w:r>
      <w:r w:rsidRPr="001634B4">
        <w:rPr>
          <w:rFonts w:ascii="Times New Roman" w:eastAsia="Times New Roman" w:hAnsi="Times New Roman" w:cs="Times New Roman"/>
          <w:sz w:val="20"/>
          <w:szCs w:val="20"/>
          <w:lang w:val="es-ES" w:eastAsia="es-ES"/>
        </w:rPr>
        <w:t>días</w:t>
      </w:r>
      <w:r w:rsidRPr="001634B4">
        <w:rPr>
          <w:rFonts w:ascii="Times New Roman" w:eastAsia="Times New Roman" w:hAnsi="Times New Roman" w:cs="Times New Roman"/>
          <w:bCs/>
          <w:sz w:val="20"/>
          <w:szCs w:val="20"/>
          <w:lang w:val="es-ES" w:eastAsia="es-ES"/>
        </w:rPr>
        <w:t xml:space="preserve"> hábiles contados a partir de la fecha en que se reciba la solicitud</w:t>
      </w:r>
      <w:r w:rsidRPr="001634B4">
        <w:rPr>
          <w:rFonts w:ascii="Times New Roman" w:eastAsia="Times New Roman" w:hAnsi="Times New Roman" w:cs="Times New Roman"/>
          <w:sz w:val="20"/>
          <w:szCs w:val="20"/>
          <w:lang w:val="es-ES" w:eastAsia="es-ES"/>
        </w:rPr>
        <w:t xml:space="preserve">, </w:t>
      </w:r>
      <w:r w:rsidRPr="001634B4">
        <w:rPr>
          <w:rFonts w:ascii="Times New Roman" w:eastAsia="Times New Roman" w:hAnsi="Times New Roman" w:cs="Times New Roman"/>
          <w:bCs/>
          <w:sz w:val="20"/>
          <w:szCs w:val="20"/>
          <w:lang w:val="es-ES" w:eastAsia="es-ES"/>
        </w:rPr>
        <w:t>con excepción de los trámites de pensión que impliquen la verificación de los años cotizados al Instituto, y demás requisitos, de conformidad con las disposiciones legales aplicables.</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Una vez emitido el dictamen de pensión a que hace referencia el párrafo anterior, el Instituto procederá a programar el pago, siempre y cuando se haya recibido la aceptación expresa y la baja correspondiente al servicio público, y demás requisitos aplicables.</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9"/>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En el caso en que el Instituto haya realizado un pago indebido, la persona que lo haya recibido, estará obligada a reintegrarlo dentro del plazo de diez días contados a partir del requerimiento efectuado o bien podrá convenir con el Instituto la forma de devolverlo. Cuando el pago indebido sea ocasionado por información que la institución pública haya proporcionado, el Instituto lo restituirá con cargo al presupuesto de dicha Institución.</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autoSpaceDE w:val="0"/>
        <w:autoSpaceDN w:val="0"/>
        <w:adjustRightInd w:val="0"/>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 xml:space="preserve">ARTÍCULO 88.- </w:t>
      </w:r>
      <w:r w:rsidRPr="001634B4">
        <w:rPr>
          <w:rFonts w:ascii="Times New Roman" w:eastAsia="Times New Roman" w:hAnsi="Times New Roman" w:cs="Times New Roman"/>
          <w:sz w:val="20"/>
          <w:szCs w:val="20"/>
          <w:lang w:val="es-ES" w:eastAsia="es-ES"/>
        </w:rPr>
        <w:t xml:space="preserve">La pensión por jubilación se otorgará a las personas servidoras públicas que al retirarse de su empleo acrediten un mínimo de 35 años de servicio y </w:t>
      </w:r>
      <w:r w:rsidRPr="001634B4">
        <w:rPr>
          <w:rFonts w:ascii="Times New Roman" w:eastAsia="Times New Roman" w:hAnsi="Times New Roman" w:cs="Times New Roman"/>
          <w:bCs/>
          <w:sz w:val="20"/>
          <w:szCs w:val="20"/>
          <w:lang w:val="es-ES" w:eastAsia="es-ES"/>
        </w:rPr>
        <w:t>65</w:t>
      </w:r>
      <w:r w:rsidRPr="001634B4">
        <w:rPr>
          <w:rFonts w:ascii="Times New Roman" w:eastAsia="Times New Roman" w:hAnsi="Times New Roman" w:cs="Times New Roman"/>
          <w:sz w:val="20"/>
          <w:szCs w:val="20"/>
          <w:lang w:val="es-ES" w:eastAsia="es-ES"/>
        </w:rPr>
        <w:t xml:space="preserve"> años de edad. </w:t>
      </w:r>
    </w:p>
    <w:p w:rsidR="001634B4" w:rsidRPr="001634B4" w:rsidRDefault="001634B4" w:rsidP="001634B4">
      <w:pPr>
        <w:autoSpaceDE w:val="0"/>
        <w:autoSpaceDN w:val="0"/>
        <w:adjustRightInd w:val="0"/>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autoSpaceDE w:val="0"/>
        <w:autoSpaceDN w:val="0"/>
        <w:adjustRightInd w:val="0"/>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La edad para tener derecho a la pensión por jubilación se incrementará gradualmente conforme a la tabla siguiente:</w:t>
      </w:r>
    </w:p>
    <w:tbl>
      <w:tblPr>
        <w:tblW w:w="2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
        <w:gridCol w:w="1417"/>
      </w:tblGrid>
      <w:tr w:rsidR="001634B4" w:rsidRPr="001634B4" w:rsidTr="001634B4">
        <w:trPr>
          <w:trHeight w:val="113"/>
          <w:jc w:val="center"/>
        </w:trPr>
        <w:tc>
          <w:tcPr>
            <w:tcW w:w="911" w:type="dxa"/>
            <w:tcBorders>
              <w:top w:val="single" w:sz="4" w:space="0" w:color="auto"/>
              <w:left w:val="single" w:sz="4" w:space="0" w:color="auto"/>
              <w:bottom w:val="single" w:sz="4" w:space="0" w:color="auto"/>
              <w:right w:val="single" w:sz="4" w:space="0" w:color="auto"/>
            </w:tcBorders>
            <w:vAlign w:val="center"/>
          </w:tcPr>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AÑO</w:t>
            </w:r>
          </w:p>
        </w:tc>
        <w:tc>
          <w:tcPr>
            <w:tcW w:w="1417" w:type="dxa"/>
            <w:tcBorders>
              <w:top w:val="single" w:sz="4" w:space="0" w:color="auto"/>
              <w:left w:val="single" w:sz="4" w:space="0" w:color="auto"/>
              <w:bottom w:val="single" w:sz="4" w:space="0" w:color="auto"/>
              <w:right w:val="single" w:sz="4" w:space="0" w:color="auto"/>
            </w:tcBorders>
            <w:vAlign w:val="center"/>
          </w:tcPr>
          <w:p w:rsidR="001634B4" w:rsidRPr="001634B4" w:rsidRDefault="001634B4" w:rsidP="001634B4">
            <w:pPr>
              <w:spacing w:after="0" w:line="240" w:lineRule="auto"/>
              <w:jc w:val="center"/>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EDAD</w:t>
            </w:r>
          </w:p>
        </w:tc>
      </w:tr>
      <w:tr w:rsidR="001634B4" w:rsidRPr="001634B4" w:rsidTr="001634B4">
        <w:trPr>
          <w:trHeight w:val="113"/>
          <w:jc w:val="center"/>
        </w:trPr>
        <w:tc>
          <w:tcPr>
            <w:tcW w:w="911" w:type="dxa"/>
            <w:tcBorders>
              <w:top w:val="single" w:sz="4" w:space="0" w:color="auto"/>
              <w:left w:val="single" w:sz="4" w:space="0" w:color="auto"/>
              <w:bottom w:val="single" w:sz="4" w:space="0" w:color="auto"/>
              <w:right w:val="single" w:sz="4" w:space="0" w:color="auto"/>
            </w:tcBorders>
            <w:vAlign w:val="center"/>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2027</w:t>
            </w:r>
          </w:p>
        </w:tc>
        <w:tc>
          <w:tcPr>
            <w:tcW w:w="1417" w:type="dxa"/>
            <w:tcBorders>
              <w:top w:val="single" w:sz="4" w:space="0" w:color="auto"/>
              <w:left w:val="single" w:sz="4" w:space="0" w:color="auto"/>
              <w:bottom w:val="single" w:sz="4" w:space="0" w:color="auto"/>
              <w:right w:val="single" w:sz="4" w:space="0" w:color="auto"/>
            </w:tcBorders>
            <w:vAlign w:val="center"/>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MX"/>
              </w:rPr>
            </w:pPr>
            <w:r w:rsidRPr="001634B4">
              <w:rPr>
                <w:rFonts w:ascii="Times New Roman" w:eastAsia="Times New Roman" w:hAnsi="Times New Roman" w:cs="Times New Roman"/>
                <w:sz w:val="20"/>
                <w:szCs w:val="20"/>
                <w:lang w:val="es-ES" w:eastAsia="es-MX"/>
              </w:rPr>
              <w:t>63 años</w:t>
            </w:r>
          </w:p>
        </w:tc>
      </w:tr>
      <w:tr w:rsidR="001634B4" w:rsidRPr="001634B4" w:rsidTr="001634B4">
        <w:trPr>
          <w:trHeight w:val="113"/>
          <w:jc w:val="center"/>
        </w:trPr>
        <w:tc>
          <w:tcPr>
            <w:tcW w:w="911" w:type="dxa"/>
            <w:tcBorders>
              <w:top w:val="single" w:sz="4" w:space="0" w:color="auto"/>
              <w:left w:val="single" w:sz="4" w:space="0" w:color="auto"/>
              <w:bottom w:val="single" w:sz="4" w:space="0" w:color="auto"/>
              <w:right w:val="single" w:sz="4" w:space="0" w:color="auto"/>
            </w:tcBorders>
            <w:vAlign w:val="center"/>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2028</w:t>
            </w:r>
          </w:p>
        </w:tc>
        <w:tc>
          <w:tcPr>
            <w:tcW w:w="1417" w:type="dxa"/>
            <w:tcBorders>
              <w:top w:val="single" w:sz="4" w:space="0" w:color="auto"/>
              <w:left w:val="single" w:sz="4" w:space="0" w:color="auto"/>
              <w:bottom w:val="single" w:sz="4" w:space="0" w:color="auto"/>
              <w:right w:val="single" w:sz="4" w:space="0" w:color="auto"/>
            </w:tcBorders>
            <w:vAlign w:val="center"/>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64 años</w:t>
            </w:r>
          </w:p>
        </w:tc>
      </w:tr>
      <w:tr w:rsidR="001634B4" w:rsidRPr="001634B4" w:rsidTr="001634B4">
        <w:trPr>
          <w:trHeight w:val="113"/>
          <w:jc w:val="center"/>
        </w:trPr>
        <w:tc>
          <w:tcPr>
            <w:tcW w:w="911" w:type="dxa"/>
            <w:tcBorders>
              <w:top w:val="single" w:sz="4" w:space="0" w:color="auto"/>
              <w:left w:val="single" w:sz="4" w:space="0" w:color="auto"/>
              <w:bottom w:val="single" w:sz="4" w:space="0" w:color="auto"/>
              <w:right w:val="single" w:sz="4" w:space="0" w:color="auto"/>
            </w:tcBorders>
            <w:vAlign w:val="center"/>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2029</w:t>
            </w:r>
          </w:p>
        </w:tc>
        <w:tc>
          <w:tcPr>
            <w:tcW w:w="1417" w:type="dxa"/>
            <w:tcBorders>
              <w:top w:val="single" w:sz="4" w:space="0" w:color="auto"/>
              <w:left w:val="single" w:sz="4" w:space="0" w:color="auto"/>
              <w:bottom w:val="single" w:sz="4" w:space="0" w:color="auto"/>
              <w:right w:val="single" w:sz="4" w:space="0" w:color="auto"/>
            </w:tcBorders>
            <w:vAlign w:val="center"/>
          </w:tcPr>
          <w:p w:rsidR="001634B4" w:rsidRPr="001634B4" w:rsidRDefault="001634B4" w:rsidP="001634B4">
            <w:pPr>
              <w:spacing w:after="0" w:line="240" w:lineRule="auto"/>
              <w:jc w:val="center"/>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65 años</w:t>
            </w:r>
          </w:p>
        </w:tc>
      </w:tr>
    </w:tbl>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 xml:space="preserve">ARTÍCULO 91.- </w:t>
      </w:r>
      <w:r w:rsidRPr="001634B4">
        <w:rPr>
          <w:rFonts w:ascii="Times New Roman" w:eastAsia="Times New Roman" w:hAnsi="Times New Roman" w:cs="Times New Roman"/>
          <w:sz w:val="20"/>
          <w:szCs w:val="20"/>
          <w:lang w:val="es-ES" w:eastAsia="es-ES"/>
        </w:rPr>
        <w:t>La pensión de retiro por edad y tiempo de servicios se concederá a las personas servidoras públicas que habiendo cumplido 65 años de edad, acrediten ante el Instituto haber laborado cuando menos 17 años, y haber cubierto las cuotas correspondientes a este período.</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 xml:space="preserve">ARTÍCULO 93.- </w:t>
      </w:r>
      <w:r w:rsidRPr="001634B4">
        <w:rPr>
          <w:rFonts w:ascii="Times New Roman" w:eastAsia="Times New Roman" w:hAnsi="Times New Roman" w:cs="Times New Roman"/>
          <w:sz w:val="20"/>
          <w:szCs w:val="20"/>
          <w:lang w:val="es-ES" w:eastAsia="es-ES"/>
        </w:rPr>
        <w:t>La persona servidora pública que se separe del servicio antes de cumplir 65 años de edad y haya cubierto cuotas al Instituto por un mínimo de 17 años, podrá reservarse el derecho a que se le otorgue la pensión de retiro por edad y tiempo de servicios que le corresponda al cumplir los 65 años de edad.</w:t>
      </w:r>
    </w:p>
    <w:p w:rsidR="001634B4" w:rsidRPr="001634B4" w:rsidRDefault="001634B4" w:rsidP="001634B4">
      <w:pPr>
        <w:spacing w:after="0" w:line="240" w:lineRule="auto"/>
        <w:ind w:right="-2"/>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w:t>
      </w:r>
    </w:p>
    <w:p w:rsidR="001634B4" w:rsidRPr="001634B4" w:rsidRDefault="001634B4" w:rsidP="001634B4">
      <w:pPr>
        <w:spacing w:after="0" w:line="240" w:lineRule="auto"/>
        <w:ind w:right="-2"/>
        <w:jc w:val="both"/>
        <w:rPr>
          <w:rFonts w:ascii="Times New Roman" w:eastAsia="Times New Roman" w:hAnsi="Times New Roman" w:cs="Times New Roman"/>
          <w:sz w:val="16"/>
          <w:szCs w:val="16"/>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bCs/>
          <w:sz w:val="20"/>
          <w:szCs w:val="20"/>
          <w:lang w:val="es-ES" w:eastAsia="es-ES"/>
        </w:rPr>
        <w:t xml:space="preserve">ARTÍCULO 100.- </w:t>
      </w:r>
      <w:r w:rsidRPr="001634B4">
        <w:rPr>
          <w:rFonts w:ascii="Times New Roman" w:eastAsia="Times New Roman" w:hAnsi="Times New Roman" w:cs="Times New Roman"/>
          <w:sz w:val="20"/>
          <w:szCs w:val="20"/>
          <w:lang w:val="es-ES" w:eastAsia="es-ES"/>
        </w:rPr>
        <w:t>La pensión por retiro en edad avanzada se otorgará a la persona servidora pública que se separe del servicio por cualquier causa, habiendo cumplido 70 años de edad y cotizado por un mínimo de 15 años al Instituto.</w:t>
      </w:r>
    </w:p>
    <w:p w:rsidR="001634B4" w:rsidRPr="001634B4" w:rsidRDefault="001634B4" w:rsidP="001634B4">
      <w:pPr>
        <w:spacing w:after="0" w:line="240" w:lineRule="auto"/>
        <w:ind w:right="-2"/>
        <w:jc w:val="both"/>
        <w:rPr>
          <w:rFonts w:ascii="Times New Roman" w:eastAsia="Times New Roman" w:hAnsi="Times New Roman" w:cs="Times New Roman"/>
          <w:b/>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val="es-ES" w:eastAsia="es-ES"/>
        </w:rPr>
        <w:t xml:space="preserve">ARTÍCULO TERCERO. Se adicionan </w:t>
      </w:r>
      <w:r w:rsidRPr="001634B4">
        <w:rPr>
          <w:rFonts w:ascii="Times New Roman" w:eastAsia="Times New Roman" w:hAnsi="Times New Roman" w:cs="Times New Roman"/>
          <w:sz w:val="20"/>
          <w:szCs w:val="20"/>
          <w:lang w:val="es-ES" w:eastAsia="es-ES"/>
        </w:rPr>
        <w:t>al artículo 5.3 una fracción XXXIX Ter; al Libro Quinto, Título Tercero, Capítulo Primero una Sección Novena denominada “De la Excepción de los Instrumentos Estatales de Control del Desarrollo Urbano” con sus artículos 5.53 Bis y 5.53 Ter y al Capítulo Segundo una Sección Cuarta denominada “De la Excepción de los Instrumentos Municipales de Control del Desarrollo Urbano” con su artículo 5.57 Bis recorriendo el actual 5.57 Bis para ser 5.57 Bis A, todos del Código Administrativo del Estado de México,</w:t>
      </w:r>
      <w:r w:rsidRPr="001634B4">
        <w:rPr>
          <w:rFonts w:ascii="Times New Roman" w:eastAsia="Times New Roman" w:hAnsi="Times New Roman" w:cs="Times New Roman"/>
          <w:sz w:val="20"/>
          <w:szCs w:val="20"/>
          <w:lang w:eastAsia="es-ES"/>
        </w:rPr>
        <w:t xml:space="preserve"> para quedar como sigue:</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lang w:eastAsia="es-ES"/>
        </w:rPr>
      </w:pPr>
    </w:p>
    <w:p w:rsidR="001634B4" w:rsidRPr="001634B4" w:rsidRDefault="001634B4" w:rsidP="001634B4">
      <w:pPr>
        <w:autoSpaceDE w:val="0"/>
        <w:autoSpaceDN w:val="0"/>
        <w:spacing w:after="0" w:line="240" w:lineRule="auto"/>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 xml:space="preserve">Artículo 5.3.- </w:t>
      </w:r>
      <w:r w:rsidRPr="001634B4">
        <w:rPr>
          <w:rFonts w:ascii="Times New Roman" w:eastAsia="Times New Roman" w:hAnsi="Times New Roman" w:cs="Times New Roman"/>
          <w:sz w:val="20"/>
          <w:szCs w:val="20"/>
          <w:lang w:val="es-ES" w:eastAsia="es-ES"/>
        </w:rPr>
        <w:t>…</w:t>
      </w:r>
    </w:p>
    <w:p w:rsidR="001634B4" w:rsidRPr="001634B4" w:rsidRDefault="001634B4" w:rsidP="001634B4">
      <w:pPr>
        <w:autoSpaceDE w:val="0"/>
        <w:autoSpaceDN w:val="0"/>
        <w:spacing w:after="0" w:line="240" w:lineRule="auto"/>
        <w:rPr>
          <w:rFonts w:ascii="Times New Roman" w:eastAsia="Times New Roman" w:hAnsi="Times New Roman" w:cs="Times New Roman"/>
          <w:b/>
          <w:sz w:val="20"/>
          <w:szCs w:val="20"/>
          <w:lang w:val="es-ES" w:eastAsia="es-ES"/>
        </w:rPr>
      </w:pPr>
    </w:p>
    <w:p w:rsidR="001634B4" w:rsidRPr="001634B4" w:rsidRDefault="001634B4" w:rsidP="001634B4">
      <w:pPr>
        <w:autoSpaceDE w:val="0"/>
        <w:autoSpaceDN w:val="0"/>
        <w:spacing w:after="0" w:line="240" w:lineRule="auto"/>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I. </w:t>
      </w:r>
      <w:r w:rsidRPr="001634B4">
        <w:rPr>
          <w:rFonts w:ascii="Times New Roman" w:eastAsia="Times New Roman" w:hAnsi="Times New Roman" w:cs="Times New Roman"/>
          <w:sz w:val="20"/>
          <w:szCs w:val="20"/>
          <w:lang w:val="es-ES" w:eastAsia="es-ES"/>
        </w:rPr>
        <w:t xml:space="preserve">a </w:t>
      </w:r>
      <w:r w:rsidRPr="001634B4">
        <w:rPr>
          <w:rFonts w:ascii="Times New Roman" w:eastAsia="Times New Roman" w:hAnsi="Times New Roman" w:cs="Times New Roman"/>
          <w:b/>
          <w:sz w:val="20"/>
          <w:szCs w:val="20"/>
          <w:lang w:val="es-ES" w:eastAsia="es-ES"/>
        </w:rPr>
        <w:t>XXXIX Bis.</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autoSpaceDE w:val="0"/>
        <w:autoSpaceDN w:val="0"/>
        <w:spacing w:after="0" w:line="240" w:lineRule="auto"/>
        <w:rPr>
          <w:rFonts w:ascii="Times New Roman" w:eastAsia="Times New Roman" w:hAnsi="Times New Roman" w:cs="Times New Roman"/>
          <w:sz w:val="20"/>
          <w:szCs w:val="20"/>
          <w:lang w:val="es-ES" w:eastAsia="es-ES"/>
        </w:rPr>
      </w:pPr>
    </w:p>
    <w:p w:rsidR="001634B4" w:rsidRPr="001634B4" w:rsidRDefault="001634B4" w:rsidP="001634B4">
      <w:pPr>
        <w:autoSpaceDE w:val="0"/>
        <w:autoSpaceDN w:val="0"/>
        <w:spacing w:after="0" w:line="240" w:lineRule="auto"/>
        <w:ind w:left="980" w:hanging="980"/>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b/>
          <w:sz w:val="20"/>
          <w:szCs w:val="20"/>
          <w:lang w:val="es-ES" w:eastAsia="es-ES"/>
        </w:rPr>
        <w:t xml:space="preserve">XXXIX Ter. </w:t>
      </w:r>
      <w:r w:rsidRPr="001634B4">
        <w:rPr>
          <w:rFonts w:ascii="Times New Roman" w:eastAsia="Times New Roman" w:hAnsi="Times New Roman" w:cs="Times New Roman"/>
          <w:sz w:val="20"/>
          <w:szCs w:val="20"/>
          <w:lang w:val="es-ES" w:eastAsia="es-ES"/>
        </w:rPr>
        <w:t>Programa de Vivienda Social Gubernamental: Al instrumento Público mediante el cual las instancias gubernamentales establecen acciones, actividades y asignan los recursos necesarios para garantizar el derecho humano a una vivienda adecuada para personas en condición de vulnerabilidad social, mediante el desarrollo de proyectos habitacionales.</w:t>
      </w:r>
    </w:p>
    <w:p w:rsidR="001634B4" w:rsidRPr="001634B4" w:rsidRDefault="001634B4" w:rsidP="001634B4">
      <w:pPr>
        <w:autoSpaceDE w:val="0"/>
        <w:autoSpaceDN w:val="0"/>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autoSpaceDE w:val="0"/>
        <w:autoSpaceDN w:val="0"/>
        <w:spacing w:after="0" w:line="240" w:lineRule="auto"/>
        <w:ind w:left="994"/>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Los programas de vivienda social pueden ser de índole federal y estatal.</w:t>
      </w:r>
    </w:p>
    <w:p w:rsidR="001634B4" w:rsidRPr="001634B4" w:rsidRDefault="001634B4" w:rsidP="001634B4">
      <w:pPr>
        <w:autoSpaceDE w:val="0"/>
        <w:autoSpaceDN w:val="0"/>
        <w:spacing w:after="0" w:line="240" w:lineRule="auto"/>
        <w:rPr>
          <w:rFonts w:ascii="Times New Roman" w:eastAsia="Times New Roman" w:hAnsi="Times New Roman" w:cs="Times New Roman"/>
          <w:b/>
          <w:sz w:val="20"/>
          <w:szCs w:val="20"/>
          <w:lang w:val="es-ES" w:eastAsia="es-ES"/>
        </w:rPr>
      </w:pPr>
    </w:p>
    <w:p w:rsidR="001634B4" w:rsidRPr="001634B4" w:rsidRDefault="001634B4" w:rsidP="001634B4">
      <w:pPr>
        <w:autoSpaceDE w:val="0"/>
        <w:autoSpaceDN w:val="0"/>
        <w:spacing w:after="0" w:line="240" w:lineRule="auto"/>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val="es-ES" w:eastAsia="es-ES"/>
        </w:rPr>
        <w:t>XL.</w:t>
      </w:r>
      <w:r w:rsidRPr="001634B4">
        <w:rPr>
          <w:rFonts w:ascii="Times New Roman" w:eastAsia="Times New Roman" w:hAnsi="Times New Roman" w:cs="Times New Roman"/>
          <w:sz w:val="20"/>
          <w:szCs w:val="20"/>
          <w:lang w:val="es-ES" w:eastAsia="es-ES"/>
        </w:rPr>
        <w:t xml:space="preserve"> a </w:t>
      </w:r>
      <w:r w:rsidRPr="001634B4">
        <w:rPr>
          <w:rFonts w:ascii="Times New Roman" w:eastAsia="Times New Roman" w:hAnsi="Times New Roman" w:cs="Times New Roman"/>
          <w:b/>
          <w:sz w:val="20"/>
          <w:szCs w:val="20"/>
          <w:lang w:val="es-ES" w:eastAsia="es-ES"/>
        </w:rPr>
        <w:t>LII.</w:t>
      </w:r>
      <w:r w:rsidRPr="001634B4">
        <w:rPr>
          <w:rFonts w:ascii="Times New Roman" w:eastAsia="Times New Roman" w:hAnsi="Times New Roman" w:cs="Times New Roman"/>
          <w:sz w:val="20"/>
          <w:szCs w:val="20"/>
          <w:lang w:val="es-ES" w:eastAsia="es-ES"/>
        </w:rPr>
        <w:t xml:space="preserve"> …</w:t>
      </w:r>
    </w:p>
    <w:p w:rsidR="001634B4" w:rsidRPr="001634B4" w:rsidRDefault="001634B4" w:rsidP="001634B4">
      <w:pPr>
        <w:spacing w:after="0" w:line="240" w:lineRule="auto"/>
        <w:ind w:right="150"/>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ind w:right="150"/>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SECCIÓN NOVENA</w:t>
      </w:r>
    </w:p>
    <w:p w:rsidR="001634B4" w:rsidRPr="001634B4" w:rsidRDefault="001634B4" w:rsidP="001634B4">
      <w:pPr>
        <w:spacing w:after="0" w:line="240" w:lineRule="auto"/>
        <w:ind w:right="150"/>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De la Excepción de los Instrumentos Estatales </w:t>
      </w:r>
    </w:p>
    <w:p w:rsidR="001634B4" w:rsidRPr="001634B4" w:rsidRDefault="001634B4" w:rsidP="001634B4">
      <w:pPr>
        <w:spacing w:after="0" w:line="240" w:lineRule="auto"/>
        <w:ind w:right="150"/>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lastRenderedPageBreak/>
        <w:t>de Control del Desarrollo Urbano</w:t>
      </w:r>
    </w:p>
    <w:p w:rsidR="001634B4" w:rsidRPr="001634B4" w:rsidRDefault="001634B4" w:rsidP="001634B4">
      <w:pPr>
        <w:spacing w:after="0" w:line="240" w:lineRule="auto"/>
        <w:ind w:right="150"/>
        <w:jc w:val="center"/>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ind w:right="15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Artículo 5.53 Bis.- </w:t>
      </w:r>
      <w:r w:rsidRPr="001634B4">
        <w:rPr>
          <w:rFonts w:ascii="Times New Roman" w:eastAsia="Times New Roman" w:hAnsi="Times New Roman" w:cs="Times New Roman"/>
          <w:sz w:val="20"/>
          <w:szCs w:val="20"/>
          <w:lang w:eastAsia="es-ES"/>
        </w:rPr>
        <w:t>Los desarrollos habitacionales que se inicien, o conjuntos urbanos o condominios que se incorporen de manera total o parcial a un Programa de Vivienda Social Gubernamental, estarán sujetos a las normas particulares siguientes:</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ind w:left="709" w:right="150" w:hanging="695"/>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Los desarrollos habitacionales que se inicien al amparo de un Programa de Vivienda Social Gubernamental, se exceptuarán del cumplimiento de las autorizaciones correspondientes y de las respectivas obligaciones administrativas de conjuntos urbanos y condominios, siempre que tal situación se encuentre establecida en los convenios o instrumentos de coordinación en los que el Estado sea parte.</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Los conjuntos urbanos y condominios que se incorporen de manera total o parcial, a un Programa de Vivienda Social Gubernamental, estarán exentos del cumplimiento de las autorizaciones correspondientes y de las respectivas obligaciones administrativas, en la proporción correspondiente del área que se integre al Programa.</w:t>
      </w:r>
    </w:p>
    <w:p w:rsidR="001634B4" w:rsidRPr="001634B4" w:rsidRDefault="001634B4" w:rsidP="001634B4">
      <w:pPr>
        <w:spacing w:after="0" w:line="240" w:lineRule="auto"/>
        <w:ind w:right="150"/>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III.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En caso de no existir un convenio o instrumento de coordinación que determine las excepciones, los proyectos estarán exentos de la autorización, tratándose de desarrollos habitacionales iniciales, y de dar cumplimiento a las autorizaciones y sus respectivas obligaciones administrativas en la parte proporcional, en los casos de conjuntos urbanos y condominios que se incorporen a un Programa de Vivienda Social Gubernamental; siempre y cuando, en ambos casos, los proyectos se localicen en la zona que defina la instancia gubernamental encargada de su desarrollo.</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ind w:right="150"/>
        <w:jc w:val="both"/>
        <w:rPr>
          <w:rFonts w:ascii="Times New Roman" w:eastAsia="Times New Roman" w:hAnsi="Times New Roman" w:cs="Times New Roman"/>
          <w:sz w:val="20"/>
          <w:szCs w:val="20"/>
          <w:highlight w:val="lightGray"/>
          <w:lang w:eastAsia="es-ES"/>
        </w:rPr>
      </w:pPr>
      <w:r w:rsidRPr="001634B4">
        <w:rPr>
          <w:rFonts w:ascii="Times New Roman" w:eastAsia="Times New Roman" w:hAnsi="Times New Roman" w:cs="Times New Roman"/>
          <w:b/>
          <w:sz w:val="20"/>
          <w:szCs w:val="20"/>
          <w:lang w:eastAsia="es-ES"/>
        </w:rPr>
        <w:t xml:space="preserve">Artículo 5.53 Ter.- </w:t>
      </w:r>
      <w:r w:rsidRPr="001634B4">
        <w:rPr>
          <w:rFonts w:ascii="Times New Roman" w:eastAsia="Times New Roman" w:hAnsi="Times New Roman" w:cs="Times New Roman"/>
          <w:sz w:val="20"/>
          <w:szCs w:val="20"/>
          <w:lang w:eastAsia="es-ES"/>
        </w:rPr>
        <w:t>Los proyectos provenientes de un Programa de Vivienda Social Gubernamental, que conforme a las disposiciones previstas en este Libro, no requieran la emisión de la autorización de conjunto urbano o de condominio, únicamente requerirán la presentación de los planos de lotificación que amparen el inicio, ejecución y conclusión del desarrollo habitacional, para efectos de protocolización e inscripción ante el Instituto de la Función Registral del Estado de México y demás trámites administrativos.</w:t>
      </w:r>
    </w:p>
    <w:p w:rsidR="001634B4" w:rsidRPr="001634B4" w:rsidRDefault="001634B4" w:rsidP="001634B4">
      <w:pPr>
        <w:spacing w:after="0" w:line="240" w:lineRule="auto"/>
        <w:ind w:right="150"/>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right="150"/>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SECCIÓN CUARTA</w:t>
      </w:r>
    </w:p>
    <w:p w:rsidR="001634B4" w:rsidRPr="001634B4" w:rsidRDefault="001634B4" w:rsidP="001634B4">
      <w:pPr>
        <w:spacing w:after="0" w:line="240" w:lineRule="auto"/>
        <w:ind w:right="150"/>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De la Excepción de los Instrumentos Municipales </w:t>
      </w:r>
    </w:p>
    <w:p w:rsidR="001634B4" w:rsidRPr="001634B4" w:rsidRDefault="001634B4" w:rsidP="001634B4">
      <w:pPr>
        <w:spacing w:after="0" w:line="240" w:lineRule="auto"/>
        <w:ind w:right="150"/>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de Control del Desarrollo Urbano</w:t>
      </w:r>
    </w:p>
    <w:p w:rsidR="001634B4" w:rsidRPr="001634B4" w:rsidRDefault="001634B4" w:rsidP="001634B4">
      <w:pPr>
        <w:spacing w:after="0" w:line="240" w:lineRule="auto"/>
        <w:ind w:right="150"/>
        <w:jc w:val="center"/>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right="150"/>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Artículo 5.57 Bis.- </w:t>
      </w:r>
      <w:r w:rsidRPr="001634B4">
        <w:rPr>
          <w:rFonts w:ascii="Times New Roman" w:eastAsia="Times New Roman" w:hAnsi="Times New Roman" w:cs="Times New Roman"/>
          <w:sz w:val="20"/>
          <w:szCs w:val="20"/>
          <w:lang w:eastAsia="es-ES"/>
        </w:rPr>
        <w:t>Los desarrollos habitacionales que se inicien, o conjuntos urbanos o condominios que se incorporen de manera total o parcial a un Programa de Vivienda Social Gubernamental, estarán sujetos a las normas particulares siguientes:</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Los desarrollos habitacionales que se inicien al amparo de un Programa de Vivienda Social Gubernamental, quedarán exceptuados de obtener Licencias de Uso del Suelo, Cambios de Uso del Suelo y Cédulas Informativas de Zonificación, siempre que se encuentre previamente establecido en los convenios o instrumentos de coordinación en los que el Estado sea parte.</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 xml:space="preserve">II.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Los conjuntos urbanos y condominios que se incorporen a un Programa de Vivienda Social Gubernamental de manera parcial o total, estarán exentos del cumplimiento de las autorizaciones correspondientes y de las respectivas obligaciones administrativas, en la proporción correspondiente al área que se integre al Programa.</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III.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En caso de no existir un convenio o instrumento de coordinación que determine las excepciones, los desarrollos habitacionales y conjuntos urbanos y condominios, estarán exentos de obtener autorizaciones y en su caso dar cumplimiento a las obligaciones administrativas en la parte proporcional que incorporen al programa, siempre y cuando los mismos se localicen en la zona que defina la instancia gubernamental encargada de su desarrollo.</w:t>
      </w:r>
    </w:p>
    <w:p w:rsidR="001634B4" w:rsidRPr="001634B4" w:rsidRDefault="001634B4" w:rsidP="001634B4">
      <w:pPr>
        <w:spacing w:after="0" w:line="240" w:lineRule="auto"/>
        <w:ind w:left="196" w:right="150" w:hanging="196"/>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196" w:right="150" w:hanging="196"/>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Artículo 5.57 Bis A.- </w:t>
      </w:r>
      <w:r w:rsidRPr="001634B4">
        <w:rPr>
          <w:rFonts w:ascii="Times New Roman" w:eastAsia="Times New Roman" w:hAnsi="Times New Roman" w:cs="Times New Roman"/>
          <w:sz w:val="20"/>
          <w:szCs w:val="20"/>
          <w:lang w:eastAsia="es-ES"/>
        </w:rPr>
        <w:t>En materia de resiliencia urbana, se observará lo siguiente:</w:t>
      </w:r>
    </w:p>
    <w:p w:rsidR="001634B4" w:rsidRPr="001634B4" w:rsidRDefault="001634B4" w:rsidP="001634B4">
      <w:pPr>
        <w:spacing w:after="0" w:line="240" w:lineRule="auto"/>
        <w:ind w:left="196" w:right="150" w:hanging="196"/>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I.</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t>Los planes de desarrollo urbano que integran el sistema estatal de planeación urbana, identificarán las zonas de riesgos para el asentamiento humano y, establecerán las regulaciones a que estarán sujetas.</w:t>
      </w:r>
    </w:p>
    <w:p w:rsidR="001634B4" w:rsidRPr="001634B4" w:rsidRDefault="001634B4" w:rsidP="001634B4">
      <w:pPr>
        <w:spacing w:after="0" w:line="240" w:lineRule="auto"/>
        <w:ind w:left="196" w:right="150" w:hanging="196"/>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lastRenderedPageBreak/>
        <w:t>II.</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t>Previo a la emisión de licencias, autorizaciones y permisos sobre la utilización y aprovechamiento del suelo en zonas de alto riesgo geológico e hidrometeorológico, se deberá de contar con el correspondiente estudio de prevención de riesgos en términos de la legislación aplicable.</w:t>
      </w:r>
    </w:p>
    <w:p w:rsidR="001634B4" w:rsidRPr="001634B4" w:rsidRDefault="001634B4" w:rsidP="001634B4">
      <w:pPr>
        <w:spacing w:after="0" w:line="240" w:lineRule="auto"/>
        <w:ind w:left="196" w:right="150" w:hanging="196"/>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III.</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t>En ningún caso, podrán asignarse usos o aprovechamientos para fines urbanos o para el asentamiento humano, en zonas de alto riesgo que no hubieran tomado medidas de mitigación previas.</w:t>
      </w:r>
    </w:p>
    <w:p w:rsidR="001634B4" w:rsidRPr="001634B4" w:rsidRDefault="001634B4" w:rsidP="001634B4">
      <w:pPr>
        <w:spacing w:after="0" w:line="240" w:lineRule="auto"/>
        <w:ind w:left="196" w:right="150" w:hanging="196"/>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IV.</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t>En las zonas de alto riesgo, estará prohibido realizar obras o edificaciones de carácter permanente.</w:t>
      </w:r>
    </w:p>
    <w:p w:rsidR="001634B4" w:rsidRPr="001634B4" w:rsidRDefault="001634B4" w:rsidP="001634B4">
      <w:pPr>
        <w:spacing w:after="0" w:line="240" w:lineRule="auto"/>
        <w:ind w:left="196" w:right="150" w:hanging="196"/>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V.</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t>Las zonas consideradas como no mitigables, serán clasificadas por los planes de desarrollo urbano como no urbanizables.</w:t>
      </w:r>
    </w:p>
    <w:p w:rsidR="001634B4" w:rsidRPr="001634B4" w:rsidRDefault="001634B4" w:rsidP="001634B4">
      <w:pPr>
        <w:spacing w:after="0" w:line="240" w:lineRule="auto"/>
        <w:ind w:left="196" w:right="150" w:hanging="196"/>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VI.</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t>Las autoridades estatales y municipales, en el ámbito de sus respectivas atribuciones y competencias, deberán asegurarse que en la expedición de autorizaciones de conjuntos urbanos, subdivisiones y lotificaciones para condominio, así como para el uso o aprovechamiento del suelo y de construcciones o edificaciones, se cumpla con las normas sobre prevención de riesgos y se tomen las medidas correspondientes.</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val="es-ES" w:eastAsia="es-ES"/>
        </w:rPr>
        <w:t>ARTÍCULO CUARTO. Se adicionan</w:t>
      </w:r>
      <w:r w:rsidRPr="001634B4">
        <w:rPr>
          <w:rFonts w:ascii="Times New Roman" w:eastAsia="Times New Roman" w:hAnsi="Times New Roman" w:cs="Times New Roman"/>
          <w:sz w:val="20"/>
          <w:szCs w:val="20"/>
          <w:lang w:val="es-ES" w:eastAsia="es-ES"/>
        </w:rPr>
        <w:t xml:space="preserve"> al artículo 2 una fracción VI Bis y un artículo 24 Bis ambos a la Ley de la Comisión de Impacto Estatal</w:t>
      </w:r>
      <w:r w:rsidRPr="001634B4">
        <w:rPr>
          <w:rFonts w:ascii="Times New Roman" w:eastAsia="Times New Roman" w:hAnsi="Times New Roman" w:cs="Times New Roman"/>
          <w:sz w:val="20"/>
          <w:szCs w:val="20"/>
          <w:lang w:eastAsia="es-ES"/>
        </w:rPr>
        <w:t>, para quedar como sigue:</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ind w:right="15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Artículo 2.-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right="15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 </w:t>
      </w:r>
      <w:r w:rsidRPr="001634B4">
        <w:rPr>
          <w:rFonts w:ascii="Times New Roman" w:eastAsia="Times New Roman" w:hAnsi="Times New Roman" w:cs="Times New Roman"/>
          <w:sz w:val="20"/>
          <w:szCs w:val="20"/>
          <w:lang w:eastAsia="es-ES"/>
        </w:rPr>
        <w:t>a</w:t>
      </w:r>
      <w:r w:rsidRPr="001634B4">
        <w:rPr>
          <w:rFonts w:ascii="Times New Roman" w:eastAsia="Times New Roman" w:hAnsi="Times New Roman" w:cs="Times New Roman"/>
          <w:b/>
          <w:sz w:val="20"/>
          <w:szCs w:val="20"/>
          <w:lang w:eastAsia="es-ES"/>
        </w:rPr>
        <w:t xml:space="preserve"> VI.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ind w:left="672" w:right="150" w:hanging="67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VI Bis. </w:t>
      </w:r>
      <w:r w:rsidRPr="001634B4">
        <w:rPr>
          <w:rFonts w:ascii="Times New Roman" w:eastAsia="Times New Roman" w:hAnsi="Times New Roman" w:cs="Times New Roman"/>
          <w:sz w:val="20"/>
          <w:szCs w:val="20"/>
          <w:lang w:eastAsia="es-ES"/>
        </w:rPr>
        <w:t>Programa de Vivienda Social Gubernamental: Al instrumento Público mediante el cual las instancias gubernamentales establecen acciones, actividades y asignan los recursos necesarios para garantizar el derecho humano a una vivienda adecuada para personas en condición de vulnerabilidad social, mediante el desarrollo de proyectos habitacionales.</w:t>
      </w:r>
    </w:p>
    <w:p w:rsidR="001634B4" w:rsidRPr="001634B4" w:rsidRDefault="001634B4" w:rsidP="001634B4">
      <w:pPr>
        <w:spacing w:after="0" w:line="240" w:lineRule="auto"/>
        <w:ind w:right="150"/>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658" w:right="150" w:hanging="14"/>
        <w:jc w:val="both"/>
        <w:rPr>
          <w:rFonts w:ascii="Times New Roman" w:eastAsia="Times New Roman" w:hAnsi="Times New Roman" w:cs="Times New Roman"/>
          <w:sz w:val="20"/>
          <w:szCs w:val="20"/>
          <w:highlight w:val="lightGray"/>
          <w:lang w:eastAsia="es-ES"/>
        </w:rPr>
      </w:pPr>
      <w:r w:rsidRPr="001634B4">
        <w:rPr>
          <w:rFonts w:ascii="Times New Roman" w:eastAsia="Times New Roman" w:hAnsi="Times New Roman" w:cs="Times New Roman"/>
          <w:sz w:val="20"/>
          <w:szCs w:val="20"/>
          <w:lang w:eastAsia="es-ES"/>
        </w:rPr>
        <w:t>Los programas de vivienda social pueden ser de índole federal y estatal.</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lightGray"/>
          <w:lang w:eastAsia="es-ES"/>
        </w:rPr>
      </w:pPr>
    </w:p>
    <w:p w:rsidR="001634B4" w:rsidRPr="001634B4" w:rsidRDefault="001634B4" w:rsidP="001634B4">
      <w:pPr>
        <w:spacing w:after="0" w:line="240" w:lineRule="auto"/>
        <w:ind w:right="15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VII. </w:t>
      </w:r>
      <w:r w:rsidRPr="001634B4">
        <w:rPr>
          <w:rFonts w:ascii="Times New Roman" w:eastAsia="Times New Roman" w:hAnsi="Times New Roman" w:cs="Times New Roman"/>
          <w:sz w:val="20"/>
          <w:szCs w:val="20"/>
          <w:lang w:eastAsia="es-ES"/>
        </w:rPr>
        <w:t xml:space="preserve">a </w:t>
      </w:r>
      <w:r w:rsidRPr="001634B4">
        <w:rPr>
          <w:rFonts w:ascii="Times New Roman" w:eastAsia="Times New Roman" w:hAnsi="Times New Roman" w:cs="Times New Roman"/>
          <w:b/>
          <w:sz w:val="20"/>
          <w:szCs w:val="20"/>
          <w:lang w:eastAsia="es-ES"/>
        </w:rPr>
        <w:t xml:space="preserve">XII. </w:t>
      </w:r>
      <w:r w:rsidRPr="001634B4">
        <w:rPr>
          <w:rFonts w:ascii="Times New Roman" w:eastAsia="Times New Roman" w:hAnsi="Times New Roman" w:cs="Times New Roman"/>
          <w:sz w:val="20"/>
          <w:szCs w:val="20"/>
          <w:lang w:eastAsia="es-ES"/>
        </w:rPr>
        <w:t>…</w:t>
      </w:r>
    </w:p>
    <w:p w:rsidR="001634B4" w:rsidRPr="001634B4" w:rsidRDefault="001634B4" w:rsidP="001634B4">
      <w:pPr>
        <w:spacing w:after="0" w:line="240" w:lineRule="auto"/>
        <w:ind w:right="150"/>
        <w:jc w:val="both"/>
        <w:rPr>
          <w:rFonts w:ascii="Times New Roman" w:eastAsia="Times New Roman" w:hAnsi="Times New Roman" w:cs="Times New Roman"/>
          <w:sz w:val="20"/>
          <w:szCs w:val="20"/>
          <w:highlight w:val="lightGray"/>
          <w:lang w:eastAsia="es-ES"/>
        </w:rPr>
      </w:pPr>
    </w:p>
    <w:p w:rsidR="001634B4" w:rsidRPr="001634B4" w:rsidRDefault="001634B4" w:rsidP="001634B4">
      <w:pPr>
        <w:spacing w:after="0" w:line="240" w:lineRule="auto"/>
        <w:ind w:right="150"/>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Artículo 24 Bis.- </w:t>
      </w:r>
      <w:r w:rsidRPr="001634B4">
        <w:rPr>
          <w:rFonts w:ascii="Times New Roman" w:eastAsia="Times New Roman" w:hAnsi="Times New Roman" w:cs="Times New Roman"/>
          <w:sz w:val="20"/>
          <w:szCs w:val="20"/>
          <w:lang w:eastAsia="es-ES"/>
        </w:rPr>
        <w:t>Los desarrollos urbanos habitacionales nuevos que se inicien, o conjuntos urbanos o condominios que se incorporen de manera total o parcial a un Programa de Vivienda Social Gubernamental, estarán sujetos a las normas particulares siguientes:</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lightGray"/>
          <w:lang w:eastAsia="es-ES"/>
        </w:rPr>
      </w:pPr>
    </w:p>
    <w:p w:rsidR="001634B4" w:rsidRPr="001634B4" w:rsidRDefault="001634B4" w:rsidP="00F068E2">
      <w:pPr>
        <w:numPr>
          <w:ilvl w:val="0"/>
          <w:numId w:val="130"/>
        </w:num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Los desarrollos habitacionales que se inicien al amparo del Programa de Vivienda Social Gubernamental se exceptuarán de la obtención de la Evaluación de Impacto Estatal, siempre que se encuentre previamente establecido en los convenios o instrumentos de coordinación en los que el Estado sea parte.</w:t>
      </w:r>
    </w:p>
    <w:p w:rsidR="001634B4" w:rsidRPr="001634B4" w:rsidRDefault="001634B4" w:rsidP="001634B4">
      <w:pPr>
        <w:spacing w:after="0" w:line="240" w:lineRule="auto"/>
        <w:ind w:right="150"/>
        <w:jc w:val="both"/>
        <w:rPr>
          <w:rFonts w:ascii="Times New Roman" w:eastAsia="Times New Roman" w:hAnsi="Times New Roman" w:cs="Times New Roman"/>
          <w:sz w:val="20"/>
          <w:szCs w:val="20"/>
          <w:highlight w:val="lightGray"/>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Los conjuntos urbanos y condominios que tengan como antecedente una Evaluación de Impacto Estatal y que se incorporen al programa de manera parcial o total, estarán exentos del cumplimiento de las autorizaciones correspondientes y de las respectivas obligaciones administrativas, en la proporción correspondiente al área que se integre al Programa.</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cyan"/>
          <w:lang w:eastAsia="es-ES"/>
        </w:rPr>
      </w:pPr>
    </w:p>
    <w:p w:rsidR="001634B4" w:rsidRPr="001634B4" w:rsidRDefault="001634B4" w:rsidP="001634B4">
      <w:pPr>
        <w:spacing w:after="0" w:line="240" w:lineRule="auto"/>
        <w:ind w:left="709" w:right="150" w:hanging="709"/>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III.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En caso de no existir un convenio o instrumento de coordinación que determine las excepciones correspondientes, los proyectos estarán exentos de la Evaluación de Impacto Estatal y en su caso, de dar cumplimiento a las autorizaciones y sus respectivas obligaciones administrativas en la proporción correspondiente al área que se integre al Programa, siempre y cuando los mismos se localicen en la zona que defina la instancia gubernamental encargada de su desarrollo.</w:t>
      </w:r>
    </w:p>
    <w:p w:rsidR="001634B4" w:rsidRPr="001634B4" w:rsidRDefault="001634B4" w:rsidP="001634B4">
      <w:pPr>
        <w:spacing w:after="0" w:line="240" w:lineRule="auto"/>
        <w:ind w:right="150"/>
        <w:jc w:val="both"/>
        <w:rPr>
          <w:rFonts w:ascii="Times New Roman" w:eastAsia="Times New Roman" w:hAnsi="Times New Roman" w:cs="Times New Roman"/>
          <w:b/>
          <w:sz w:val="20"/>
          <w:szCs w:val="20"/>
          <w:highlight w:val="cyan"/>
          <w:lang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ARTÍCULO QUINTO.</w:t>
      </w:r>
      <w:r w:rsidRPr="001634B4">
        <w:rPr>
          <w:rFonts w:ascii="Times New Roman" w:eastAsia="Times New Roman" w:hAnsi="Times New Roman" w:cs="Times New Roman"/>
          <w:sz w:val="20"/>
          <w:szCs w:val="20"/>
          <w:lang w:eastAsia="es-ES"/>
        </w:rPr>
        <w:t xml:space="preserve">- Se autoriza a los Municipios e Instituciones Públicas, así como a cualquier otro ente, obligado a retener y enterar cuotas y aportaciones de seguridad social al Instituto de Seguridad Social del Estado de México y Municipios (ISSEMyM), a suscribir con el Estado o con dicho Instituto, convenios de pago por la omisión en el entero de aportaciones y cuotas retenidas a los trabajadores, tanto ordinarias como extraordinarias. Para tal efecto, dichos convenios podrán formalizarse, de manera excepcional, sin sujeción a las formalidades previstas en los artículos 32 y 34 del Código Financiero del Estado de México y Municipios, debiendo observar, las condiciones que garanticen </w:t>
      </w:r>
      <w:r w:rsidRPr="001634B4">
        <w:rPr>
          <w:rFonts w:ascii="Times New Roman" w:eastAsia="Times New Roman" w:hAnsi="Times New Roman" w:cs="Times New Roman"/>
          <w:sz w:val="20"/>
          <w:szCs w:val="20"/>
          <w:lang w:eastAsia="es-ES"/>
        </w:rPr>
        <w:lastRenderedPageBreak/>
        <w:t>su validez, eficacia y seguridad jurídica, salvaguardando en todo momento, que cualquier formalidad, requisito o condición que se exceptúe, no genere menoscabo patrimonial, daño o perjuicio, o lesione al Instituto, su patrimonio o a la Hacienda Pública Estatal, quedando estrictamente prohibida cualquier disminución del monto principal del crédito fiscal actualizado.</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Los convenios que se suscriban en los términos del párrafo anterior, requerirán de la autorización del Consejo Directivo del ISSEMyM, así como del acuerdo de cabildo o del órgano de gobierno, según corresponda, conforme a lo previsto en la normativa aplicable.</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Se autoriza a los Municipios para que afecten, como fuente de pago y/o garantía de sus obligaciones derivadas de los convenios de compensación de adeudos con el propio Estado o con el ISSEMyM, el porcentaje necesario y suficiente del derecho a recibir y los flujos de recursos que procedan de las participaciones que en ingresos federales le correspondan al Municipio, del Fondo General de Participaciones a que se refiere el artículo 2 de la Ley de Coordinación Fiscal; y, en términos de lo dispuesto por el artículo 9 de la misma Ley de Coordinación Fiscal. El Estado, a través de la Secretaría de Finanzas, por cuenta y orden del Municipio, realizará el pago del monto que resulte necesario con cargo a las participaciones federales anteriormente señaladas.</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Los Municipios e Instituciones Públicas, deberán prever en sus respectivos presupuestos de egresos autorizados, en los ejercicios fiscales subsecuentes, las partidas presupuestales necesarias para el pago de los adeudos respectivos, según corresponda.</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Igualmente, se autoriza a aquellos Municipios e Instituciones Públicas que, teniendo un convenio vigente, se encuentren al corriente de sus pagos y quieran reestructurar el plazo y términos en que fue signado el instrumento convencional referido, de acuerdo a los lineamientos que al efecto se emitan.</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Las personas servidoras públicas facultadas para la suscripción de dichos convenios, deberán velar y salvaguardar los intereses patrimoniales del ISSEMyM y del Estado, y administrar los recursos públicos que estén bajo su responsabilidad, sujetándose a los principios de disciplina, legalidad, objetividad, profesionalismo, honradez, lealtad, imparcialidad, integridad, rendición de cuentas, eficacia y eficiencia que rigen el servicio público, así como desempeñarse con la diligencia que emplean en sus negocios propios, correspondiendo a la confianza conferida a su encargo, y serán responsables de los daños y perjuicios que se pudieran ocasionar, de las sanciones administrativas y de las indemnizaciones resarcitorias correspondientes, que resulten procedentes en términos de la Ley de Responsabilidades Administrativas del Estado de México y Municipios.</w:t>
      </w: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val="es-ES" w:eastAsia="es-ES"/>
        </w:rPr>
      </w:pPr>
      <w:r w:rsidRPr="001634B4">
        <w:rPr>
          <w:rFonts w:ascii="Times New Roman" w:eastAsia="Times New Roman" w:hAnsi="Times New Roman" w:cs="Times New Roman"/>
          <w:sz w:val="20"/>
          <w:szCs w:val="20"/>
          <w:lang w:val="es-ES" w:eastAsia="es-ES"/>
        </w:rPr>
        <w:t xml:space="preserve">El Órgano Interno de Control del ISSEMyM y el Órgano Superior de Fiscalización del Estado de México, deberán llevar a cabo auditorías específicas respecto de los términos, condiciones, ejecución, y cumplimiento de los convenios que se suscriban conforme a lo previsto en el presente artículo. </w:t>
      </w:r>
    </w:p>
    <w:p w:rsidR="001634B4" w:rsidRPr="001634B4" w:rsidRDefault="001634B4" w:rsidP="001634B4">
      <w:pPr>
        <w:spacing w:after="0" w:line="240" w:lineRule="auto"/>
        <w:ind w:right="150"/>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bCs/>
          <w:sz w:val="20"/>
          <w:szCs w:val="20"/>
          <w:lang w:eastAsia="es-ES"/>
        </w:rPr>
        <w:t>ARTÍCULO SEXTO</w:t>
      </w:r>
      <w:r w:rsidRPr="001634B4">
        <w:rPr>
          <w:rFonts w:ascii="Times New Roman" w:eastAsia="Times New Roman" w:hAnsi="Times New Roman" w:cs="Times New Roman"/>
          <w:sz w:val="20"/>
          <w:szCs w:val="20"/>
          <w:lang w:eastAsia="es-ES"/>
        </w:rPr>
        <w:t xml:space="preserve">.- La Consejería Jurídica, en conjunto con el Instituto de la Función Registral del Estado de México y las autoridades competentes, coordinará el desarrollo de programas de regularización de viviendas de interés social, social progresiva, popular y media, que se ejecutarán durante el Ejercicio Fiscal </w:t>
      </w:r>
      <w:r w:rsidRPr="001634B4">
        <w:rPr>
          <w:rFonts w:ascii="Times New Roman" w:eastAsia="Times New Roman" w:hAnsi="Times New Roman" w:cs="Times New Roman"/>
          <w:bCs/>
          <w:sz w:val="20"/>
          <w:szCs w:val="20"/>
          <w:lang w:eastAsia="es-ES"/>
        </w:rPr>
        <w:t>2026</w:t>
      </w:r>
      <w:r w:rsidRPr="001634B4">
        <w:rPr>
          <w:rFonts w:ascii="Times New Roman" w:eastAsia="Times New Roman" w:hAnsi="Times New Roman" w:cs="Times New Roman"/>
          <w:sz w:val="20"/>
          <w:szCs w:val="20"/>
          <w:lang w:eastAsia="es-ES"/>
        </w:rPr>
        <w:t xml:space="preserve">, a través de los Entes Públicos competentes para ello, que tengan como antecedente el fallecimiento, revocación o </w:t>
      </w:r>
      <w:r w:rsidRPr="001634B4">
        <w:rPr>
          <w:rFonts w:ascii="Times New Roman" w:eastAsia="Times New Roman" w:hAnsi="Times New Roman" w:cs="Times New Roman"/>
          <w:bCs/>
          <w:sz w:val="20"/>
          <w:szCs w:val="20"/>
          <w:lang w:eastAsia="es-ES"/>
        </w:rPr>
        <w:t xml:space="preserve">renuncia </w:t>
      </w:r>
      <w:r w:rsidRPr="001634B4">
        <w:rPr>
          <w:rFonts w:ascii="Times New Roman" w:eastAsia="Times New Roman" w:hAnsi="Times New Roman" w:cs="Times New Roman"/>
          <w:sz w:val="20"/>
          <w:szCs w:val="20"/>
          <w:lang w:eastAsia="es-ES"/>
        </w:rPr>
        <w:t xml:space="preserve">de las personas titulares de las Notarías del Estado de México, y que como consecuencia de dichos actos o hechos, no se hayan concluido los trámites correspondientes ante el Instituto de la Función Registral del Estado de México, </w:t>
      </w:r>
      <w:r w:rsidRPr="001634B4">
        <w:rPr>
          <w:rFonts w:ascii="Times New Roman" w:eastAsia="Times New Roman" w:hAnsi="Times New Roman" w:cs="Times New Roman"/>
          <w:bCs/>
          <w:sz w:val="20"/>
          <w:szCs w:val="20"/>
          <w:lang w:eastAsia="es-ES"/>
        </w:rPr>
        <w:t>incluidos los que, a causa de dichos antecedentes notariales, requieran que su regularización se realice a través de autoridades jurisdiccionales,</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bCs/>
          <w:sz w:val="20"/>
          <w:szCs w:val="20"/>
          <w:lang w:eastAsia="es-ES"/>
        </w:rPr>
        <w:t xml:space="preserve">conforme a lo </w:t>
      </w:r>
      <w:r w:rsidRPr="001634B4">
        <w:rPr>
          <w:rFonts w:ascii="Times New Roman" w:eastAsia="Times New Roman" w:hAnsi="Times New Roman" w:cs="Times New Roman"/>
          <w:sz w:val="20"/>
          <w:szCs w:val="20"/>
          <w:lang w:eastAsia="es-ES"/>
        </w:rPr>
        <w:t xml:space="preserve">establecido en las Reglas de Operación que al efecto elabore, emita y publique  en el Periódico Oficial “Gaceta del Gobierno” la </w:t>
      </w:r>
      <w:r w:rsidRPr="001634B4">
        <w:rPr>
          <w:rFonts w:ascii="Times New Roman" w:eastAsia="Times New Roman" w:hAnsi="Times New Roman" w:cs="Times New Roman"/>
          <w:bCs/>
          <w:sz w:val="20"/>
          <w:szCs w:val="20"/>
          <w:lang w:eastAsia="es-ES"/>
        </w:rPr>
        <w:t>Consejería Jurídica, en coordinación con las</w:t>
      </w:r>
      <w:r w:rsidRPr="001634B4">
        <w:rPr>
          <w:rFonts w:ascii="Times New Roman" w:eastAsia="Times New Roman" w:hAnsi="Times New Roman" w:cs="Times New Roman"/>
          <w:sz w:val="20"/>
          <w:szCs w:val="20"/>
          <w:lang w:eastAsia="es-ES"/>
        </w:rPr>
        <w:t xml:space="preserve"> autoridades competentes.</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val="es-ES" w:eastAsia="es-ES"/>
        </w:rPr>
      </w:pPr>
    </w:p>
    <w:p w:rsidR="001634B4" w:rsidRPr="001634B4" w:rsidRDefault="001634B4" w:rsidP="001634B4">
      <w:pPr>
        <w:spacing w:after="0" w:line="240" w:lineRule="auto"/>
        <w:ind w:right="-2"/>
        <w:jc w:val="center"/>
        <w:rPr>
          <w:rFonts w:ascii="Times New Roman" w:eastAsia="Times New Roman" w:hAnsi="Times New Roman" w:cs="Times New Roman"/>
          <w:b/>
          <w:sz w:val="20"/>
          <w:szCs w:val="20"/>
          <w:lang w:eastAsia="es-ES"/>
        </w:rPr>
      </w:pPr>
      <w:r w:rsidRPr="001634B4">
        <w:rPr>
          <w:rFonts w:ascii="Times New Roman" w:eastAsia="Times New Roman" w:hAnsi="Times New Roman" w:cs="Times New Roman"/>
          <w:b/>
          <w:sz w:val="20"/>
          <w:szCs w:val="20"/>
          <w:lang w:eastAsia="es-ES"/>
        </w:rPr>
        <w:t>TRANSITORIOS</w:t>
      </w:r>
    </w:p>
    <w:p w:rsidR="001634B4" w:rsidRPr="001634B4" w:rsidRDefault="001634B4" w:rsidP="001634B4">
      <w:pPr>
        <w:spacing w:after="0" w:line="240" w:lineRule="auto"/>
        <w:ind w:right="-2"/>
        <w:jc w:val="center"/>
        <w:rPr>
          <w:rFonts w:ascii="Times New Roman" w:eastAsia="Times New Roman" w:hAnsi="Times New Roman" w:cs="Times New Roman"/>
          <w:b/>
          <w:sz w:val="20"/>
          <w:szCs w:val="20"/>
          <w:lang w:eastAsia="es-ES"/>
        </w:rPr>
      </w:pPr>
    </w:p>
    <w:p w:rsidR="001634B4" w:rsidRPr="001634B4" w:rsidRDefault="001634B4" w:rsidP="001634B4">
      <w:pPr>
        <w:widowControl w:val="0"/>
        <w:spacing w:after="0" w:line="240" w:lineRule="auto"/>
        <w:ind w:left="1418" w:right="-2" w:hanging="1418"/>
        <w:jc w:val="both"/>
        <w:rPr>
          <w:rFonts w:ascii="Times New Roman" w:eastAsia="Times New Roman" w:hAnsi="Times New Roman" w:cs="Times New Roman"/>
          <w:b/>
          <w:sz w:val="20"/>
          <w:szCs w:val="20"/>
          <w:lang w:val="es-ES" w:eastAsia="es-ES"/>
        </w:rPr>
      </w:pPr>
      <w:r w:rsidRPr="001634B4">
        <w:rPr>
          <w:rFonts w:ascii="Times New Roman" w:eastAsia="Times New Roman" w:hAnsi="Times New Roman" w:cs="Times New Roman"/>
          <w:b/>
          <w:sz w:val="20"/>
          <w:szCs w:val="20"/>
          <w:lang w:eastAsia="es-ES"/>
        </w:rPr>
        <w:t>PRIMERO.</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val="es-ES" w:eastAsia="es-ES"/>
        </w:rPr>
        <w:t>Publíquese el presente Decreto en el Periódico Oficial “Gaceta del Gobierno”.</w:t>
      </w:r>
    </w:p>
    <w:p w:rsidR="001634B4" w:rsidRPr="001634B4" w:rsidRDefault="001634B4" w:rsidP="001634B4">
      <w:pPr>
        <w:widowControl w:val="0"/>
        <w:spacing w:after="0" w:line="240" w:lineRule="auto"/>
        <w:ind w:left="-35" w:right="-2"/>
        <w:jc w:val="both"/>
        <w:rPr>
          <w:rFonts w:ascii="Times New Roman" w:eastAsia="Times New Roman" w:hAnsi="Times New Roman" w:cs="Times New Roman"/>
          <w:b/>
          <w:sz w:val="20"/>
          <w:szCs w:val="20"/>
          <w:lang w:val="es-ES" w:eastAsia="es-ES"/>
        </w:rPr>
      </w:pPr>
    </w:p>
    <w:p w:rsidR="001634B4" w:rsidRPr="001634B4" w:rsidRDefault="001634B4" w:rsidP="001634B4">
      <w:pPr>
        <w:widowControl w:val="0"/>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val="es-ES" w:eastAsia="es-ES"/>
        </w:rPr>
        <w:t>SEGUNDO.</w:t>
      </w:r>
      <w:r w:rsidRPr="001634B4">
        <w:rPr>
          <w:rFonts w:ascii="Times New Roman" w:eastAsia="Times New Roman" w:hAnsi="Times New Roman" w:cs="Times New Roman"/>
          <w:b/>
          <w:sz w:val="20"/>
          <w:szCs w:val="20"/>
          <w:lang w:val="es-ES" w:eastAsia="es-ES"/>
        </w:rPr>
        <w:tab/>
      </w:r>
      <w:r w:rsidRPr="001634B4">
        <w:rPr>
          <w:rFonts w:ascii="Times New Roman" w:eastAsia="Times New Roman" w:hAnsi="Times New Roman" w:cs="Times New Roman"/>
          <w:sz w:val="20"/>
          <w:szCs w:val="20"/>
          <w:lang w:val="es-ES" w:eastAsia="es-ES"/>
        </w:rPr>
        <w:t>El presente Decreto entrará en vigor el 01 de enero de 2026.</w:t>
      </w:r>
    </w:p>
    <w:p w:rsidR="001634B4" w:rsidRPr="001634B4" w:rsidRDefault="001634B4" w:rsidP="001634B4">
      <w:pPr>
        <w:widowControl w:val="0"/>
        <w:spacing w:after="0" w:line="240" w:lineRule="auto"/>
        <w:ind w:right="-2"/>
        <w:jc w:val="both"/>
        <w:rPr>
          <w:rFonts w:ascii="Times New Roman" w:eastAsia="Times New Roman" w:hAnsi="Times New Roman" w:cs="Times New Roman"/>
          <w:sz w:val="20"/>
          <w:szCs w:val="20"/>
          <w:lang w:eastAsia="es-ES"/>
        </w:rPr>
      </w:pPr>
    </w:p>
    <w:p w:rsidR="001634B4" w:rsidRPr="001634B4" w:rsidRDefault="001634B4" w:rsidP="001634B4">
      <w:pPr>
        <w:widowControl w:val="0"/>
        <w:spacing w:after="0" w:line="240" w:lineRule="auto"/>
        <w:ind w:left="1418" w:right="-2" w:hanging="141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TERCERO.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Se derogan todas las disposiciones de igual o menor jerarquía que se opongan a lo dispuesto por este Decreto.</w:t>
      </w:r>
    </w:p>
    <w:p w:rsidR="001634B4" w:rsidRPr="001634B4" w:rsidRDefault="001634B4" w:rsidP="001634B4">
      <w:pPr>
        <w:widowControl w:val="0"/>
        <w:spacing w:after="0" w:line="240" w:lineRule="auto"/>
        <w:ind w:left="1418" w:right="-2" w:hanging="1418"/>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CUARTO.</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 xml:space="preserve">A efecto de respetar el principio de proporcionalidad tributaria establecido en el artículo 31 fracción IV de la Constitución Política de los Estados Unidos Mexicanos, aplicable a la determinación del </w:t>
      </w:r>
      <w:r w:rsidRPr="001634B4">
        <w:rPr>
          <w:rFonts w:ascii="Times New Roman" w:eastAsia="Times New Roman" w:hAnsi="Times New Roman" w:cs="Times New Roman"/>
          <w:sz w:val="20"/>
          <w:szCs w:val="20"/>
          <w:lang w:eastAsia="es-ES"/>
        </w:rPr>
        <w:lastRenderedPageBreak/>
        <w:t>Impuesto sobre Adquisición de Inmuebles y Otras Operaciones Traslativas de Dominio de Inmuebles, generado durante los Ejercicios Fiscales de 2021, 2022, 2023 y 2024, que no se haya declarado en el plazo legal establecido en el artículo 116 del Código Financiero del Estado de México y Municipios; la autoridad fiscal, para efectos de su cobro, aplicará la tarifa prevista en el artículo 115 del mismo Código, vigente para el Ejercicio Fiscal 2025. Lo anterior, siempre y cuando, no hayan caducado sus facultades para determinar dichos créditos fiscales, de conformidad con lo dispuesto por el artículo 53 del citado Código.</w:t>
      </w:r>
    </w:p>
    <w:p w:rsidR="001634B4" w:rsidRPr="001634B4" w:rsidRDefault="001634B4" w:rsidP="001634B4">
      <w:pPr>
        <w:spacing w:after="0" w:line="240" w:lineRule="auto"/>
        <w:ind w:left="1414" w:right="150" w:hanging="1414"/>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QUINTO.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Lo previsto en el Capítulo Quinto denominado “De las Aportaciones para la Mitigación del Impacto en la Infraestructura Vial Estatal” adicionado al Título Sexto del Código Financiero del Estado de México y Municipios, entrará en vigor a partir del 01 de abril del 2026.</w:t>
      </w: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28" w:right="-2" w:hanging="142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SEXTO.</w:t>
      </w:r>
      <w:r w:rsidRPr="001634B4">
        <w:rPr>
          <w:rFonts w:ascii="Times New Roman" w:eastAsia="Times New Roman" w:hAnsi="Times New Roman" w:cs="Times New Roman"/>
          <w:sz w:val="20"/>
          <w:szCs w:val="20"/>
          <w:lang w:eastAsia="es-ES"/>
        </w:rPr>
        <w:t xml:space="preserve"> </w:t>
      </w:r>
      <w:r w:rsidRPr="001634B4">
        <w:rPr>
          <w:rFonts w:ascii="Times New Roman" w:eastAsia="Times New Roman" w:hAnsi="Times New Roman" w:cs="Times New Roman"/>
          <w:sz w:val="20"/>
          <w:szCs w:val="20"/>
          <w:lang w:eastAsia="es-ES"/>
        </w:rPr>
        <w:tab/>
        <w:t xml:space="preserve">Los requisitos de edad para obtener alguna de las pensiones a que se refieren las modificaciones a los artículos 88, 91, 93 y 100 de la Ley de Seguridad Social para los Servidores Públicos del Estado de México y Municipios previstas en este Decreto, serán aplicables a las personas que reingresen al servicio público después de una separación del servicio de más de 6 meses 1 día, a partir de la vigencia del presente Decreto; por lo que no tendrán efectos retroactivos, en perjuicio de ninguna persona y se aplicarán respetando las expectativas de derecho de los servidores públicos, al momento de su entrada en vigor, de conformidad con las formalidades establecidas en las disposiciones legales aplicables. </w:t>
      </w:r>
    </w:p>
    <w:p w:rsidR="001634B4" w:rsidRPr="001634B4" w:rsidRDefault="001634B4" w:rsidP="001634B4">
      <w:pPr>
        <w:spacing w:after="0" w:line="240" w:lineRule="auto"/>
        <w:ind w:left="1428" w:right="150" w:hanging="1428"/>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SÉPTIMO.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Lo previsto en los ARTÍCULOS TERCERO Y CUARTO entrará en vigor con este Decreto, exceptuándose su aplicación, tratándose de conjuntos urbanos, condominios o proyectos habitacionales respecto de los cuales hayan celebrado convenios o instrumentos de coordinación en los que el Estado y los Municipios intervengan, en cuyo caso se aplicará a partir de la fecha de la suscripción respectiva, sin que ello implique aplicación retroactiva ni afectación a derechos adquiridos, de conformidad con la normativa aplicable.</w:t>
      </w: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ab/>
        <w:t xml:space="preserve">Se contará con un plazo de ciento veinte días hábiles a partir de la entrada en vigor de los ARTÍCULOS TERCERO Y CUARTO del presente Decreto, para que se emitan y/o adecuen las disposiciones administrativas aplicables, en el entendido, que para aquellos actos jurídicos derivados de convenios o instrumentos de coordinación ya celebrados en los que el Estado y los Municipios intervengan, se aplicarán las disposiciones de los Artículos referidos. </w:t>
      </w: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ab/>
        <w:t>Los Ayuntamientos en los términos de los convenios o instrumentos de coordinación que celebren, deberán realizar las modificaciones necesarias para considerar la reducción o exención del cumplimiento a los conjuntos urbanos, condominios o proyectos habitacionales de los siguientes requisitos:</w:t>
      </w: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p>
    <w:p w:rsidR="001634B4" w:rsidRPr="001634B4" w:rsidRDefault="001634B4" w:rsidP="00F068E2">
      <w:pPr>
        <w:numPr>
          <w:ilvl w:val="0"/>
          <w:numId w:val="132"/>
        </w:numPr>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Del número mínimo de cajones de estacionamiento.</w:t>
      </w:r>
    </w:p>
    <w:p w:rsidR="001634B4" w:rsidRPr="001634B4" w:rsidRDefault="001634B4" w:rsidP="00F068E2">
      <w:pPr>
        <w:numPr>
          <w:ilvl w:val="0"/>
          <w:numId w:val="132"/>
        </w:numPr>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Establecer unidades habitacionales con superficie mínima de 60 metros cuadrados.</w:t>
      </w:r>
    </w:p>
    <w:p w:rsidR="001634B4" w:rsidRPr="001634B4" w:rsidRDefault="001634B4" w:rsidP="00F068E2">
      <w:pPr>
        <w:numPr>
          <w:ilvl w:val="0"/>
          <w:numId w:val="132"/>
        </w:numPr>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Áreas de desplante no mayores al 60% de la superficie total del predio.</w:t>
      </w:r>
    </w:p>
    <w:p w:rsidR="001634B4" w:rsidRPr="001634B4" w:rsidRDefault="001634B4" w:rsidP="00F068E2">
      <w:pPr>
        <w:numPr>
          <w:ilvl w:val="0"/>
          <w:numId w:val="132"/>
        </w:numPr>
        <w:spacing w:after="0" w:line="240" w:lineRule="auto"/>
        <w:ind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Edificaciones de hasta 4 niveles y la incorporación de usos mixtos en las plantas bajas.</w:t>
      </w: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ab/>
        <w:t>Siempre y cuando, no se comprometa o generen riesgos o afectaciones en materia de protección civil o movilidad, de conformidad con la normativa aplicable.</w:t>
      </w: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ab/>
        <w:t>Las Dependencias e instancias competentes, establecerán los lineamientos generales necesarios para la ejecución en el Estado de los Programas de Vivienda Social Gubernamental, en su caso.</w:t>
      </w: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ab/>
        <w:t>La Consejería Jurídica establecerá los lineamientos para la participación de las personas notarias públicas del Estado de México en el desarrollo de Programas de Vivienda Social Gubernamental, para que, de forma gratuita, realicen los procedimientos de escrituración y regularización de los inmuebles previstos en el presente Artículo, debiendo determinar de forma equitativa y regionalizada la asignación de dichos procedimientos.</w:t>
      </w:r>
    </w:p>
    <w:p w:rsidR="001634B4" w:rsidRPr="001634B4" w:rsidRDefault="001634B4" w:rsidP="001634B4">
      <w:pPr>
        <w:spacing w:after="0" w:line="240" w:lineRule="auto"/>
        <w:ind w:left="1414" w:right="-2" w:hanging="1414"/>
        <w:jc w:val="both"/>
        <w:rPr>
          <w:rFonts w:ascii="Times New Roman" w:eastAsia="Times New Roman" w:hAnsi="Times New Roman" w:cs="Times New Roman"/>
          <w:b/>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OCTAVO.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 xml:space="preserve">La Consejería Jurídica, el Instituto de la Función Registral del Estado de México, la Secretaría de Finanzas y los Municipios, en el ámbito de sus respectivas competencias y según corresponda, </w:t>
      </w:r>
      <w:r w:rsidRPr="001634B4">
        <w:rPr>
          <w:rFonts w:ascii="Times New Roman" w:eastAsia="Times New Roman" w:hAnsi="Times New Roman" w:cs="Times New Roman"/>
          <w:sz w:val="20"/>
          <w:szCs w:val="20"/>
          <w:lang w:eastAsia="es-ES"/>
        </w:rPr>
        <w:lastRenderedPageBreak/>
        <w:t xml:space="preserve">proveerán lo necesario para dar cumplimiento a lo previsto en el ARTÍCULO </w:t>
      </w:r>
      <w:r w:rsidRPr="001634B4">
        <w:rPr>
          <w:rFonts w:ascii="Times New Roman" w:eastAsia="Times New Roman" w:hAnsi="Times New Roman" w:cs="Times New Roman"/>
          <w:bCs/>
          <w:sz w:val="20"/>
          <w:szCs w:val="20"/>
          <w:lang w:eastAsia="es-ES"/>
        </w:rPr>
        <w:t>SEXTO</w:t>
      </w:r>
      <w:r w:rsidRPr="001634B4">
        <w:rPr>
          <w:rFonts w:ascii="Times New Roman" w:eastAsia="Times New Roman" w:hAnsi="Times New Roman" w:cs="Times New Roman"/>
          <w:sz w:val="20"/>
          <w:szCs w:val="20"/>
          <w:lang w:eastAsia="es-ES"/>
        </w:rPr>
        <w:t xml:space="preserve"> del presente Decreto de acuerdo con lo señalado en las Reglas de Operación que al efecto se emitan.</w:t>
      </w:r>
    </w:p>
    <w:p w:rsidR="001634B4" w:rsidRPr="001634B4" w:rsidRDefault="001634B4" w:rsidP="001634B4">
      <w:pPr>
        <w:spacing w:after="0" w:line="240" w:lineRule="auto"/>
        <w:ind w:left="1428" w:right="-2" w:hanging="1428"/>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firstLine="2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 xml:space="preserve">Respecto de las operaciones de regularización previstas en los Programas establecidos en el ARTÍCULO </w:t>
      </w:r>
      <w:r w:rsidRPr="001634B4">
        <w:rPr>
          <w:rFonts w:ascii="Times New Roman" w:eastAsia="Times New Roman" w:hAnsi="Times New Roman" w:cs="Times New Roman"/>
          <w:bCs/>
          <w:sz w:val="20"/>
          <w:szCs w:val="20"/>
          <w:lang w:eastAsia="es-ES"/>
        </w:rPr>
        <w:t>SEXTO</w:t>
      </w:r>
      <w:r w:rsidRPr="001634B4">
        <w:rPr>
          <w:rFonts w:ascii="Times New Roman" w:eastAsia="Times New Roman" w:hAnsi="Times New Roman" w:cs="Times New Roman"/>
          <w:sz w:val="20"/>
          <w:szCs w:val="20"/>
          <w:lang w:eastAsia="es-ES"/>
        </w:rPr>
        <w:t xml:space="preserve"> de este Decreto, no se causará el pago del Impuesto sobre Adquisición de Inmuebles y otras Operaciones Traslativas de Dominio de Inmuebles previsto en la Sección Segunda del Capítulo Primero del Título Cuarto del Código Financiero del Estado de México y Municipios, ni el pago de derechos previstos en los artículos </w:t>
      </w:r>
      <w:r w:rsidRPr="001634B4">
        <w:rPr>
          <w:rFonts w:ascii="Times New Roman" w:eastAsia="Times New Roman" w:hAnsi="Times New Roman" w:cs="Times New Roman"/>
          <w:bCs/>
          <w:sz w:val="20"/>
          <w:szCs w:val="20"/>
          <w:lang w:eastAsia="es-ES"/>
        </w:rPr>
        <w:t>73 fracciones I, II y III,</w:t>
      </w:r>
      <w:r w:rsidRPr="001634B4">
        <w:rPr>
          <w:rFonts w:ascii="Times New Roman" w:eastAsia="Times New Roman" w:hAnsi="Times New Roman" w:cs="Times New Roman"/>
          <w:sz w:val="20"/>
          <w:szCs w:val="20"/>
          <w:lang w:eastAsia="es-ES"/>
        </w:rPr>
        <w:t xml:space="preserve"> 95</w:t>
      </w:r>
      <w:r w:rsidRPr="001634B4">
        <w:rPr>
          <w:rFonts w:ascii="Times New Roman" w:eastAsia="Times New Roman" w:hAnsi="Times New Roman" w:cs="Times New Roman"/>
          <w:bCs/>
          <w:sz w:val="20"/>
          <w:szCs w:val="20"/>
          <w:lang w:eastAsia="es-ES"/>
        </w:rPr>
        <w:t>, 100, 101</w:t>
      </w:r>
      <w:r w:rsidRPr="001634B4">
        <w:rPr>
          <w:rFonts w:ascii="Times New Roman" w:eastAsia="Times New Roman" w:hAnsi="Times New Roman" w:cs="Times New Roman"/>
          <w:sz w:val="20"/>
          <w:szCs w:val="20"/>
          <w:lang w:eastAsia="es-ES"/>
        </w:rPr>
        <w:t xml:space="preserve"> y 102 de dicho Código, así como aquellos que se generen por la actualización de certificaciones previstas en el cuarto párrafo del artículo 116 del Código citado, pudiéndose presentar dichas certificaciones vigentes al momento de la operación pendiente de inscribir o, en su caso, sólo se presentarán las que se determinen en los Programas respectivos, a efecto de poder beneficiar y apoyar a la población a la que van dirigidos.</w:t>
      </w:r>
    </w:p>
    <w:p w:rsidR="001634B4" w:rsidRPr="001634B4" w:rsidRDefault="001634B4" w:rsidP="001634B4">
      <w:pPr>
        <w:spacing w:after="0" w:line="240" w:lineRule="auto"/>
        <w:ind w:left="1414" w:right="-2" w:firstLine="28"/>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28" w:right="-2"/>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 xml:space="preserve">El Instituto Hacendario del Estado de México, en coordinación con la Consejería Jurídica, llevará a cabo acciones de capacitación y asesoría orientadas a promover el cumplimiento y adecuada implementación de los Programas de regularización a que se refiere el ARTÍCULO </w:t>
      </w:r>
      <w:r w:rsidRPr="001634B4">
        <w:rPr>
          <w:rFonts w:ascii="Times New Roman" w:eastAsia="Times New Roman" w:hAnsi="Times New Roman" w:cs="Times New Roman"/>
          <w:bCs/>
          <w:sz w:val="20"/>
          <w:szCs w:val="20"/>
          <w:lang w:eastAsia="es-ES"/>
        </w:rPr>
        <w:t>SEXTO</w:t>
      </w:r>
      <w:r w:rsidRPr="001634B4">
        <w:rPr>
          <w:rFonts w:ascii="Times New Roman" w:eastAsia="Times New Roman" w:hAnsi="Times New Roman" w:cs="Times New Roman"/>
          <w:sz w:val="20"/>
          <w:szCs w:val="20"/>
          <w:lang w:eastAsia="es-ES"/>
        </w:rPr>
        <w:t xml:space="preserve"> del presente Decreto.</w:t>
      </w:r>
    </w:p>
    <w:p w:rsidR="001634B4" w:rsidRPr="001634B4" w:rsidRDefault="001634B4" w:rsidP="001634B4">
      <w:pPr>
        <w:spacing w:after="0" w:line="240" w:lineRule="auto"/>
        <w:ind w:left="295" w:right="-2"/>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firstLine="28"/>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sz w:val="20"/>
          <w:szCs w:val="20"/>
          <w:lang w:eastAsia="es-ES"/>
        </w:rPr>
        <w:t xml:space="preserve">En caso de que las autoridades municipales actúen en contravención a lo establecido en el ARTÍCULO </w:t>
      </w:r>
      <w:r w:rsidRPr="001634B4">
        <w:rPr>
          <w:rFonts w:ascii="Times New Roman" w:eastAsia="Times New Roman" w:hAnsi="Times New Roman" w:cs="Times New Roman"/>
          <w:bCs/>
          <w:sz w:val="20"/>
          <w:szCs w:val="20"/>
          <w:lang w:eastAsia="es-ES"/>
        </w:rPr>
        <w:t>SEXTO</w:t>
      </w:r>
      <w:r w:rsidRPr="001634B4">
        <w:rPr>
          <w:rFonts w:ascii="Times New Roman" w:eastAsia="Times New Roman" w:hAnsi="Times New Roman" w:cs="Times New Roman"/>
          <w:sz w:val="20"/>
          <w:szCs w:val="20"/>
          <w:lang w:eastAsia="es-ES"/>
        </w:rPr>
        <w:t xml:space="preserve"> del presente Decreto u obstaculicen la ejecución de los Programas previstos en dicho artículo, la Consejería Jurídica podrá hacerlo del conocimiento de los órganos internos de control municipales o de la Contraloría del Poder Legislativo, según corresponda, para los efectos administrativos que resulten procedentes.</w:t>
      </w:r>
    </w:p>
    <w:p w:rsidR="001634B4" w:rsidRPr="001634B4" w:rsidRDefault="001634B4" w:rsidP="001634B4">
      <w:pPr>
        <w:spacing w:after="0" w:line="240" w:lineRule="auto"/>
        <w:ind w:right="-2"/>
        <w:jc w:val="both"/>
        <w:rPr>
          <w:rFonts w:ascii="Times New Roman" w:eastAsia="Times New Roman" w:hAnsi="Times New Roman" w:cs="Times New Roman"/>
          <w:sz w:val="20"/>
          <w:szCs w:val="20"/>
          <w:lang w:eastAsia="es-ES"/>
        </w:rPr>
      </w:pPr>
    </w:p>
    <w:p w:rsidR="001634B4" w:rsidRPr="001634B4" w:rsidRDefault="001634B4" w:rsidP="001634B4">
      <w:pPr>
        <w:spacing w:after="0" w:line="240" w:lineRule="auto"/>
        <w:ind w:left="1414" w:right="-2" w:hanging="1414"/>
        <w:jc w:val="both"/>
        <w:rPr>
          <w:rFonts w:ascii="Times New Roman" w:eastAsia="Times New Roman" w:hAnsi="Times New Roman" w:cs="Times New Roman"/>
          <w:sz w:val="20"/>
          <w:szCs w:val="20"/>
          <w:lang w:eastAsia="es-ES"/>
        </w:rPr>
      </w:pPr>
      <w:r w:rsidRPr="001634B4">
        <w:rPr>
          <w:rFonts w:ascii="Times New Roman" w:eastAsia="Times New Roman" w:hAnsi="Times New Roman" w:cs="Times New Roman"/>
          <w:b/>
          <w:sz w:val="20"/>
          <w:szCs w:val="20"/>
          <w:lang w:eastAsia="es-ES"/>
        </w:rPr>
        <w:t xml:space="preserve">NOVENO. </w:t>
      </w:r>
      <w:r w:rsidRPr="001634B4">
        <w:rPr>
          <w:rFonts w:ascii="Times New Roman" w:eastAsia="Times New Roman" w:hAnsi="Times New Roman" w:cs="Times New Roman"/>
          <w:b/>
          <w:sz w:val="20"/>
          <w:szCs w:val="20"/>
          <w:lang w:eastAsia="es-ES"/>
        </w:rPr>
        <w:tab/>
      </w:r>
      <w:r w:rsidRPr="001634B4">
        <w:rPr>
          <w:rFonts w:ascii="Times New Roman" w:eastAsia="Times New Roman" w:hAnsi="Times New Roman" w:cs="Times New Roman"/>
          <w:sz w:val="20"/>
          <w:szCs w:val="20"/>
          <w:lang w:eastAsia="es-ES"/>
        </w:rPr>
        <w:t>Se deja sin efectos lo dispuesto en el ARTÍCULO QUINTO del Decreto Número 225, publicado en el Periódico Oficial “Gaceta del Gobierno”, el 28 de diciembre de 2023, a partir de la entrada en vigor del presente Decreto.</w:t>
      </w:r>
    </w:p>
    <w:p w:rsidR="001634B4" w:rsidRPr="001634B4" w:rsidRDefault="001634B4" w:rsidP="001634B4">
      <w:pPr>
        <w:spacing w:after="0" w:line="240" w:lineRule="auto"/>
        <w:ind w:left="1414" w:right="-2" w:hanging="1414"/>
        <w:jc w:val="both"/>
        <w:rPr>
          <w:rFonts w:ascii="Times New Roman" w:eastAsia="Times New Roman" w:hAnsi="Times New Roman" w:cs="Times New Roman"/>
          <w:b/>
          <w:sz w:val="18"/>
          <w:szCs w:val="18"/>
          <w:lang w:eastAsia="es-ES"/>
        </w:rPr>
      </w:pPr>
    </w:p>
    <w:p w:rsidR="001634B4" w:rsidRPr="001634B4" w:rsidRDefault="001634B4" w:rsidP="001634B4">
      <w:pPr>
        <w:spacing w:after="0" w:line="240" w:lineRule="auto"/>
        <w:ind w:left="4536" w:right="-2"/>
        <w:jc w:val="both"/>
        <w:rPr>
          <w:rFonts w:ascii="Times New Roman" w:eastAsia="Arial Unicode MS" w:hAnsi="Times New Roman" w:cs="Times New Roman"/>
          <w:sz w:val="13"/>
          <w:szCs w:val="13"/>
          <w:u w:color="000000"/>
          <w:lang w:val="es-ES_tradnl" w:eastAsia="es-MX"/>
        </w:rPr>
      </w:pPr>
      <w:r w:rsidRPr="001634B4">
        <w:rPr>
          <w:rFonts w:ascii="Times New Roman" w:eastAsia="Times New Roman" w:hAnsi="Times New Roman" w:cs="Times New Roman"/>
          <w:sz w:val="13"/>
          <w:szCs w:val="13"/>
          <w:lang w:val="es-ES_tradnl" w:eastAsia="es-ES"/>
        </w:rPr>
        <w:t xml:space="preserve">HOJA DE FIRMA DE LA INICIATIVA DE DECRETO POR EL QUE SE </w:t>
      </w:r>
      <w:r w:rsidRPr="001634B4">
        <w:rPr>
          <w:rFonts w:ascii="Times New Roman" w:eastAsia="Times New Roman" w:hAnsi="Times New Roman" w:cs="Times New Roman"/>
          <w:sz w:val="13"/>
          <w:szCs w:val="13"/>
          <w:lang w:val="es-ES" w:eastAsia="es-ES"/>
        </w:rPr>
        <w:t>REFORMAN, ADICIONAN Y DEROGAN DIVERSAS DISPOSICIONES AL CÓDIGO FINANCIERO DEL ESTADO DE MÉXICO Y MUNICIPIOS Y OTROS ORDENAMIENTOS</w:t>
      </w:r>
      <w:r w:rsidRPr="001634B4">
        <w:rPr>
          <w:rFonts w:ascii="Times New Roman" w:eastAsia="Times New Roman" w:hAnsi="Times New Roman" w:cs="Times New Roman"/>
          <w:sz w:val="13"/>
          <w:szCs w:val="13"/>
          <w:lang w:val="es-ES_tradnl" w:eastAsia="es-ES"/>
        </w:rPr>
        <w:t>.</w:t>
      </w:r>
    </w:p>
    <w:p w:rsidR="001634B4" w:rsidRPr="001634B4" w:rsidRDefault="001634B4" w:rsidP="001634B4">
      <w:pPr>
        <w:spacing w:after="0" w:line="240" w:lineRule="auto"/>
        <w:ind w:right="-2"/>
        <w:jc w:val="both"/>
        <w:rPr>
          <w:rFonts w:ascii="Times New Roman" w:eastAsia="Arial Unicode MS" w:hAnsi="Times New Roman" w:cs="Times New Roman"/>
          <w:sz w:val="18"/>
          <w:szCs w:val="18"/>
          <w:u w:color="000000"/>
          <w:lang w:val="es-ES_tradnl" w:eastAsia="es-MX"/>
        </w:rPr>
      </w:pPr>
    </w:p>
    <w:p w:rsidR="001634B4" w:rsidRPr="001634B4" w:rsidRDefault="001634B4" w:rsidP="001634B4">
      <w:pPr>
        <w:spacing w:after="0" w:line="240" w:lineRule="auto"/>
        <w:ind w:right="-2"/>
        <w:jc w:val="both"/>
        <w:rPr>
          <w:rFonts w:ascii="Times New Roman" w:eastAsia="Arial Unicode MS" w:hAnsi="Times New Roman" w:cs="Times New Roman"/>
          <w:sz w:val="20"/>
          <w:szCs w:val="20"/>
          <w:u w:color="000000"/>
          <w:lang w:val="es-ES_tradnl" w:eastAsia="es-MX"/>
        </w:rPr>
      </w:pPr>
      <w:r w:rsidRPr="001634B4">
        <w:rPr>
          <w:rFonts w:ascii="Times New Roman" w:eastAsia="Arial Unicode MS" w:hAnsi="Times New Roman" w:cs="Times New Roman"/>
          <w:sz w:val="20"/>
          <w:szCs w:val="20"/>
          <w:u w:color="000000"/>
          <w:lang w:val="es-ES_tradnl" w:eastAsia="es-MX"/>
        </w:rPr>
        <w:t>Reitero a usted, la seguridad de mi atenta y distinguida consideración.</w:t>
      </w:r>
    </w:p>
    <w:p w:rsidR="001634B4" w:rsidRPr="001634B4" w:rsidRDefault="001634B4" w:rsidP="001634B4">
      <w:pPr>
        <w:spacing w:after="0" w:line="240" w:lineRule="auto"/>
        <w:ind w:right="-2"/>
        <w:jc w:val="center"/>
        <w:rPr>
          <w:rFonts w:ascii="Times New Roman" w:eastAsia="MS Mincho" w:hAnsi="Times New Roman" w:cs="Times New Roman"/>
          <w:b/>
          <w:sz w:val="20"/>
          <w:szCs w:val="20"/>
          <w:lang w:val="es-ES_tradnl" w:eastAsia="es-ES"/>
        </w:rPr>
      </w:pPr>
    </w:p>
    <w:p w:rsidR="001634B4" w:rsidRPr="001634B4" w:rsidRDefault="001634B4" w:rsidP="001634B4">
      <w:pPr>
        <w:spacing w:after="0" w:line="240" w:lineRule="auto"/>
        <w:ind w:right="-2"/>
        <w:jc w:val="center"/>
        <w:rPr>
          <w:rFonts w:ascii="Times New Roman" w:eastAsia="MS Mincho" w:hAnsi="Times New Roman" w:cs="Times New Roman"/>
          <w:b/>
          <w:sz w:val="20"/>
          <w:szCs w:val="20"/>
          <w:lang w:val="es-ES_tradnl" w:eastAsia="es-ES"/>
        </w:rPr>
      </w:pPr>
    </w:p>
    <w:p w:rsidR="001634B4" w:rsidRPr="001634B4" w:rsidRDefault="001634B4" w:rsidP="001634B4">
      <w:pPr>
        <w:spacing w:after="0" w:line="240" w:lineRule="auto"/>
        <w:ind w:right="-2"/>
        <w:jc w:val="both"/>
        <w:rPr>
          <w:rFonts w:ascii="Times New Roman" w:eastAsia="MS Mincho" w:hAnsi="Times New Roman" w:cs="Times New Roman"/>
          <w:sz w:val="20"/>
          <w:szCs w:val="20"/>
          <w:lang w:val="es-ES_tradnl" w:eastAsia="es-ES"/>
        </w:rPr>
      </w:pPr>
      <w:r w:rsidRPr="001634B4">
        <w:rPr>
          <w:rFonts w:ascii="Times New Roman" w:eastAsia="MS Mincho" w:hAnsi="Times New Roman" w:cs="Times New Roman"/>
          <w:sz w:val="20"/>
          <w:szCs w:val="20"/>
          <w:lang w:val="es-ES_tradnl" w:eastAsia="es-ES"/>
        </w:rPr>
        <w:t>Palacio del Poder Ejecutivo, en la Ciudad de Toluca de Lerdo, capital del Estado de México, a los 19 días del mes de noviembre del año 2025.</w:t>
      </w:r>
    </w:p>
    <w:p w:rsidR="001634B4" w:rsidRPr="001634B4" w:rsidRDefault="001634B4" w:rsidP="001634B4">
      <w:pPr>
        <w:spacing w:after="0" w:line="240" w:lineRule="auto"/>
        <w:ind w:right="-2"/>
        <w:jc w:val="center"/>
        <w:rPr>
          <w:rFonts w:ascii="Times New Roman" w:eastAsia="MS Mincho" w:hAnsi="Times New Roman" w:cs="Times New Roman"/>
          <w:b/>
          <w:sz w:val="20"/>
          <w:szCs w:val="20"/>
          <w:lang w:val="es-ES_tradnl" w:eastAsia="es-ES"/>
        </w:rPr>
      </w:pPr>
    </w:p>
    <w:p w:rsidR="001634B4" w:rsidRPr="001634B4" w:rsidRDefault="001634B4" w:rsidP="001634B4">
      <w:pPr>
        <w:spacing w:after="0" w:line="240" w:lineRule="auto"/>
        <w:ind w:right="-2"/>
        <w:jc w:val="center"/>
        <w:rPr>
          <w:rFonts w:ascii="Times New Roman" w:eastAsia="Calibri" w:hAnsi="Times New Roman" w:cs="Times New Roman"/>
          <w:b/>
          <w:sz w:val="20"/>
          <w:szCs w:val="20"/>
          <w:lang w:val="es-ES_tradnl" w:eastAsia="es-ES"/>
        </w:rPr>
      </w:pPr>
      <w:r w:rsidRPr="001634B4">
        <w:rPr>
          <w:rFonts w:ascii="Times New Roman" w:eastAsia="Calibri" w:hAnsi="Times New Roman" w:cs="Times New Roman"/>
          <w:b/>
          <w:sz w:val="20"/>
          <w:szCs w:val="20"/>
          <w:lang w:val="es-ES_tradnl" w:eastAsia="es-ES"/>
        </w:rPr>
        <w:t>La Gobernadora Constitucional</w:t>
      </w:r>
    </w:p>
    <w:p w:rsidR="001634B4" w:rsidRPr="001634B4" w:rsidRDefault="001634B4" w:rsidP="001634B4">
      <w:pPr>
        <w:spacing w:after="0" w:line="240" w:lineRule="auto"/>
        <w:ind w:right="-2"/>
        <w:jc w:val="center"/>
        <w:rPr>
          <w:rFonts w:ascii="Times New Roman" w:eastAsia="Calibri" w:hAnsi="Times New Roman" w:cs="Times New Roman"/>
          <w:b/>
          <w:sz w:val="20"/>
          <w:szCs w:val="20"/>
          <w:lang w:val="es-ES_tradnl" w:eastAsia="es-ES"/>
        </w:rPr>
      </w:pPr>
      <w:r w:rsidRPr="001634B4">
        <w:rPr>
          <w:rFonts w:ascii="Times New Roman" w:eastAsia="Calibri" w:hAnsi="Times New Roman" w:cs="Times New Roman"/>
          <w:b/>
          <w:sz w:val="20"/>
          <w:szCs w:val="20"/>
          <w:lang w:val="es-ES_tradnl" w:eastAsia="es-ES"/>
        </w:rPr>
        <w:t>del Estado de México</w:t>
      </w:r>
    </w:p>
    <w:p w:rsidR="001634B4" w:rsidRPr="001634B4" w:rsidRDefault="001634B4" w:rsidP="001634B4">
      <w:pPr>
        <w:spacing w:after="0" w:line="240" w:lineRule="auto"/>
        <w:ind w:right="-2"/>
        <w:jc w:val="center"/>
        <w:rPr>
          <w:rFonts w:ascii="Times New Roman" w:eastAsia="Calibri" w:hAnsi="Times New Roman" w:cs="Times New Roman"/>
          <w:b/>
          <w:sz w:val="20"/>
          <w:szCs w:val="20"/>
          <w:lang w:val="es-ES_tradnl" w:eastAsia="es-ES"/>
        </w:rPr>
      </w:pPr>
      <w:r w:rsidRPr="001634B4">
        <w:rPr>
          <w:rFonts w:ascii="Times New Roman" w:eastAsia="Calibri" w:hAnsi="Times New Roman" w:cs="Times New Roman"/>
          <w:b/>
          <w:sz w:val="20"/>
          <w:szCs w:val="20"/>
          <w:lang w:val="es-ES_tradnl" w:eastAsia="es-ES"/>
        </w:rPr>
        <w:t>Mtra. Delfina Gómez Álvarez</w:t>
      </w:r>
    </w:p>
    <w:p w:rsidR="001634B4" w:rsidRPr="001634B4" w:rsidRDefault="001634B4" w:rsidP="001634B4">
      <w:pPr>
        <w:widowControl w:val="0"/>
        <w:spacing w:after="0" w:line="240" w:lineRule="auto"/>
        <w:ind w:right="-2"/>
        <w:jc w:val="both"/>
        <w:rPr>
          <w:rFonts w:ascii="Times New Roman" w:eastAsia="Calibri" w:hAnsi="Times New Roman" w:cs="Times New Roman"/>
          <w:b/>
          <w:sz w:val="20"/>
          <w:szCs w:val="20"/>
          <w:lang w:val="es-ES_tradnl" w:eastAsia="es-ES"/>
        </w:rPr>
      </w:pPr>
    </w:p>
    <w:p w:rsidR="001634B4" w:rsidRPr="001634B4" w:rsidRDefault="001634B4" w:rsidP="001634B4">
      <w:pPr>
        <w:spacing w:after="0" w:line="240" w:lineRule="auto"/>
        <w:ind w:right="-2"/>
        <w:rPr>
          <w:rFonts w:ascii="Times New Roman" w:eastAsia="Calibri" w:hAnsi="Times New Roman" w:cs="Times New Roman"/>
          <w:b/>
          <w:bCs/>
          <w:sz w:val="20"/>
          <w:szCs w:val="20"/>
          <w:lang w:val="es-ES_tradnl" w:eastAsia="es-ES"/>
        </w:rPr>
      </w:pPr>
      <w:r w:rsidRPr="001634B4">
        <w:rPr>
          <w:rFonts w:ascii="Times New Roman" w:eastAsia="Calibri" w:hAnsi="Times New Roman" w:cs="Times New Roman"/>
          <w:b/>
          <w:bCs/>
          <w:sz w:val="20"/>
          <w:szCs w:val="20"/>
          <w:lang w:val="es-ES_tradnl" w:eastAsia="es-ES"/>
        </w:rPr>
        <w:t>*OFJ</w:t>
      </w:r>
    </w:p>
    <w:p w:rsidR="00F6257A" w:rsidRPr="009C5163" w:rsidRDefault="00F6257A" w:rsidP="00F6257A">
      <w:pPr>
        <w:spacing w:after="0" w:line="240" w:lineRule="auto"/>
        <w:jc w:val="center"/>
        <w:rPr>
          <w:rFonts w:ascii="Times New Roman" w:hAnsi="Times New Roman"/>
          <w:sz w:val="24"/>
          <w:szCs w:val="24"/>
        </w:rPr>
      </w:pPr>
    </w:p>
    <w:p w:rsidR="00F6257A" w:rsidRPr="009C5163" w:rsidRDefault="00F6257A" w:rsidP="00F6257A">
      <w:pPr>
        <w:spacing w:after="0" w:line="240" w:lineRule="auto"/>
        <w:jc w:val="center"/>
        <w:rPr>
          <w:rFonts w:ascii="Times New Roman" w:hAnsi="Times New Roman"/>
          <w:i/>
          <w:sz w:val="24"/>
          <w:szCs w:val="24"/>
        </w:rPr>
      </w:pPr>
      <w:r w:rsidRPr="009C5163">
        <w:rPr>
          <w:rFonts w:ascii="Times New Roman" w:hAnsi="Times New Roman"/>
          <w:i/>
          <w:sz w:val="24"/>
          <w:szCs w:val="24"/>
        </w:rPr>
        <w:t>(Fin del documento)</w:t>
      </w:r>
    </w:p>
    <w:p w:rsidR="00F6257A" w:rsidRPr="009C5163" w:rsidRDefault="00F6257A" w:rsidP="00F6257A">
      <w:pPr>
        <w:spacing w:after="0" w:line="240" w:lineRule="auto"/>
        <w:jc w:val="center"/>
        <w:rPr>
          <w:rFonts w:ascii="Times New Roman" w:hAnsi="Times New Roman"/>
          <w:sz w:val="24"/>
          <w:szCs w:val="24"/>
        </w:rPr>
      </w:pPr>
    </w:p>
    <w:p w:rsidR="001C32A9" w:rsidRPr="007A27A5" w:rsidRDefault="001C32A9" w:rsidP="00B54AF5">
      <w:pPr>
        <w:pStyle w:val="Sinespaciado"/>
        <w:rPr>
          <w:rFonts w:eastAsia="Times New Roman"/>
          <w:color w:val="000000" w:themeColor="text1"/>
          <w:lang w:eastAsia="es-MX"/>
        </w:rPr>
      </w:pPr>
      <w:r w:rsidRPr="009C5163">
        <w:rPr>
          <w:rFonts w:eastAsia="Times New Roman"/>
          <w:color w:val="000000" w:themeColor="text1"/>
          <w:lang w:eastAsia="es-MX"/>
        </w:rPr>
        <w:t xml:space="preserve">PRESIDENTA DIP. MARTHA AZUCENA CAMACHO REYNOSO. Gracias </w:t>
      </w:r>
      <w:r w:rsidR="00881C4A" w:rsidRPr="009C5163">
        <w:rPr>
          <w:rFonts w:eastAsia="Times New Roman"/>
          <w:color w:val="000000" w:themeColor="text1"/>
          <w:lang w:eastAsia="es-MX"/>
        </w:rPr>
        <w:t xml:space="preserve">Vicepresidenta </w:t>
      </w:r>
      <w:r w:rsidRPr="009C5163">
        <w:rPr>
          <w:rFonts w:eastAsia="Times New Roman"/>
          <w:color w:val="000000" w:themeColor="text1"/>
          <w:lang w:eastAsia="es-MX"/>
        </w:rPr>
        <w:t>Leticia Mejía García.</w:t>
      </w:r>
    </w:p>
    <w:p w:rsidR="001C32A9" w:rsidRPr="004856C4" w:rsidRDefault="001C32A9" w:rsidP="00015216">
      <w:pPr>
        <w:pStyle w:val="Sinespaciado"/>
        <w:ind w:firstLine="709"/>
        <w:rPr>
          <w:rFonts w:eastAsia="Times New Roman"/>
          <w:color w:val="000000" w:themeColor="text1"/>
          <w:lang w:eastAsia="es-MX"/>
        </w:rPr>
      </w:pPr>
      <w:r w:rsidRPr="007A27A5">
        <w:rPr>
          <w:rFonts w:eastAsia="Times New Roman"/>
          <w:color w:val="000000" w:themeColor="text1"/>
          <w:lang w:eastAsia="es-MX"/>
        </w:rPr>
        <w:t xml:space="preserve">Se registra la </w:t>
      </w:r>
      <w:r w:rsidR="00881C4A" w:rsidRPr="007A27A5">
        <w:rPr>
          <w:rFonts w:eastAsia="Times New Roman"/>
          <w:color w:val="000000" w:themeColor="text1"/>
          <w:lang w:eastAsia="es-MX"/>
        </w:rPr>
        <w:t xml:space="preserve">Iniciativa </w:t>
      </w:r>
      <w:r w:rsidRPr="007A27A5">
        <w:rPr>
          <w:rFonts w:eastAsia="Times New Roman"/>
          <w:color w:val="000000" w:themeColor="text1"/>
          <w:lang w:eastAsia="es-MX"/>
        </w:rPr>
        <w:t xml:space="preserve">Decreto y se remite a las Comisiones Legislativas de Planeación y </w:t>
      </w:r>
      <w:r w:rsidRPr="004856C4">
        <w:rPr>
          <w:rFonts w:eastAsia="Times New Roman"/>
          <w:color w:val="000000" w:themeColor="text1"/>
          <w:lang w:eastAsia="es-MX"/>
        </w:rPr>
        <w:t>Gasto Público y de Finanzas Públicas para su estudio y dictamen.</w:t>
      </w:r>
    </w:p>
    <w:p w:rsidR="001C32A9" w:rsidRPr="004856C4" w:rsidRDefault="001C32A9" w:rsidP="004856C4">
      <w:pPr>
        <w:pStyle w:val="Sinespaciado"/>
        <w:ind w:firstLine="709"/>
        <w:rPr>
          <w:rFonts w:eastAsia="Times New Roman"/>
          <w:color w:val="000000" w:themeColor="text1"/>
          <w:lang w:eastAsia="es-MX"/>
        </w:rPr>
      </w:pPr>
      <w:r w:rsidRPr="004856C4">
        <w:rPr>
          <w:rFonts w:eastAsia="Times New Roman"/>
          <w:color w:val="000000" w:themeColor="text1"/>
          <w:lang w:eastAsia="es-MX"/>
        </w:rPr>
        <w:t xml:space="preserve">Con sujeción al punto 5.5, el diputado Osvaldo Cortés Contreras leerá la </w:t>
      </w:r>
      <w:r w:rsidR="00881C4A" w:rsidRPr="004856C4">
        <w:rPr>
          <w:rFonts w:eastAsia="Times New Roman"/>
          <w:color w:val="000000" w:themeColor="text1"/>
          <w:lang w:eastAsia="es-MX"/>
        </w:rPr>
        <w:t xml:space="preserve">Iniciativa </w:t>
      </w:r>
      <w:r w:rsidRPr="004856C4">
        <w:rPr>
          <w:rFonts w:eastAsia="Times New Roman"/>
          <w:color w:val="000000" w:themeColor="text1"/>
          <w:lang w:eastAsia="es-MX"/>
        </w:rPr>
        <w:t xml:space="preserve">de </w:t>
      </w:r>
      <w:r w:rsidR="00881C4A" w:rsidRPr="004856C4">
        <w:rPr>
          <w:rFonts w:eastAsia="Times New Roman"/>
          <w:color w:val="000000" w:themeColor="text1"/>
          <w:lang w:eastAsia="es-MX"/>
        </w:rPr>
        <w:t xml:space="preserve">Decreto </w:t>
      </w:r>
      <w:r w:rsidRPr="004856C4">
        <w:rPr>
          <w:rFonts w:eastAsia="Times New Roman"/>
          <w:color w:val="000000" w:themeColor="text1"/>
          <w:lang w:eastAsia="es-MX"/>
        </w:rPr>
        <w:t xml:space="preserve">de autorización del Programa de Financiamiento FAIS Municipal. </w:t>
      </w:r>
    </w:p>
    <w:p w:rsidR="001C32A9" w:rsidRPr="004856C4" w:rsidRDefault="001C32A9" w:rsidP="00B54AF5">
      <w:pPr>
        <w:pStyle w:val="Sinespaciado"/>
        <w:rPr>
          <w:rFonts w:eastAsia="Times New Roman"/>
          <w:color w:val="000000" w:themeColor="text1"/>
          <w:lang w:eastAsia="es-MX"/>
        </w:rPr>
      </w:pPr>
      <w:r w:rsidRPr="004856C4">
        <w:rPr>
          <w:rFonts w:eastAsia="Times New Roman"/>
          <w:color w:val="000000" w:themeColor="text1"/>
          <w:lang w:eastAsia="es-MX"/>
        </w:rPr>
        <w:t>DIP. OSVALDO CORTÉS CONTRERAS. Con su venia presidenta.</w:t>
      </w:r>
    </w:p>
    <w:p w:rsidR="00213D97" w:rsidRPr="004856C4" w:rsidRDefault="00213D97" w:rsidP="00213D97">
      <w:pPr>
        <w:spacing w:after="0" w:line="240" w:lineRule="auto"/>
        <w:jc w:val="both"/>
        <w:rPr>
          <w:rFonts w:ascii="Times New Roman" w:eastAsia="Times New Roman" w:hAnsi="Times New Roman" w:cs="Times New Roman"/>
          <w:color w:val="000000" w:themeColor="text1"/>
          <w:sz w:val="24"/>
          <w:szCs w:val="24"/>
          <w:lang w:eastAsia="es-MX"/>
        </w:rPr>
      </w:pPr>
      <w:r w:rsidRPr="004856C4">
        <w:rPr>
          <w:rFonts w:ascii="Times New Roman" w:eastAsia="Times New Roman" w:hAnsi="Times New Roman" w:cs="Times New Roman"/>
          <w:color w:val="000000" w:themeColor="text1"/>
          <w:sz w:val="24"/>
          <w:szCs w:val="24"/>
          <w:lang w:eastAsia="es-MX"/>
        </w:rPr>
        <w:t xml:space="preserve">DIPUTADA MARTHA AZUCENA CAMACHO REYNOSO, </w:t>
      </w:r>
    </w:p>
    <w:p w:rsidR="00213D97" w:rsidRPr="004856C4" w:rsidRDefault="00213D97" w:rsidP="00213D97">
      <w:pPr>
        <w:spacing w:after="0" w:line="240" w:lineRule="auto"/>
        <w:jc w:val="both"/>
        <w:rPr>
          <w:rFonts w:ascii="Times New Roman" w:hAnsi="Times New Roman" w:cs="Times New Roman"/>
          <w:color w:val="000000" w:themeColor="text1"/>
          <w:sz w:val="24"/>
          <w:szCs w:val="24"/>
        </w:rPr>
      </w:pPr>
      <w:r w:rsidRPr="004856C4">
        <w:rPr>
          <w:rFonts w:ascii="Times New Roman" w:eastAsia="Times New Roman" w:hAnsi="Times New Roman" w:cs="Times New Roman"/>
          <w:color w:val="000000" w:themeColor="text1"/>
          <w:sz w:val="24"/>
          <w:szCs w:val="24"/>
          <w:lang w:eastAsia="es-MX"/>
        </w:rPr>
        <w:t>PRESIDENTE DE LA MESA DIRECTIVA DE LA LXII LEGISLATURA</w:t>
      </w:r>
    </w:p>
    <w:p w:rsidR="00213D97" w:rsidRPr="004856C4" w:rsidRDefault="00213D97" w:rsidP="00213D97">
      <w:pPr>
        <w:pStyle w:val="Sinespaciado"/>
        <w:rPr>
          <w:rFonts w:eastAsia="Times New Roman"/>
          <w:color w:val="000000" w:themeColor="text1"/>
          <w:lang w:eastAsia="es-MX"/>
        </w:rPr>
      </w:pPr>
      <w:r w:rsidRPr="004856C4">
        <w:rPr>
          <w:rFonts w:eastAsia="Times New Roman"/>
          <w:color w:val="000000" w:themeColor="text1"/>
          <w:lang w:eastAsia="es-MX"/>
        </w:rPr>
        <w:t>DEL ESTADO DE MÉXICO.</w:t>
      </w:r>
    </w:p>
    <w:p w:rsidR="00213D97" w:rsidRPr="004856C4" w:rsidRDefault="00213D97" w:rsidP="00213D97">
      <w:pPr>
        <w:pStyle w:val="Sinespaciado"/>
        <w:rPr>
          <w:rFonts w:eastAsia="Times New Roman"/>
          <w:color w:val="000000" w:themeColor="text1"/>
          <w:lang w:eastAsia="es-MX"/>
        </w:rPr>
      </w:pPr>
      <w:r w:rsidRPr="004856C4">
        <w:rPr>
          <w:rFonts w:eastAsia="Times New Roman"/>
          <w:color w:val="000000" w:themeColor="text1"/>
          <w:lang w:eastAsia="es-MX"/>
        </w:rPr>
        <w:lastRenderedPageBreak/>
        <w:t>PRESENTE.</w:t>
      </w:r>
    </w:p>
    <w:p w:rsidR="001C32A9" w:rsidRPr="007A27A5" w:rsidRDefault="001C32A9" w:rsidP="004856C4">
      <w:pPr>
        <w:pStyle w:val="Sinespaciado"/>
        <w:ind w:firstLine="709"/>
        <w:rPr>
          <w:rFonts w:eastAsia="Times New Roman"/>
          <w:color w:val="000000" w:themeColor="text1"/>
          <w:lang w:eastAsia="es-MX"/>
        </w:rPr>
      </w:pPr>
      <w:r w:rsidRPr="004856C4">
        <w:rPr>
          <w:rFonts w:eastAsia="Times New Roman"/>
          <w:color w:val="000000" w:themeColor="text1"/>
          <w:lang w:eastAsia="es-MX"/>
        </w:rPr>
        <w:t>Delfina Gómez Álvarez, Gobernadora</w:t>
      </w:r>
      <w:r w:rsidRPr="007A27A5">
        <w:rPr>
          <w:rFonts w:eastAsia="Times New Roman"/>
          <w:color w:val="000000" w:themeColor="text1"/>
          <w:lang w:eastAsia="es-MX"/>
        </w:rPr>
        <w:t xml:space="preserve"> Constitucional del Estado Libre y Soberano de México, en ejercicio de la facultad que me confiere en los artículos 51, fracción I y LXXVII, fracción V de la Constitución Política del Estado Libre y Soberano de México, se somete a la consideración de esta Legislatura por el digno conducto de usted</w:t>
      </w:r>
      <w:r w:rsidR="004856C4">
        <w:rPr>
          <w:rFonts w:eastAsia="Times New Roman"/>
          <w:color w:val="000000" w:themeColor="text1"/>
          <w:lang w:eastAsia="es-MX"/>
        </w:rPr>
        <w:t xml:space="preserve">, </w:t>
      </w:r>
      <w:r w:rsidRPr="007A27A5">
        <w:rPr>
          <w:rFonts w:eastAsia="Times New Roman"/>
          <w:color w:val="000000" w:themeColor="text1"/>
          <w:lang w:eastAsia="es-MX"/>
        </w:rPr>
        <w:t xml:space="preserve">Iniciativa de Decreto por el cual se autoriza a los Municipios del Estado de México para que gestionen y contraten de manera individual uno o varios financiamientos a tasa fija, hasta por el monto que para cada municipio se indica para el destino, plazos, términos, condiciones y características que en ese instrumento se establecen para que afecten como fuente de pago un porcentaje del derecho a recibir y los recursos que anual e individualmente le correspondan del Fondo de Aportaciones para la Infraestructura Social y Municipal y de las Demarcaciones Territoriales del Distrito Federal y para que celebren los contratos o los convenios necesarios para formalizar los mecanismos de pago de los financiamientos que individualmente contraten. </w:t>
      </w:r>
    </w:p>
    <w:p w:rsidR="001C32A9" w:rsidRPr="007A27A5" w:rsidRDefault="001C32A9" w:rsidP="004856C4">
      <w:pPr>
        <w:pStyle w:val="Sinespaciado"/>
        <w:ind w:firstLine="709"/>
        <w:rPr>
          <w:rFonts w:eastAsia="Times New Roman"/>
          <w:color w:val="000000" w:themeColor="text1"/>
          <w:lang w:eastAsia="es-MX"/>
        </w:rPr>
      </w:pPr>
      <w:r w:rsidRPr="007A27A5">
        <w:rPr>
          <w:rFonts w:eastAsia="Times New Roman"/>
          <w:color w:val="000000" w:themeColor="text1"/>
          <w:lang w:eastAsia="es-MX"/>
        </w:rPr>
        <w:t>Palacio del Poder Ejecutivo en la ciudad de Toluca de Lerdo, capital del Estado de México, a los diecinueve días del mes de noviembre del año dos mil veinticinco.</w:t>
      </w:r>
    </w:p>
    <w:p w:rsidR="004F0DB9" w:rsidRPr="006A150A" w:rsidRDefault="004F0DB9" w:rsidP="004F0DB9">
      <w:pPr>
        <w:pStyle w:val="Sinespaciado"/>
        <w:jc w:val="center"/>
        <w:rPr>
          <w:rFonts w:eastAsia="Times New Roman"/>
          <w:color w:val="000000" w:themeColor="text1"/>
          <w:lang w:eastAsia="es-MX"/>
        </w:rPr>
      </w:pPr>
      <w:r w:rsidRPr="007A27A5">
        <w:rPr>
          <w:rFonts w:eastAsia="Times New Roman"/>
          <w:color w:val="000000" w:themeColor="text1"/>
          <w:lang w:eastAsia="es-MX"/>
        </w:rPr>
        <w:t xml:space="preserve">GOBERNADORA </w:t>
      </w:r>
      <w:r w:rsidRPr="006A150A">
        <w:rPr>
          <w:rFonts w:eastAsia="Times New Roman"/>
          <w:color w:val="000000" w:themeColor="text1"/>
          <w:lang w:eastAsia="es-MX"/>
        </w:rPr>
        <w:t xml:space="preserve">CONSTITUCIONAL DEL ESTADO DE MÉXICO, </w:t>
      </w:r>
    </w:p>
    <w:p w:rsidR="004F0DB9" w:rsidRPr="006A150A" w:rsidRDefault="004F0DB9" w:rsidP="004F0DB9">
      <w:pPr>
        <w:pStyle w:val="Sinespaciado"/>
        <w:jc w:val="center"/>
        <w:rPr>
          <w:color w:val="000000" w:themeColor="text1"/>
        </w:rPr>
      </w:pPr>
      <w:r w:rsidRPr="006A150A">
        <w:rPr>
          <w:rFonts w:eastAsia="Times New Roman"/>
          <w:color w:val="000000" w:themeColor="text1"/>
          <w:lang w:eastAsia="es-MX"/>
        </w:rPr>
        <w:t xml:space="preserve">MAESTRA DELFINA GÓMEZ </w:t>
      </w:r>
      <w:r w:rsidRPr="006A150A">
        <w:rPr>
          <w:color w:val="000000" w:themeColor="text1"/>
        </w:rPr>
        <w:t>ÁLVAREZ</w:t>
      </w:r>
    </w:p>
    <w:p w:rsidR="001C32A9" w:rsidRPr="006A150A" w:rsidRDefault="004F0DB9" w:rsidP="00B54AF5">
      <w:pPr>
        <w:pStyle w:val="Sinespaciado"/>
        <w:rPr>
          <w:color w:val="000000" w:themeColor="text1"/>
        </w:rPr>
      </w:pPr>
      <w:r w:rsidRPr="006A150A">
        <w:rPr>
          <w:color w:val="000000" w:themeColor="text1"/>
        </w:rPr>
        <w:t>E</w:t>
      </w:r>
      <w:r w:rsidR="001C32A9" w:rsidRPr="006A150A">
        <w:rPr>
          <w:color w:val="000000" w:themeColor="text1"/>
        </w:rPr>
        <w:t xml:space="preserve">s cuanto, </w:t>
      </w:r>
      <w:r w:rsidRPr="006A150A">
        <w:rPr>
          <w:color w:val="000000" w:themeColor="text1"/>
        </w:rPr>
        <w:t>Presidenta</w:t>
      </w:r>
      <w:r w:rsidR="001C32A9" w:rsidRPr="006A150A">
        <w:rPr>
          <w:color w:val="000000" w:themeColor="text1"/>
        </w:rPr>
        <w:t xml:space="preserve">. </w:t>
      </w:r>
    </w:p>
    <w:p w:rsidR="00F6257A" w:rsidRPr="006A150A" w:rsidRDefault="00F6257A" w:rsidP="00F6257A">
      <w:pPr>
        <w:pStyle w:val="Sinespaciado"/>
      </w:pPr>
    </w:p>
    <w:p w:rsidR="00F6257A" w:rsidRPr="006A150A" w:rsidRDefault="00F6257A" w:rsidP="00F6257A">
      <w:pPr>
        <w:spacing w:after="0" w:line="240" w:lineRule="auto"/>
        <w:jc w:val="center"/>
        <w:rPr>
          <w:rFonts w:ascii="Times New Roman" w:hAnsi="Times New Roman"/>
          <w:i/>
          <w:sz w:val="24"/>
          <w:szCs w:val="24"/>
        </w:rPr>
      </w:pPr>
      <w:r w:rsidRPr="006A150A">
        <w:rPr>
          <w:rFonts w:ascii="Times New Roman" w:hAnsi="Times New Roman"/>
          <w:i/>
          <w:sz w:val="24"/>
          <w:szCs w:val="24"/>
        </w:rPr>
        <w:t>(Se inserta documento)</w:t>
      </w:r>
    </w:p>
    <w:p w:rsidR="00F6257A" w:rsidRPr="00736FF7" w:rsidRDefault="00F6257A" w:rsidP="00F6257A">
      <w:pPr>
        <w:spacing w:after="0" w:line="240" w:lineRule="auto"/>
        <w:jc w:val="center"/>
        <w:rPr>
          <w:rFonts w:ascii="Times New Roman" w:hAnsi="Times New Roman"/>
          <w:sz w:val="24"/>
          <w:szCs w:val="24"/>
        </w:rPr>
      </w:pPr>
    </w:p>
    <w:p w:rsidR="00736FF7" w:rsidRPr="00736FF7" w:rsidRDefault="00736FF7" w:rsidP="004C6A1D">
      <w:pPr>
        <w:widowControl w:val="0"/>
        <w:pBdr>
          <w:top w:val="nil"/>
          <w:left w:val="nil"/>
          <w:bottom w:val="nil"/>
          <w:right w:val="nil"/>
          <w:between w:val="nil"/>
        </w:pBdr>
        <w:spacing w:after="0" w:line="240" w:lineRule="auto"/>
        <w:jc w:val="right"/>
        <w:rPr>
          <w:rFonts w:ascii="Times New Roman" w:eastAsia="Arial" w:hAnsi="Times New Roman" w:cs="Times New Roman"/>
          <w:sz w:val="24"/>
          <w:szCs w:val="24"/>
          <w:lang w:eastAsia="es-ES"/>
        </w:rPr>
      </w:pPr>
      <w:r w:rsidRPr="00736FF7">
        <w:rPr>
          <w:rFonts w:ascii="Times New Roman" w:eastAsia="Calibri" w:hAnsi="Times New Roman" w:cs="Times New Roman"/>
          <w:noProof/>
          <w:sz w:val="24"/>
          <w:szCs w:val="24"/>
          <w:lang w:eastAsia="es-ES"/>
        </w:rPr>
        <mc:AlternateContent>
          <mc:Choice Requires="wps">
            <w:drawing>
              <wp:anchor distT="0" distB="0" distL="114300" distR="114300" simplePos="0" relativeHeight="251661312" behindDoc="0" locked="0" layoutInCell="1" allowOverlap="1" wp14:anchorId="77854C50" wp14:editId="4FCD7DFE">
                <wp:simplePos x="0" y="0"/>
                <wp:positionH relativeFrom="column">
                  <wp:posOffset>0</wp:posOffset>
                </wp:positionH>
                <wp:positionV relativeFrom="paragraph">
                  <wp:posOffset>0</wp:posOffset>
                </wp:positionV>
                <wp:extent cx="635000" cy="635000"/>
                <wp:effectExtent l="0" t="0" r="3175" b="3175"/>
                <wp:wrapNone/>
                <wp:docPr id="8" name="WordArt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6D2620B" id="_x0000_t202" coordsize="21600,21600" o:spt="202" path="m,l,21600r21600,l21600,xe">
                <v:stroke joinstyle="miter"/>
                <v:path gradientshapeok="t" o:connecttype="rect"/>
              </v:shapetype>
              <v:shape id="WordArt 4" o:spid="_x0000_s1026" type="#_x0000_t202"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" filled="f" stroked="f">
                <o:lock v:ext="edit" selection="t" text="t" shapetype="t"/>
              </v:shape>
            </w:pict>
          </mc:Fallback>
        </mc:AlternateContent>
      </w:r>
      <w:r w:rsidRPr="00736FF7">
        <w:rPr>
          <w:rFonts w:ascii="Times New Roman" w:eastAsia="Calibri" w:hAnsi="Times New Roman" w:cs="Times New Roman"/>
          <w:noProof/>
          <w:sz w:val="24"/>
          <w:szCs w:val="24"/>
          <w:lang w:eastAsia="es-ES"/>
        </w:rPr>
        <mc:AlternateContent>
          <mc:Choice Requires="wps">
            <w:drawing>
              <wp:anchor distT="0" distB="0" distL="114300" distR="114300" simplePos="0" relativeHeight="251662336" behindDoc="0" locked="0" layoutInCell="1" allowOverlap="1" wp14:anchorId="19674687" wp14:editId="2A0966EF">
                <wp:simplePos x="0" y="0"/>
                <wp:positionH relativeFrom="column">
                  <wp:posOffset>0</wp:posOffset>
                </wp:positionH>
                <wp:positionV relativeFrom="paragraph">
                  <wp:posOffset>0</wp:posOffset>
                </wp:positionV>
                <wp:extent cx="635000" cy="635000"/>
                <wp:effectExtent l="0" t="0" r="3175" b="3175"/>
                <wp:wrapNone/>
                <wp:docPr id="2" name="WordArt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B95D62" id="WordArt 3" o:spid="_x0000_s1026" type="#_x0000_t202"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" filled="f" stroked="f">
                <o:lock v:ext="edit" selection="t" text="t" shapetype="t"/>
              </v:shape>
            </w:pict>
          </mc:Fallback>
        </mc:AlternateContent>
      </w:r>
      <w:r w:rsidRPr="00736FF7">
        <w:rPr>
          <w:rFonts w:ascii="Times New Roman" w:eastAsia="Calibri" w:hAnsi="Times New Roman" w:cs="Times New Roman"/>
          <w:noProof/>
          <w:sz w:val="24"/>
          <w:szCs w:val="24"/>
          <w:lang w:eastAsia="es-ES"/>
        </w:rPr>
        <mc:AlternateContent>
          <mc:Choice Requires="wps">
            <w:drawing>
              <wp:anchor distT="0" distB="0" distL="114300" distR="114300" simplePos="0" relativeHeight="251663360" behindDoc="0" locked="0" layoutInCell="1" allowOverlap="1" wp14:anchorId="45BEBA03" wp14:editId="40F2E11A">
                <wp:simplePos x="0" y="0"/>
                <wp:positionH relativeFrom="column">
                  <wp:posOffset>0</wp:posOffset>
                </wp:positionH>
                <wp:positionV relativeFrom="paragraph">
                  <wp:posOffset>0</wp:posOffset>
                </wp:positionV>
                <wp:extent cx="635000" cy="635000"/>
                <wp:effectExtent l="0" t="0" r="3175" b="3175"/>
                <wp:wrapNone/>
                <wp:docPr id="9"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1F0BCF4" id="WordArt 2" o:spid="_x0000_s1026" type="#_x0000_t202"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" filled="f" stroked="f">
                <o:lock v:ext="edit" selection="t" text="t" shapetype="t"/>
              </v:shape>
            </w:pict>
          </mc:Fallback>
        </mc:AlternateContent>
      </w:r>
      <w:r w:rsidRPr="00736FF7">
        <w:rPr>
          <w:rFonts w:ascii="Times New Roman" w:eastAsia="Arial" w:hAnsi="Times New Roman" w:cs="Times New Roman"/>
          <w:sz w:val="24"/>
          <w:szCs w:val="24"/>
          <w:lang w:eastAsia="es-ES"/>
        </w:rPr>
        <w:t>Toluca de Lerdo, México,</w:t>
      </w:r>
    </w:p>
    <w:p w:rsidR="00736FF7" w:rsidRPr="00736FF7" w:rsidRDefault="00736FF7" w:rsidP="00736FF7">
      <w:pPr>
        <w:spacing w:after="0" w:line="240" w:lineRule="auto"/>
        <w:jc w:val="right"/>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a 19 de noviembre de 2025.</w:t>
      </w:r>
    </w:p>
    <w:p w:rsidR="00736FF7" w:rsidRPr="00736FF7" w:rsidRDefault="00736FF7" w:rsidP="00736FF7">
      <w:pPr>
        <w:spacing w:after="0" w:line="240" w:lineRule="auto"/>
        <w:jc w:val="right"/>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DIPUTADA</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MARTHA AZUCENA CAMACHO REYNOSO</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PRESIDENTA DE LA MESA DIRECTIVA</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DE LA H. “LXII” LEGISLATURA DEL ESTADO DE MÉXICO</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P R E S E N T E</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bookmarkStart w:id="24" w:name="_heading=h.bal0cgjxko6u" w:colFirst="0" w:colLast="0"/>
      <w:bookmarkEnd w:id="24"/>
      <w:r w:rsidRPr="00736FF7">
        <w:rPr>
          <w:rFonts w:ascii="Times New Roman" w:eastAsia="Arial" w:hAnsi="Times New Roman" w:cs="Times New Roman"/>
          <w:b/>
          <w:bCs/>
          <w:sz w:val="24"/>
          <w:szCs w:val="24"/>
          <w:lang w:eastAsia="es-ES"/>
        </w:rPr>
        <w:t xml:space="preserve">DELFINA GÓMEZ ÁLVAREZ, Gobernadora Constitucional del Estado Libre y Soberano de México, </w:t>
      </w:r>
      <w:r w:rsidRPr="00736FF7">
        <w:rPr>
          <w:rFonts w:ascii="Times New Roman" w:eastAsia="Arial" w:hAnsi="Times New Roman" w:cs="Times New Roman"/>
          <w:sz w:val="24"/>
          <w:szCs w:val="24"/>
          <w:lang w:eastAsia="es-ES"/>
        </w:rPr>
        <w:t xml:space="preserve">en ejercicio de la facultad que me confieren los artículos 51 fracción I y 77 fracción V de la Constitución Política del Estado Libre y Soberano de México, se somete a la consideración de esa H. Legislatura, por el digno conducto de Usted, </w:t>
      </w:r>
      <w:r w:rsidRPr="00736FF7">
        <w:rPr>
          <w:rFonts w:ascii="Times New Roman" w:eastAsia="Arial" w:hAnsi="Times New Roman" w:cs="Times New Roman"/>
          <w:b/>
          <w:bCs/>
          <w:sz w:val="24"/>
          <w:szCs w:val="24"/>
          <w:lang w:eastAsia="es-ES"/>
        </w:rPr>
        <w:t>Iniciativa de Decreto por el cual se autoriza a los Municipios del Estado de México, para que, gestionen y contraten de manera individual, uno o varios financiamientos, a tasa fija, hasta por el monto que para cada Municipio se indica, para el destino, plazos, términos, condiciones y características que en este instrumento se establecen; para que afecten como fuente de pago, un porcentaje del derecho a recibir y los recursos que anual e individualmente les correspondan del Fondo de Aportaciones para la Infraestructura Social Municipal y de las Demarcaciones territoriales del Distrito Federal; y para que celebren los contratos o los convenios necesarios para formalizar los mecanismos de pago de los financiamientos que individualmente contraten</w:t>
      </w:r>
      <w:r w:rsidRPr="00736FF7">
        <w:rPr>
          <w:rFonts w:ascii="Times New Roman" w:eastAsia="Arial" w:hAnsi="Times New Roman" w:cs="Times New Roman"/>
          <w:sz w:val="24"/>
          <w:szCs w:val="24"/>
          <w:lang w:eastAsia="es-ES"/>
        </w:rPr>
        <w:t>, conforme a la siguiente:</w:t>
      </w:r>
    </w:p>
    <w:p w:rsidR="00736FF7" w:rsidRPr="00736FF7" w:rsidRDefault="00736FF7" w:rsidP="00736FF7">
      <w:pPr>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ES"/>
        </w:rPr>
      </w:pPr>
    </w:p>
    <w:p w:rsidR="00736FF7" w:rsidRPr="00736FF7" w:rsidRDefault="00736FF7" w:rsidP="00736FF7">
      <w:pPr>
        <w:spacing w:after="0" w:line="240" w:lineRule="auto"/>
        <w:jc w:val="center"/>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EXPOSICIÓN DE MOTIVOS</w:t>
      </w:r>
    </w:p>
    <w:p w:rsidR="00736FF7" w:rsidRPr="00736FF7" w:rsidRDefault="00736FF7" w:rsidP="00736FF7">
      <w:pPr>
        <w:pBdr>
          <w:top w:val="nil"/>
          <w:left w:val="nil"/>
          <w:bottom w:val="nil"/>
          <w:right w:val="nil"/>
          <w:between w:val="nil"/>
        </w:pBdr>
        <w:spacing w:after="0" w:line="240" w:lineRule="auto"/>
        <w:rPr>
          <w:rFonts w:ascii="Times New Roman" w:eastAsia="Arial" w:hAnsi="Times New Roman" w:cs="Times New Roman"/>
          <w:color w:val="000000"/>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El artículo 115 fracción III de la Constitución Política de los Estados Unidos Mexicanos, contempla que los municipios prestarán servicios públicos de su competencia, tales como suministro de agua </w:t>
      </w:r>
      <w:r w:rsidRPr="00736FF7">
        <w:rPr>
          <w:rFonts w:ascii="Times New Roman" w:eastAsia="Arial" w:hAnsi="Times New Roman" w:cs="Times New Roman"/>
          <w:sz w:val="24"/>
          <w:szCs w:val="24"/>
          <w:lang w:eastAsia="es-ES"/>
        </w:rPr>
        <w:lastRenderedPageBreak/>
        <w:t xml:space="preserve">potable, alumbrado público, seguridad pública, entre otros, por ello la administración pública municipal es la instancia de gobierno con mayor proximidad a la población.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No obstante la carencia de recursos suficientes en la mayoría de las ocasiones, limita la capacidad para realizar obras de infraestructura básica y la provisión de servicios públicos más eficientes, que ayuden a elevar la calidad de vida de la población; conscientes de que en la medida en que mejoran las condiciones materiales, hay crecimiento y se fomenta el desarrollo local.</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Por su parte, el artículo 117 fracción VIII de la Constitución Política de los Estados Unidos Mexicanos, faculta a los Estados y municipios para contratar las obligaciones o los empréstitos cuando se destinen a inversiones públicas productivas o a su refinanciamiento o reestructuración, siempre que se aseguren las mejores condiciones del mercado, conforme a las bases que establezcan las legislaturas locales; por los conceptos y hasta por los montos que las mismas aprueben. En tal sentido, las legislaturas locales, de conformidad con la normativa aplicable deberán autorizar los montos máximos para la contratación de dichos empréstitos, previo análisis de su destino, la capacidad de pago del contratante y, en su caso, el otorgamiento de garantías o el establecimiento de la fuente de pago para cubrir las obligaciones, por el voto de las dos terceras partes de las personas integrantes presentes.</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Con el propósito de mejorar las condiciones municipales en materia de desarrollo social, se reformó la Ley de Coordinación Fiscal, para establecer nuevas reglas para el ejercicio de las aportaciones federales, tal como el Fondo de Aportaciones para la Infraestructura Social (FAIS).</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En particular, el artículo 50 de dicha Ley, permite la afectación de hasta el 25% de los recursos de FAIS, para destinarlo como fuente de pago de las obligaciones contraídas por las entidades federativas y los municipios, cuyos recursos deben ser destinados exclusivamente al financiamiento de obras, acciones sociales básicas y a inversiones que beneficien directamente a sectores de su población que se encuentren en condiciones de rezago social y pobreza extrema, en los siguientes rubros: agua potable, alcantarillado, drenaje y letrinas, urbanización municipal, electrificación rural y de colonias pobres, infraestructura básica de salud, infraestructura básica educativa, caminos rurales, e infraestructura productiva rural, de conformidad con lo establecido en el artículo 33 de la citada ley.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Asimismo, en el artículo 50 de la referida Ley se establece la opción para que, en el caso de existir obligaciones pagaderas en dos o más ejercicios fiscales, cada año, podrá destinarse al servicio de estas, el monto que resulte mayor entre aplicar el porcentaje referido a los recursos correspondientes al año de que se trate, o a los recursos correspondientes al año en que las obligaciones hayan sido contratadas.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El Decreto de la reforma constitucional publicado en el Diario Oficial de la Federación el 26 de mayo de 2015, en materia de responsabilidad hacendaria, introdujo reglas claras sobre la contratación de obligaciones o empréstitos conforme a las bases que establezcan las legislaturas correspondientes, por los conceptos y hasta por los montos máximos que las mismas aprueben, por lo que, los entes públicos quedan obligados a informar de su ejercicio al rendir la cuenta pública.</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En relación con lo anterior, la Ley de Disciplina Financiera de las Entidades Federativas y los Municipios, establece los ejes rectores principales de disciplina financiera para asegurar el fortalecimiento de las finanzas públicas locales, mediante el establecimiento de reglas específicas de contratación de deuda, para garantizar la eficiencia operativa, lograr mejores condiciones en la </w:t>
      </w:r>
      <w:r w:rsidRPr="00736FF7">
        <w:rPr>
          <w:rFonts w:ascii="Times New Roman" w:eastAsia="Arial" w:hAnsi="Times New Roman" w:cs="Times New Roman"/>
          <w:sz w:val="24"/>
          <w:szCs w:val="24"/>
          <w:lang w:eastAsia="es-ES"/>
        </w:rPr>
        <w:lastRenderedPageBreak/>
        <w:t>contratación de financiamientos y obligaciones y salvaguardar los principios en materia de transparencia, presupuesto y responsabilidad hacendaria, bajo reglas y criterios prudenciales que aseguren una gestión equilibrada de sus finanzas públicas.</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bookmarkStart w:id="25" w:name="_heading=h.l1ps3gb3qppn" w:colFirst="0" w:colLast="0"/>
      <w:bookmarkEnd w:id="25"/>
      <w:r w:rsidRPr="00736FF7">
        <w:rPr>
          <w:rFonts w:ascii="Times New Roman" w:eastAsia="Arial" w:hAnsi="Times New Roman" w:cs="Times New Roman"/>
          <w:sz w:val="24"/>
          <w:szCs w:val="24"/>
          <w:lang w:eastAsia="es-ES"/>
        </w:rPr>
        <w:t xml:space="preserve">El 11 de octubre de 2016 se publicó en el Periódico Oficial “Gaceta de Gobierno”, la reforma al Código Financiero del Estado de México y sus Municipios, la cual incorporó disposiciones armónicas con la legislación federal y que resalta que se podrán otorgar autorizaciones globales de financiamiento, mediante las cuales, el Congreso Local puede aprobar la instrumentación de esquemas globales de financiamiento, que podrán ser promovidos por dos o más municipios, por sí o conjuntamente, y a través del Ejecutivo Estatal, o bien entre los propios municipios, según se prevé en el artículo 262 fracción VI de dicho ordenamiento. </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En tal sentido, previa aprobación del Congreso Local, los municipios del Estado se encuentran facultados para afectar como fuente de pago un porcentaje del derecho a recibir y los ingresos que individualmente les correspondan del FAIS, lo cual se podrá formalizar, ya sea con la celebración de contratos de mandato especial irrevocable para actos de dominio o bien con la formalización de los convenios necesarios para adherirse al Fideicomiso Irrevocable de Administración y Pago, identificado administrativamente con el número 796 y su Convenio Modificatorio y de Reexpresión Total del Contrato de Fideicomiso Irrevocable de Administración y Pago de fecha 22 de abril de 2022 (el Fideicomiso) o cualquier otro Fideicomiso, con el objeto de constituir el mecanismo de pago de los financiamientos que individualmente contraten y respecto de los cuales se hubieren afectado los recursos del FAIS como fuente de pago.</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El marco jurídico integral aplicable, tanto en la Constitución Política de los Estados Unidos Mexicanos, la Ley de Coordinación Fiscal, la Constitución Política del Estado Libre y Soberano de México, la Ley Orgánica Municipal del Estado de México y el Código Financiero del Estado de México y sus Municipios, facultan al Congreso Local a autorizar la afectación, como fuente de pago o garantía, entre otros, del derecho o los ingresos derivados de las aportaciones federales susceptibles de afectación, respecto a obligaciones que celebren los Entes Públicos, dentro de sus ámbitos de competencia, incluyendo la aprobación de los mecanismos legales para la instrumentación de dicha afectación. Esta autorización podrá realizarse a través de las Leyes de Ingresos, o bien, mediante autorizaciones específicas, que no podrán exceder el ejercicio fiscal siguiente.</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bookmarkStart w:id="26" w:name="_heading=h.b7koo8ekab4t" w:colFirst="0" w:colLast="0"/>
      <w:bookmarkEnd w:id="26"/>
      <w:r w:rsidRPr="00736FF7">
        <w:rPr>
          <w:rFonts w:ascii="Times New Roman" w:eastAsia="Arial" w:hAnsi="Times New Roman" w:cs="Times New Roman"/>
          <w:sz w:val="24"/>
          <w:szCs w:val="24"/>
          <w:lang w:eastAsia="es-ES"/>
        </w:rPr>
        <w:t>La Ley de Disciplina Financiera de las Entidades Federativas y los Municipios establece en sus artículos 1 y 2 fracción VIII que las Entidades Federativas y los Municipios administrarán sus recursos con base en los principios de legalidad, honestidad, eficacia, eficiencia, economía, racionalidad, austeridad, transparencia, control y rendición de cuentas por lo que en todo momento se observarán estos principios para asegurar una gestión responsable y sostenible de las finanzas públicas, lo que generará condiciones favorables para el crecimiento económico y el empleo.</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De acuerdo con datos del Consejo Nacional de Evaluación de la Política de Desarrollo Social, el Índice de Rezago Social</w:t>
      </w:r>
      <w:r w:rsidRPr="00736FF7">
        <w:rPr>
          <w:rFonts w:ascii="Times New Roman" w:eastAsia="Arial" w:hAnsi="Times New Roman" w:cs="Times New Roman"/>
          <w:i/>
          <w:iCs/>
          <w:sz w:val="24"/>
          <w:szCs w:val="24"/>
          <w:lang w:eastAsia="es-ES"/>
        </w:rPr>
        <w:t>,</w:t>
      </w:r>
      <w:r w:rsidRPr="00736FF7">
        <w:rPr>
          <w:rFonts w:ascii="Times New Roman" w:eastAsia="Arial" w:hAnsi="Times New Roman" w:cs="Times New Roman"/>
          <w:sz w:val="24"/>
          <w:szCs w:val="24"/>
          <w:lang w:eastAsia="es-ES"/>
        </w:rPr>
        <w:t xml:space="preserve"> sirve para identificar áreas territoriales con mayores carencias sociales, que permite a los gobiernos y las organizaciones priorizar políticas públicas y enfocar esfuerzos para mejorar la educación, la salud, la vivienda, así como los servicios básicos, la calidad, los espacios y activos en la misma. Dicho Índice permite ordenar a los municipios según el valor resultante de los niveles de rezago observado y se obtiene a nivel nacional, estatal y municipal. En tal sentido, el Estado de México ocupa la posición 17 en rezago social respecto a las demás entidades federativas. En 2020, 2 de los 125 municipios del Estado de México tuvieron un grado </w:t>
      </w:r>
      <w:r w:rsidRPr="00736FF7">
        <w:rPr>
          <w:rFonts w:ascii="Times New Roman" w:eastAsia="Arial" w:hAnsi="Times New Roman" w:cs="Times New Roman"/>
          <w:sz w:val="24"/>
          <w:szCs w:val="24"/>
          <w:lang w:eastAsia="es-ES"/>
        </w:rPr>
        <w:lastRenderedPageBreak/>
        <w:t>de rezago social alto, mientras que 13 registraron un grado medio, 42 presentaron grado de rezago social bajo y 68 muy bajo.</w:t>
      </w:r>
      <w:r w:rsidRPr="00736FF7">
        <w:rPr>
          <w:rFonts w:ascii="Times New Roman" w:eastAsia="Calibri" w:hAnsi="Times New Roman" w:cs="Times New Roman"/>
          <w:sz w:val="24"/>
          <w:szCs w:val="24"/>
          <w:vertAlign w:val="superscript"/>
          <w:lang w:eastAsia="es-ES"/>
        </w:rPr>
        <w:footnoteReference w:id="9"/>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No obstante que de acuerdo con los resultados del Informe Anual sobre la Situación de Pobreza y Rezago Social 2025</w:t>
      </w:r>
      <w:r w:rsidRPr="00736FF7">
        <w:rPr>
          <w:rFonts w:ascii="Times New Roman" w:eastAsia="Arial" w:hAnsi="Times New Roman" w:cs="Times New Roman"/>
          <w:i/>
          <w:iCs/>
          <w:sz w:val="24"/>
          <w:szCs w:val="24"/>
          <w:lang w:eastAsia="es-ES"/>
        </w:rPr>
        <w:t xml:space="preserve"> </w:t>
      </w:r>
      <w:r w:rsidRPr="00736FF7">
        <w:rPr>
          <w:rFonts w:ascii="Times New Roman" w:eastAsia="Arial" w:hAnsi="Times New Roman" w:cs="Times New Roman"/>
          <w:sz w:val="24"/>
          <w:szCs w:val="24"/>
          <w:lang w:eastAsia="es-ES"/>
        </w:rPr>
        <w:t>emitido por la Secretaría de Bienestar, el Estado de México se clasifica con grado de rezago social bajo, el 42.9% de los 17.25 millones de habitantes, vive en situación de pobreza; es decir, 7.4 millones de personas, aproximadamente. Asimismo, el 36.9% de la población (aproximadamente 6.4 millones de personas) se registra en situación de pobreza moderada, mientras que el 6.0% de la población se registra en situación de pobreza extrema (alrededor de 1.0 millones de personas).</w:t>
      </w:r>
      <w:r w:rsidRPr="00736FF7">
        <w:rPr>
          <w:rFonts w:ascii="Times New Roman" w:eastAsia="Calibri" w:hAnsi="Times New Roman" w:cs="Times New Roman"/>
          <w:sz w:val="24"/>
          <w:szCs w:val="24"/>
          <w:vertAlign w:val="superscript"/>
          <w:lang w:eastAsia="es-ES"/>
        </w:rPr>
        <w:footnoteReference w:id="10"/>
      </w:r>
      <w:r w:rsidRPr="00736FF7">
        <w:rPr>
          <w:rFonts w:ascii="Times New Roman" w:eastAsia="Arial" w:hAnsi="Times New Roman" w:cs="Times New Roman"/>
          <w:sz w:val="24"/>
          <w:szCs w:val="24"/>
          <w:lang w:eastAsia="es-ES"/>
        </w:rPr>
        <w:t xml:space="preserve"> Por otro lado, 2.8 millones de personas presentan rezago educativo, 7.6 millones de pobladores carecen de acceso a la salud y 1.6 millones carecen de servicios básicos de vivienda.</w:t>
      </w:r>
      <w:r w:rsidRPr="00736FF7">
        <w:rPr>
          <w:rFonts w:ascii="Times New Roman" w:eastAsia="Calibri" w:hAnsi="Times New Roman" w:cs="Times New Roman"/>
          <w:sz w:val="24"/>
          <w:szCs w:val="24"/>
          <w:vertAlign w:val="superscript"/>
          <w:lang w:eastAsia="es-ES"/>
        </w:rPr>
        <w:footnoteReference w:id="11"/>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Considerando que todos los municipios pueden acceder a financiamientos a través de la Banca Comercial o la Banca de Desarrollo y destinar los recursos a las obras, acciones y/o inversiones señaladas en el artículo 33 de la Ley de Coordinación Fiscal, cumpliendo con lo establecido en el artículo 2 fracción XXV de la Ley de Disciplina Financiera de las Entidades Federativas y los Municipios que define a la Inversión Pública Productiva, el alcance del potencial FAIS en todos los municipios del Estado se estima en 4,025 millones de pesos.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En razón de lo anterior, el 20 de diciembre de 2024, se publicó en el Periódico Oficial “Gaceta de Gobierno”, el Decreto Número 33 “Por el cual se autoriza a los Municipios del Estado de México, para que gestionen y contraten de manera individual uno o varios financiamientos, a tasa fija, hasta por el monto que para cada municipio se indica, para el destino, plazos, términos, condiciones y con las características que en éste se autorizan; para que afecten como fuente pago un porcentaje del derecho a recibir y los flujos de recursos que anual e individualmente les correspondan del Fondo de Aportaciones para la Infraestructura Social Municipal y de las Demarcaciones Territoriales del Distrito Federal, conforme a lo previsto en la Ley de Coordinación Fiscal, y para que celebren el o los contratos o convenios necesarios para formalizar el mecanismo de pago del o los financiamientos que individualmente contraten.”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Cabe señalar que dicho esquema autorizado para la contratación de financiamiento, se estableció como un adelanto de recursos del FAIS, toda vez que la liquidación de los financiamientos se acota al periodo de las administraciones municipales contratantes. Dicho adelanto de recursos permitiría a su vez adelantar el beneficio de la infraestructura pública a población en pobreza extrema y de localidades con alto o muy alto nivel de rezago social.</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bookmarkStart w:id="27" w:name="_heading=h.xg7fqb478mu2" w:colFirst="0" w:colLast="0"/>
      <w:bookmarkEnd w:id="27"/>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En ese orden de ideas, al amparo de dicho Decreto, los municipios de Almoloya, Amecameca, Axapusco, Calimaya, Jilotzingo, Valle de Bravo y Valle de Chalco (los “Municipios”) realizaron las gestiones para la contratación del o los financiamientos con la finalidad de ejecutar infraestructura básica municipal; sin embargo, no pudieron disponer de los recursos del </w:t>
      </w:r>
      <w:r w:rsidRPr="00736FF7">
        <w:rPr>
          <w:rFonts w:ascii="Times New Roman" w:eastAsia="Arial" w:hAnsi="Times New Roman" w:cs="Times New Roman"/>
          <w:sz w:val="24"/>
          <w:szCs w:val="24"/>
          <w:lang w:eastAsia="es-ES"/>
        </w:rPr>
        <w:lastRenderedPageBreak/>
        <w:t>financiamiento, ante el requerimiento de la Unidad de Coordinación con Entidades Federativas (UCEF) relacionado con una actualización de criterios respecto a la forma de establecer el plazo de los financiamientos en los decretos de autorización, expresado en años, meses o días y no únicamente establecer una fecha máxima para el pago de los financiamientos, tal como se encuentra prevista en el Decreto señalado, mismo que se alineó a lo establecido en los artículos 24 fracción II la Ley de Disciplina Financiera de las Entidades Federativas y los Municipios y 25 fracción II inciso b) del Reglamento del Registro Púbico Único de Financiamientos y Obligaciones de Entidades Federativas y Municipios.</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Este reciente criterio de UCEF no pudo ser atendido por los municipios en el tiempo establecido y, en consecuencia, no obtuvieron la inscripción de sus financiamientos en el registro federal de deuda, lo que les impidió disponer de los recursos de dichos financiamientos.</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Por consiguiente, considerando el interés de los municipios por aprovechar esta herramienta que permite combatir el rezago social que presentan, a través del adelanto de recursos FAIS, resulta viable proponer la presente Iniciativa de Decreto atendiendo el actual criterio de la UCEF y amplía el plazo de vigencia para que los municipios que concluyen sus administraciones en 2027, puedan contratar financiamientos en el ejercicio 2026 y de esta forma gocen de los beneficios en pro del desarrollo de la infraestructura municipal, que permita mejorar el nivel de vida de los habitantes, sujetándose en todo momento al cumplimiento de la normativa aplicable en la materia.</w:t>
      </w:r>
      <w:r w:rsidRPr="00736FF7">
        <w:rPr>
          <w:rFonts w:ascii="Times New Roman" w:eastAsia="Calibri" w:hAnsi="Times New Roman" w:cs="Times New Roman"/>
          <w:sz w:val="24"/>
          <w:szCs w:val="24"/>
          <w:lang w:eastAsia="es-ES"/>
        </w:rPr>
        <w:t xml:space="preserve"> </w:t>
      </w:r>
      <w:r w:rsidRPr="00736FF7">
        <w:rPr>
          <w:rFonts w:ascii="Times New Roman" w:eastAsia="Arial" w:hAnsi="Times New Roman" w:cs="Times New Roman"/>
          <w:sz w:val="24"/>
          <w:szCs w:val="24"/>
          <w:lang w:eastAsia="es-ES"/>
        </w:rPr>
        <w:t>La propuesta constituye una valiosa herramienta para la</w:t>
      </w:r>
      <w:r w:rsidRPr="00736FF7">
        <w:rPr>
          <w:rFonts w:ascii="Times New Roman" w:eastAsia="Calibri" w:hAnsi="Times New Roman" w:cs="Times New Roman"/>
          <w:sz w:val="24"/>
          <w:szCs w:val="24"/>
          <w:lang w:eastAsia="es-ES"/>
        </w:rPr>
        <w:t xml:space="preserve"> </w:t>
      </w:r>
      <w:r w:rsidRPr="00736FF7">
        <w:rPr>
          <w:rFonts w:ascii="Times New Roman" w:eastAsia="Arial" w:hAnsi="Times New Roman" w:cs="Times New Roman"/>
          <w:sz w:val="24"/>
          <w:szCs w:val="24"/>
          <w:lang w:eastAsia="es-ES"/>
        </w:rPr>
        <w:t>planeación responsable con equilibrio entre desarrollo económico y sensibilidad social. No se trata solo de administrar recursos, sino de administrar el presente con visión de futuro para los municipios del Estado de México, lo que permite garantizar que cada peso aprobado tenga un destino claro y mejorar la vida de quienes más lo necesitan, con la finalidad de financiar obras, acciones sociales básicas e inversiones que beneficien directamente a la población en pobreza extrema y a las localidades con alto o muy alto nivel de rezago social, con objetivos alineados a las prioridades del Plan de Desarrollo del Estado de México 2023–2029.</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En atención a lo manifestado previamente, se somete a consideración de esa Honorable Soberanía, la siguiente Iniciativa de Decreto:</w:t>
      </w:r>
    </w:p>
    <w:p w:rsidR="00736FF7" w:rsidRPr="00736FF7" w:rsidRDefault="00736FF7" w:rsidP="00736FF7">
      <w:pPr>
        <w:spacing w:after="0" w:line="240" w:lineRule="auto"/>
        <w:rPr>
          <w:rFonts w:ascii="Times New Roman" w:eastAsia="Calibri" w:hAnsi="Times New Roman" w:cs="Times New Roman"/>
          <w:sz w:val="24"/>
          <w:szCs w:val="24"/>
          <w:lang w:eastAsia="es-ES"/>
        </w:rPr>
      </w:pPr>
    </w:p>
    <w:p w:rsidR="00736FF7" w:rsidRPr="00736FF7" w:rsidRDefault="00736FF7" w:rsidP="00736FF7">
      <w:pPr>
        <w:spacing w:after="0" w:line="240" w:lineRule="auto"/>
        <w:rPr>
          <w:rFonts w:ascii="Times New Roman" w:eastAsia="Calibri" w:hAnsi="Times New Roman" w:cs="Times New Roman"/>
          <w:sz w:val="24"/>
          <w:szCs w:val="24"/>
          <w:lang w:eastAsia="es-ES"/>
        </w:rPr>
      </w:pPr>
    </w:p>
    <w:p w:rsidR="00736FF7" w:rsidRPr="00736FF7" w:rsidRDefault="00736FF7" w:rsidP="00736FF7">
      <w:pPr>
        <w:spacing w:after="0" w:line="240" w:lineRule="auto"/>
        <w:rPr>
          <w:rFonts w:ascii="Times New Roman" w:eastAsia="Gotham Book" w:hAnsi="Times New Roman" w:cs="Times New Roman"/>
          <w:b/>
          <w:bCs/>
          <w:sz w:val="24"/>
          <w:szCs w:val="24"/>
          <w:lang w:eastAsia="es-ES"/>
        </w:rPr>
      </w:pPr>
      <w:r w:rsidRPr="00736FF7">
        <w:rPr>
          <w:rFonts w:ascii="Times New Roman" w:eastAsia="Gotham Book" w:hAnsi="Times New Roman" w:cs="Times New Roman"/>
          <w:b/>
          <w:bCs/>
          <w:sz w:val="24"/>
          <w:szCs w:val="24"/>
          <w:lang w:eastAsia="es-ES"/>
        </w:rPr>
        <w:t>DECRETO NÚMERO:</w:t>
      </w:r>
    </w:p>
    <w:p w:rsidR="00736FF7" w:rsidRPr="00736FF7" w:rsidRDefault="00736FF7" w:rsidP="00736FF7">
      <w:pPr>
        <w:spacing w:after="0" w:line="240" w:lineRule="auto"/>
        <w:jc w:val="both"/>
        <w:rPr>
          <w:rFonts w:ascii="Times New Roman" w:eastAsia="Gotham Book" w:hAnsi="Times New Roman" w:cs="Times New Roman"/>
          <w:b/>
          <w:bCs/>
          <w:sz w:val="24"/>
          <w:szCs w:val="24"/>
          <w:lang w:eastAsia="es-ES"/>
        </w:rPr>
      </w:pPr>
      <w:r w:rsidRPr="00736FF7">
        <w:rPr>
          <w:rFonts w:ascii="Times New Roman" w:eastAsia="Gotham Book" w:hAnsi="Times New Roman" w:cs="Times New Roman"/>
          <w:b/>
          <w:bCs/>
          <w:sz w:val="24"/>
          <w:szCs w:val="24"/>
          <w:lang w:eastAsia="es-ES"/>
        </w:rPr>
        <w:t xml:space="preserve">LA H. “LXII” LEGISLATURA </w:t>
      </w:r>
    </w:p>
    <w:p w:rsidR="00736FF7" w:rsidRPr="00736FF7" w:rsidRDefault="00736FF7" w:rsidP="00736FF7">
      <w:pPr>
        <w:spacing w:after="0" w:line="240" w:lineRule="auto"/>
        <w:jc w:val="both"/>
        <w:rPr>
          <w:rFonts w:ascii="Times New Roman" w:eastAsia="Gotham Book" w:hAnsi="Times New Roman" w:cs="Times New Roman"/>
          <w:b/>
          <w:bCs/>
          <w:sz w:val="24"/>
          <w:szCs w:val="24"/>
          <w:lang w:eastAsia="es-ES"/>
        </w:rPr>
      </w:pPr>
      <w:r w:rsidRPr="00736FF7">
        <w:rPr>
          <w:rFonts w:ascii="Times New Roman" w:eastAsia="Gotham Book" w:hAnsi="Times New Roman" w:cs="Times New Roman"/>
          <w:b/>
          <w:bCs/>
          <w:sz w:val="24"/>
          <w:szCs w:val="24"/>
          <w:lang w:eastAsia="es-ES"/>
        </w:rPr>
        <w:t>DEL ESTADO DE MÉXICO</w:t>
      </w:r>
    </w:p>
    <w:p w:rsidR="00736FF7" w:rsidRPr="00736FF7" w:rsidRDefault="00736FF7" w:rsidP="00736FF7">
      <w:pPr>
        <w:spacing w:after="0" w:line="240" w:lineRule="auto"/>
        <w:jc w:val="both"/>
        <w:rPr>
          <w:rFonts w:ascii="Times New Roman" w:eastAsia="Gotham Book" w:hAnsi="Times New Roman" w:cs="Times New Roman"/>
          <w:b/>
          <w:bCs/>
          <w:sz w:val="24"/>
          <w:szCs w:val="24"/>
          <w:lang w:eastAsia="es-ES"/>
        </w:rPr>
      </w:pPr>
      <w:r w:rsidRPr="00736FF7">
        <w:rPr>
          <w:rFonts w:ascii="Times New Roman" w:eastAsia="Gotham Book" w:hAnsi="Times New Roman" w:cs="Times New Roman"/>
          <w:b/>
          <w:bCs/>
          <w:sz w:val="24"/>
          <w:szCs w:val="24"/>
          <w:lang w:eastAsia="es-ES"/>
        </w:rPr>
        <w:t>DECRETA:</w:t>
      </w:r>
    </w:p>
    <w:p w:rsidR="00736FF7" w:rsidRPr="00736FF7" w:rsidRDefault="00736FF7" w:rsidP="00736FF7">
      <w:pPr>
        <w:spacing w:after="0" w:line="240" w:lineRule="auto"/>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ARTÍCULO PRIMERO. </w:t>
      </w:r>
      <w:r w:rsidRPr="00736FF7">
        <w:rPr>
          <w:rFonts w:ascii="Times New Roman" w:eastAsia="Arial" w:hAnsi="Times New Roman" w:cs="Times New Roman"/>
          <w:sz w:val="24"/>
          <w:szCs w:val="24"/>
          <w:lang w:eastAsia="es-ES"/>
        </w:rPr>
        <w:t>El presente Decreto es de orden público e interés social y tiene por objeto autorizar a cada uno de los Municipios del Estado de México (en lo sucesivo el “Municipio” o los “Municipios”) para que gestionen y contraten de manera individual uno o varios financiamientos, a tasa fija,</w:t>
      </w:r>
      <w:r w:rsidRPr="00736FF7">
        <w:rPr>
          <w:rFonts w:ascii="Times New Roman" w:eastAsia="Arial" w:hAnsi="Times New Roman" w:cs="Times New Roman"/>
          <w:b/>
          <w:bCs/>
          <w:sz w:val="24"/>
          <w:szCs w:val="24"/>
          <w:lang w:eastAsia="es-ES"/>
        </w:rPr>
        <w:t xml:space="preserve"> </w:t>
      </w:r>
      <w:r w:rsidRPr="00736FF7">
        <w:rPr>
          <w:rFonts w:ascii="Times New Roman" w:eastAsia="Arial" w:hAnsi="Times New Roman" w:cs="Times New Roman"/>
          <w:sz w:val="24"/>
          <w:szCs w:val="24"/>
          <w:lang w:eastAsia="es-ES"/>
        </w:rPr>
        <w:t>hasta por el monto que para cada “Municipio” se indica, para el destino, plazos, términos, condiciones y con las características que en este se autorizan; para que afecten como fuente de pago un porcentaje del derecho a recibir y los flujos de recursos que anual e individualmente les correspondan del Fondo de Aportaciones para la Infraestructura Social Municipal y de las Demarcaciones Territoriales del Distrito Federal, conforme a lo previsto en la Ley de Coordinación Fiscal (el “FAIS Municipal”) y para que celebren los contratos o los convenios necesarios para formalizar el mecanismo de pago del o los financiamientos que individualmente contraten, con sustento y en términos de lo que se autoriza en el presente Decreto.</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lastRenderedPageBreak/>
        <w:t xml:space="preserve">Asimismo, el presente Decreto se aprueba, previo análisis de la capacidad de pago de cada uno de los “Municipios”, del destino que darán a los recursos que obtengan con motivo de la disposición del o de los financiamientos que contraten, y de la fuente de pago de los financiamientos que se constituirá con la afectación de hasta el 25% (veinticinco por ciento) anual del derecho a recibir y los ingresos que deriven de las aportaciones federales que a cada “Municipio” le corresponda del “FAIS Municipal” en términos de lo que dispone la Ley de Coordinación Fiscal. Asimismo, se autoriza, mediante el </w:t>
      </w:r>
      <w:r w:rsidRPr="00736FF7">
        <w:rPr>
          <w:rFonts w:ascii="Times New Roman" w:eastAsia="Arial" w:hAnsi="Times New Roman" w:cs="Times New Roman"/>
          <w:i/>
          <w:iCs/>
          <w:sz w:val="24"/>
          <w:szCs w:val="24"/>
          <w:lang w:eastAsia="es-ES"/>
        </w:rPr>
        <w:t>quorum</w:t>
      </w:r>
      <w:r w:rsidRPr="00736FF7">
        <w:rPr>
          <w:rFonts w:ascii="Times New Roman" w:eastAsia="Arial" w:hAnsi="Times New Roman" w:cs="Times New Roman"/>
          <w:sz w:val="24"/>
          <w:szCs w:val="24"/>
          <w:lang w:eastAsia="es-ES"/>
        </w:rPr>
        <w:t xml:space="preserve"> específico de votación que se requiere, de conformidad con lo establecido en los artículos 117 fracción VIII párrafo tercero, de la Constitución Política de los Estados Unidos Mexicanos, 23 párrafo primero de la Ley de Disciplina Financiera de las Entidades Federativas y los Municipios, 61 fracción XXXVII Bis de la Constitución Política del Estado Libre y Soberano de México y 262 Bis del Código Financiero del Estado de México y Municipios. </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ARTÍCULO SEGUNDO. </w:t>
      </w:r>
      <w:r w:rsidRPr="00736FF7">
        <w:rPr>
          <w:rFonts w:ascii="Times New Roman" w:eastAsia="Arial" w:hAnsi="Times New Roman" w:cs="Times New Roman"/>
          <w:sz w:val="24"/>
          <w:szCs w:val="24"/>
          <w:lang w:eastAsia="es-ES"/>
        </w:rPr>
        <w:t>Se autoriza a los “Municipios” para que individualmente gestionen y contraten uno o varios financiamientos, a tasa fija, hasta por el monto que en cada caso se establece en la siguiente Tabla 1:</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center"/>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 xml:space="preserve">Tabla 1 </w:t>
      </w:r>
    </w:p>
    <w:p w:rsidR="00736FF7" w:rsidRPr="00736FF7" w:rsidRDefault="00736FF7" w:rsidP="00736FF7">
      <w:pPr>
        <w:spacing w:after="0" w:line="240" w:lineRule="auto"/>
        <w:jc w:val="center"/>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Importes Máximos de las Operaciones de Crédito (por Municipio)</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tbl>
      <w:tblPr>
        <w:tblW w:w="822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820"/>
        <w:gridCol w:w="3681"/>
      </w:tblGrid>
      <w:tr w:rsidR="00736FF7" w:rsidRPr="00096895" w:rsidTr="00736FF7">
        <w:trPr>
          <w:trHeight w:val="680"/>
          <w:tblHeader/>
        </w:trPr>
        <w:tc>
          <w:tcPr>
            <w:tcW w:w="720" w:type="dxa"/>
            <w:shd w:val="clear" w:color="auto" w:fill="1F4E79"/>
            <w:vAlign w:val="center"/>
          </w:tcPr>
          <w:p w:rsidR="00736FF7" w:rsidRPr="00096895" w:rsidRDefault="00736FF7" w:rsidP="00736FF7">
            <w:pPr>
              <w:spacing w:after="0" w:line="240" w:lineRule="auto"/>
              <w:jc w:val="center"/>
              <w:rPr>
                <w:rFonts w:ascii="Times New Roman" w:eastAsia="Arial" w:hAnsi="Times New Roman" w:cs="Times New Roman"/>
                <w:b/>
                <w:bCs/>
                <w:color w:val="FFFFFF"/>
                <w:sz w:val="24"/>
                <w:szCs w:val="24"/>
                <w:lang w:eastAsia="es-ES"/>
              </w:rPr>
            </w:pPr>
            <w:bookmarkStart w:id="28" w:name="_heading=h.b2q3akahofgq" w:colFirst="0" w:colLast="0"/>
            <w:bookmarkEnd w:id="28"/>
            <w:r w:rsidRPr="00096895">
              <w:rPr>
                <w:rFonts w:ascii="Times New Roman" w:eastAsia="Arial" w:hAnsi="Times New Roman" w:cs="Times New Roman"/>
                <w:b/>
                <w:bCs/>
                <w:color w:val="FFFFFF"/>
                <w:sz w:val="24"/>
                <w:szCs w:val="24"/>
                <w:lang w:eastAsia="es-ES"/>
              </w:rPr>
              <w:t>No.</w:t>
            </w:r>
          </w:p>
        </w:tc>
        <w:tc>
          <w:tcPr>
            <w:tcW w:w="3820" w:type="dxa"/>
            <w:shd w:val="clear" w:color="auto" w:fill="1F4E79"/>
            <w:vAlign w:val="center"/>
          </w:tcPr>
          <w:p w:rsidR="00736FF7" w:rsidRPr="00096895" w:rsidRDefault="00736FF7" w:rsidP="00736FF7">
            <w:pPr>
              <w:spacing w:after="0" w:line="240" w:lineRule="auto"/>
              <w:jc w:val="center"/>
              <w:rPr>
                <w:rFonts w:ascii="Times New Roman" w:eastAsia="Arial" w:hAnsi="Times New Roman" w:cs="Times New Roman"/>
                <w:b/>
                <w:bCs/>
                <w:color w:val="FFFFFF"/>
                <w:sz w:val="24"/>
                <w:szCs w:val="24"/>
                <w:lang w:eastAsia="es-ES"/>
              </w:rPr>
            </w:pPr>
            <w:r w:rsidRPr="00096895">
              <w:rPr>
                <w:rFonts w:ascii="Times New Roman" w:eastAsia="Arial" w:hAnsi="Times New Roman" w:cs="Times New Roman"/>
                <w:b/>
                <w:bCs/>
                <w:color w:val="FFFFFF"/>
                <w:sz w:val="24"/>
                <w:szCs w:val="24"/>
                <w:lang w:eastAsia="es-ES"/>
              </w:rPr>
              <w:t>Nombre del Municipio</w:t>
            </w:r>
          </w:p>
        </w:tc>
        <w:tc>
          <w:tcPr>
            <w:tcW w:w="3681" w:type="dxa"/>
            <w:shd w:val="clear" w:color="auto" w:fill="1F4E79"/>
            <w:vAlign w:val="center"/>
          </w:tcPr>
          <w:p w:rsidR="00736FF7" w:rsidRPr="00096895" w:rsidRDefault="00736FF7" w:rsidP="00736FF7">
            <w:pPr>
              <w:spacing w:after="0" w:line="240" w:lineRule="auto"/>
              <w:jc w:val="center"/>
              <w:rPr>
                <w:rFonts w:ascii="Times New Roman" w:eastAsia="Arial" w:hAnsi="Times New Roman" w:cs="Times New Roman"/>
                <w:b/>
                <w:bCs/>
                <w:color w:val="FFFFFF"/>
                <w:sz w:val="24"/>
                <w:szCs w:val="24"/>
                <w:lang w:eastAsia="es-ES"/>
              </w:rPr>
            </w:pPr>
            <w:r w:rsidRPr="00096895">
              <w:rPr>
                <w:rFonts w:ascii="Times New Roman" w:eastAsia="Arial" w:hAnsi="Times New Roman" w:cs="Times New Roman"/>
                <w:b/>
                <w:bCs/>
                <w:color w:val="FFFFFF"/>
                <w:sz w:val="24"/>
                <w:szCs w:val="24"/>
                <w:lang w:eastAsia="es-ES"/>
              </w:rPr>
              <w:t>Importe Máximo que cada Municipio podrá contratar (pesos)</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Acambay de Ruíz Castañeda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49,204,582.00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Acolman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38,617,422.00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Aculco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24,518,213.00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Almoloya de Alquisiras</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15,825,390.00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Almoloya de Juárez</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69,515,627.00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Almoloya del Río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5,774,577.00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Amanalco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16,535,327.00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Amatepec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24,309,060.00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Amecameca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14,379,635.00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Apaxco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7,191,854.00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Atenco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22,788,140.00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Atizapán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5,519,843.00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Atizapán de Zaragoza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46,003,921.00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Atlacomulco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34,522,383.00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Atlautla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21,034,014.00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Axapusco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10,255,824.00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Ayapango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5,933,693.00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Calimaya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12,295,476.00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Capulhuac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8,529,283.00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Coacalco de Berriozábal</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17,666,530.00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Coatepec Harinas</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23,288,640.00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lastRenderedPageBreak/>
              <w:t>22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Cocotitlán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4,677,699.00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Coyotepec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10,758,141.00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Cuautitlán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13,211,383.00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Chalco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107,074,391.00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Chapa de Mota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16,812,116.00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Chapultepec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3,739,879.00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Chiautla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7,681,104.00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29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Chicoloapan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41,170,993.00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Chiconcuac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10,144,236.00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Chimalhuacán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180,194,817.00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Donato Guerra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38,332,335.00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Ecatepec de Morelos</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204,601,756.00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Ecatzingo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12,559,878.00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Huehuetoca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30,810,667.00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Hueypoxtla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15,872,330.00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Huixquilucan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39,438,294.00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Isidro Fabela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6,186,470.00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39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Ixtapaluca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94,003,388.00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Ixtapan de la Sal</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16,684,225.00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Ixtapan del Oro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14,793,614.00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Ixtlahuaca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88,812,910.00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Xalatlaco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12,889,980.00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Jaltenco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6,292,474.00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Jilotepec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42,389,937.00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Jilotzingo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6,282,782.00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Jiquipilco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48,344,435.00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Jocotitlán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20,408,324.00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49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Joquicingo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8,695,483.00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Juchitepec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11,185,760.00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Lerma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24,492,701.00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Malinalco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19,461,232.00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Melchor Ocampo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11,057,906.00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Metepec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22,291,860.00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Mexicaltzingo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3,866,077.00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Morelos</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23,854,664.00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Naucalpan de Juárez</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89,827,070.00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lastRenderedPageBreak/>
              <w:t>58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Nezahualcóyotl</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128,853,385.00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59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Nextlalpan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11,058,511.00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Nicolás Romero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75,865,370.00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Nopaltepec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6,771,543.00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Ocoyoacac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13,109,751.00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Ocuilan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23,041,849.00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El Oro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23,596,493.00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Otumba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10,983,894.00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Otzoloapan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13,815,385.00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Otzolotepec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31,599,248.00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Ozumba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14,652,888.00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69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Papalotla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3,760,546.00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La Paz</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83,406,134.00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Polotitlán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6,081,574.00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Rayón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5,464,117.00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San Antonio la Isla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6,633,888.00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San Felipe del Progreso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116,579,827.00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San Martín de las Pirámides</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6,429,389.00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San Mateo Atenco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20,298,369.00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San Simón de Guerrero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9,891,429.00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Santo Tomás</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11,065,769.00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79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Soyaniquilpan de Juárez</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8,938,268.00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Sultepec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34,355,923.00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Tecámac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50,118,324.00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Tejupilco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60,695,083.00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Temamatla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4,103,495.00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Temascalapa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13,458,898.00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Temascalcingo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50,855,533.00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Temascaltepec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29,369,068.00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Temoaya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51,520,101.00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Tenancingo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34,534,683.00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89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Tenango del Aire</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5,380,822.00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Tenango del Valle</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28,305,130.00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Teoloyucan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13,486,777.00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Teotihuacán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10,804,939.00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Tepetlaoxtoc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7,946,866.00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lastRenderedPageBreak/>
              <w:t>94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Tepetlixpa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11,150,782.00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Tepotzotlán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17,605,415.00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Tequixquiac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11,002,544.00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Texcaltitlán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19,009,492.00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Texcalyacac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10,421,712.00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99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Texcoco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56,797,424.00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Tezoyuca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15,777,457.00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Tianguistenco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27,451,940.00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Timilpan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9,397,051.00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Tlalmanalco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11,354,729.00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Tlalnepantla de Baz</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62,375,958.00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Tlatlaya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32,261,361.00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Toluca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188,871,864.00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Tonatico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6,377,170.00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Tultepec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20,478,439.00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109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Tultitlán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58,238,733.00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Valle de Bravo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22,011,006.00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Villa de Allende</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46,354,236.00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Villa del Carbón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27,708,417.00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Villa Guerrero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26,679,284.00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Villa Victoria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75,442,822.00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Xonacatlán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13,859,735.00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116</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Zacazonapan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8,081,700.00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117</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Zacualpan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23,138,408.00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118</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Zinacantepec</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57,630,822.00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119</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Zumpahuacán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21,614,348.00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120</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Zumpango</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44,705,760.00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121</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Cuautitlán Izcalli</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47,369,590.00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122</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Valle de Chalco Solidaridad</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106,057,590.00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123</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Luvianos</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29,589,658.00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124</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San José del Rincón</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102,934,663.00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125</w:t>
            </w:r>
          </w:p>
        </w:tc>
        <w:tc>
          <w:tcPr>
            <w:tcW w:w="3820" w:type="dxa"/>
            <w:vAlign w:val="bottom"/>
          </w:tcPr>
          <w:p w:rsidR="00736FF7" w:rsidRPr="00096895" w:rsidRDefault="00736FF7" w:rsidP="00736FF7">
            <w:pPr>
              <w:spacing w:after="0" w:line="240" w:lineRule="auto"/>
              <w:rPr>
                <w:rFonts w:ascii="Times New Roman" w:eastAsia="Arial" w:hAnsi="Times New Roman" w:cs="Times New Roman"/>
                <w:color w:val="000000"/>
                <w:sz w:val="24"/>
                <w:szCs w:val="24"/>
                <w:lang w:eastAsia="es-ES"/>
              </w:rPr>
            </w:pPr>
            <w:r w:rsidRPr="00096895">
              <w:rPr>
                <w:rFonts w:ascii="Times New Roman" w:eastAsia="Arial" w:hAnsi="Times New Roman" w:cs="Times New Roman"/>
                <w:color w:val="000000"/>
                <w:sz w:val="24"/>
                <w:szCs w:val="24"/>
                <w:lang w:eastAsia="es-ES"/>
              </w:rPr>
              <w:t>Tonanitla</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r w:rsidRPr="00096895">
              <w:rPr>
                <w:rFonts w:ascii="Times New Roman" w:eastAsia="Calibri" w:hAnsi="Times New Roman" w:cs="Times New Roman"/>
                <w:sz w:val="24"/>
                <w:szCs w:val="24"/>
                <w:lang w:eastAsia="es-ES"/>
              </w:rPr>
              <w:t xml:space="preserve"> 4,203,800.00 </w:t>
            </w:r>
          </w:p>
        </w:tc>
      </w:tr>
      <w:tr w:rsidR="00736FF7" w:rsidRPr="00096895" w:rsidTr="00736FF7">
        <w:trPr>
          <w:trHeight w:val="340"/>
        </w:trPr>
        <w:tc>
          <w:tcPr>
            <w:tcW w:w="720" w:type="dxa"/>
            <w:vAlign w:val="bottom"/>
          </w:tcPr>
          <w:p w:rsidR="00736FF7" w:rsidRPr="00096895" w:rsidRDefault="00736FF7" w:rsidP="00736FF7">
            <w:pPr>
              <w:spacing w:after="0" w:line="240" w:lineRule="auto"/>
              <w:jc w:val="center"/>
              <w:rPr>
                <w:rFonts w:ascii="Times New Roman" w:eastAsia="Arial" w:hAnsi="Times New Roman" w:cs="Times New Roman"/>
                <w:color w:val="000000"/>
                <w:sz w:val="24"/>
                <w:szCs w:val="24"/>
                <w:lang w:eastAsia="es-ES"/>
              </w:rPr>
            </w:pPr>
          </w:p>
        </w:tc>
        <w:tc>
          <w:tcPr>
            <w:tcW w:w="3820" w:type="dxa"/>
            <w:vAlign w:val="bottom"/>
          </w:tcPr>
          <w:p w:rsidR="00736FF7" w:rsidRPr="00096895" w:rsidRDefault="00736FF7" w:rsidP="00736FF7">
            <w:pPr>
              <w:spacing w:after="0" w:line="240" w:lineRule="auto"/>
              <w:jc w:val="center"/>
              <w:rPr>
                <w:rFonts w:ascii="Times New Roman" w:eastAsia="Arial" w:hAnsi="Times New Roman" w:cs="Times New Roman"/>
                <w:b/>
                <w:bCs/>
                <w:color w:val="000000"/>
                <w:sz w:val="24"/>
                <w:szCs w:val="24"/>
                <w:lang w:eastAsia="es-ES"/>
              </w:rPr>
            </w:pPr>
            <w:r w:rsidRPr="00096895">
              <w:rPr>
                <w:rFonts w:ascii="Times New Roman" w:eastAsia="Arial" w:hAnsi="Times New Roman" w:cs="Times New Roman"/>
                <w:b/>
                <w:bCs/>
                <w:color w:val="000000"/>
                <w:sz w:val="24"/>
                <w:szCs w:val="24"/>
                <w:lang w:eastAsia="es-ES"/>
              </w:rPr>
              <w:t>TOTAL</w:t>
            </w:r>
          </w:p>
        </w:tc>
        <w:tc>
          <w:tcPr>
            <w:tcW w:w="3681" w:type="dxa"/>
            <w:vAlign w:val="bottom"/>
          </w:tcPr>
          <w:p w:rsidR="00736FF7" w:rsidRPr="00096895" w:rsidRDefault="00736FF7" w:rsidP="00736FF7">
            <w:pPr>
              <w:spacing w:after="0" w:line="240" w:lineRule="auto"/>
              <w:jc w:val="center"/>
              <w:rPr>
                <w:rFonts w:ascii="Times New Roman" w:eastAsia="Arial" w:hAnsi="Times New Roman" w:cs="Times New Roman"/>
                <w:b/>
                <w:bCs/>
                <w:color w:val="000000"/>
                <w:sz w:val="24"/>
                <w:szCs w:val="24"/>
                <w:lang w:eastAsia="es-ES"/>
              </w:rPr>
            </w:pPr>
            <w:r w:rsidRPr="00096895">
              <w:rPr>
                <w:rFonts w:ascii="Times New Roman" w:eastAsia="Calibri" w:hAnsi="Times New Roman" w:cs="Times New Roman"/>
                <w:sz w:val="24"/>
                <w:szCs w:val="24"/>
                <w:lang w:eastAsia="es-ES"/>
              </w:rPr>
              <w:t xml:space="preserve"> 4,025,397,924.00 </w:t>
            </w:r>
          </w:p>
        </w:tc>
      </w:tr>
    </w:tbl>
    <w:p w:rsidR="00736FF7" w:rsidRPr="00736FF7" w:rsidRDefault="00736FF7" w:rsidP="00736FF7">
      <w:pPr>
        <w:spacing w:after="0" w:line="240" w:lineRule="auto"/>
        <w:jc w:val="both"/>
        <w:rPr>
          <w:rFonts w:ascii="Times New Roman" w:eastAsia="Arial" w:hAnsi="Times New Roman" w:cs="Times New Roman"/>
          <w:color w:val="000000"/>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Los importes máximos que se precisan en la tabla anterior, no comprenden los intereses, comisiones y demás accesorios que se establecerán en el(los) contrato(s) mediante el(los) cual(es) se formalice(n) el(los) financiamiento(s) que cada “Municipio” decida contratar, en el entendido </w:t>
      </w:r>
      <w:r w:rsidRPr="00736FF7">
        <w:rPr>
          <w:rFonts w:ascii="Times New Roman" w:eastAsia="Arial" w:hAnsi="Times New Roman" w:cs="Times New Roman"/>
          <w:sz w:val="24"/>
          <w:szCs w:val="24"/>
          <w:lang w:eastAsia="es-ES"/>
        </w:rPr>
        <w:lastRenderedPageBreak/>
        <w:t>que, dichos importes, podrán ajustarse conforme a las necesidades de cada “Municipio” y/o en función de la suficiencia de la fuente de pago, sin exceder el monto determinado en la tabla referida.</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color w:val="000000"/>
          <w:sz w:val="24"/>
          <w:szCs w:val="24"/>
          <w:lang w:eastAsia="es-ES"/>
        </w:rPr>
      </w:pPr>
      <w:r w:rsidRPr="00736FF7">
        <w:rPr>
          <w:rFonts w:ascii="Times New Roman" w:eastAsia="Arial" w:hAnsi="Times New Roman" w:cs="Times New Roman"/>
          <w:sz w:val="24"/>
          <w:szCs w:val="24"/>
          <w:lang w:eastAsia="es-ES"/>
        </w:rPr>
        <w:t>El</w:t>
      </w:r>
      <w:r w:rsidRPr="00736FF7">
        <w:rPr>
          <w:rFonts w:ascii="Times New Roman" w:eastAsia="Arial" w:hAnsi="Times New Roman" w:cs="Times New Roman"/>
          <w:b/>
          <w:bCs/>
          <w:sz w:val="24"/>
          <w:szCs w:val="24"/>
          <w:lang w:eastAsia="es-ES"/>
        </w:rPr>
        <w:t xml:space="preserve"> </w:t>
      </w:r>
      <w:r w:rsidRPr="00736FF7">
        <w:rPr>
          <w:rFonts w:ascii="Times New Roman" w:eastAsia="Arial" w:hAnsi="Times New Roman" w:cs="Times New Roman"/>
          <w:color w:val="000000"/>
          <w:sz w:val="24"/>
          <w:szCs w:val="24"/>
          <w:lang w:eastAsia="es-ES"/>
        </w:rPr>
        <w:t xml:space="preserve">monto del o los </w:t>
      </w:r>
      <w:r w:rsidRPr="00736FF7">
        <w:rPr>
          <w:rFonts w:ascii="Times New Roman" w:eastAsia="Arial" w:hAnsi="Times New Roman" w:cs="Times New Roman"/>
          <w:sz w:val="24"/>
          <w:szCs w:val="24"/>
          <w:lang w:eastAsia="es-ES"/>
        </w:rPr>
        <w:t xml:space="preserve">financiamientos </w:t>
      </w:r>
      <w:r w:rsidRPr="00736FF7">
        <w:rPr>
          <w:rFonts w:ascii="Times New Roman" w:eastAsia="Arial" w:hAnsi="Times New Roman" w:cs="Times New Roman"/>
          <w:color w:val="000000"/>
          <w:sz w:val="24"/>
          <w:szCs w:val="24"/>
          <w:lang w:eastAsia="es-ES"/>
        </w:rPr>
        <w:t xml:space="preserve">que </w:t>
      </w:r>
      <w:r w:rsidRPr="00736FF7">
        <w:rPr>
          <w:rFonts w:ascii="Times New Roman" w:eastAsia="Arial" w:hAnsi="Times New Roman" w:cs="Times New Roman"/>
          <w:sz w:val="24"/>
          <w:szCs w:val="24"/>
          <w:lang w:eastAsia="es-ES"/>
        </w:rPr>
        <w:t xml:space="preserve">individualmente </w:t>
      </w:r>
      <w:r w:rsidRPr="00736FF7">
        <w:rPr>
          <w:rFonts w:ascii="Times New Roman" w:eastAsia="Arial" w:hAnsi="Times New Roman" w:cs="Times New Roman"/>
          <w:color w:val="000000"/>
          <w:sz w:val="24"/>
          <w:szCs w:val="24"/>
          <w:lang w:eastAsia="es-ES"/>
        </w:rPr>
        <w:t>decida contratar cada</w:t>
      </w:r>
      <w:r w:rsidRPr="00736FF7">
        <w:rPr>
          <w:rFonts w:ascii="Times New Roman" w:eastAsia="Arial" w:hAnsi="Times New Roman" w:cs="Times New Roman"/>
          <w:sz w:val="24"/>
          <w:szCs w:val="24"/>
          <w:lang w:eastAsia="es-ES"/>
        </w:rPr>
        <w:t xml:space="preserve"> “Municipio”, </w:t>
      </w:r>
      <w:r w:rsidRPr="00736FF7">
        <w:rPr>
          <w:rFonts w:ascii="Times New Roman" w:eastAsia="Arial" w:hAnsi="Times New Roman" w:cs="Times New Roman"/>
          <w:color w:val="000000"/>
          <w:sz w:val="24"/>
          <w:szCs w:val="24"/>
          <w:lang w:eastAsia="es-ES"/>
        </w:rPr>
        <w:t xml:space="preserve">no podrá exceder el importe autorizado para cada uno de ellos, conforme a lo dispuesto en el presente Artículo </w:t>
      </w:r>
      <w:r w:rsidRPr="00736FF7">
        <w:rPr>
          <w:rFonts w:ascii="Times New Roman" w:eastAsia="Arial" w:hAnsi="Times New Roman" w:cs="Times New Roman"/>
          <w:sz w:val="24"/>
          <w:szCs w:val="24"/>
          <w:lang w:eastAsia="es-ES"/>
        </w:rPr>
        <w:t>(Tabla 1)</w:t>
      </w:r>
      <w:r w:rsidRPr="00736FF7">
        <w:rPr>
          <w:rFonts w:ascii="Times New Roman" w:eastAsia="Arial" w:hAnsi="Times New Roman" w:cs="Times New Roman"/>
          <w:color w:val="000000"/>
          <w:sz w:val="24"/>
          <w:szCs w:val="24"/>
          <w:lang w:eastAsia="es-ES"/>
        </w:rPr>
        <w:t xml:space="preserve">; en tal virtud, la cantidad de cada </w:t>
      </w:r>
      <w:r w:rsidRPr="00736FF7">
        <w:rPr>
          <w:rFonts w:ascii="Times New Roman" w:eastAsia="Arial" w:hAnsi="Times New Roman" w:cs="Times New Roman"/>
          <w:sz w:val="24"/>
          <w:szCs w:val="24"/>
          <w:lang w:eastAsia="es-ES"/>
        </w:rPr>
        <w:t xml:space="preserve">financiamiento </w:t>
      </w:r>
      <w:r w:rsidRPr="00736FF7">
        <w:rPr>
          <w:rFonts w:ascii="Times New Roman" w:eastAsia="Arial" w:hAnsi="Times New Roman" w:cs="Times New Roman"/>
          <w:color w:val="000000"/>
          <w:sz w:val="24"/>
          <w:szCs w:val="24"/>
          <w:lang w:eastAsia="es-ES"/>
        </w:rPr>
        <w:t xml:space="preserve">se establecerá considerando el periodo disponible entre el momento de su contratación y el plazo máximo para su amortización.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bookmarkStart w:id="29" w:name="_heading=h.rm72prx2ncl5" w:colFirst="0" w:colLast="0"/>
      <w:bookmarkEnd w:id="29"/>
      <w:r w:rsidRPr="00736FF7">
        <w:rPr>
          <w:rFonts w:ascii="Times New Roman" w:eastAsia="Arial" w:hAnsi="Times New Roman" w:cs="Times New Roman"/>
          <w:sz w:val="24"/>
          <w:szCs w:val="24"/>
          <w:lang w:eastAsia="es-ES"/>
        </w:rPr>
        <w:t>Cada “</w:t>
      </w:r>
      <w:r w:rsidRPr="00736FF7">
        <w:rPr>
          <w:rFonts w:ascii="Times New Roman" w:eastAsia="Arial" w:hAnsi="Times New Roman" w:cs="Times New Roman"/>
          <w:color w:val="000000"/>
          <w:sz w:val="24"/>
          <w:szCs w:val="24"/>
          <w:lang w:eastAsia="es-ES"/>
        </w:rPr>
        <w:t>Municipio</w:t>
      </w:r>
      <w:r w:rsidRPr="00736FF7">
        <w:rPr>
          <w:rFonts w:ascii="Times New Roman" w:eastAsia="Arial" w:hAnsi="Times New Roman" w:cs="Times New Roman"/>
          <w:sz w:val="24"/>
          <w:szCs w:val="24"/>
          <w:lang w:eastAsia="es-ES"/>
        </w:rPr>
        <w:t>”</w:t>
      </w:r>
      <w:r w:rsidRPr="00736FF7">
        <w:rPr>
          <w:rFonts w:ascii="Times New Roman" w:eastAsia="Arial" w:hAnsi="Times New Roman" w:cs="Times New Roman"/>
          <w:color w:val="000000"/>
          <w:sz w:val="24"/>
          <w:szCs w:val="24"/>
          <w:lang w:eastAsia="es-ES"/>
        </w:rPr>
        <w:t xml:space="preserve"> podrá contratar el o los </w:t>
      </w:r>
      <w:r w:rsidRPr="00736FF7">
        <w:rPr>
          <w:rFonts w:ascii="Times New Roman" w:eastAsia="Arial" w:hAnsi="Times New Roman" w:cs="Times New Roman"/>
          <w:sz w:val="24"/>
          <w:szCs w:val="24"/>
          <w:lang w:eastAsia="es-ES"/>
        </w:rPr>
        <w:t>financiamientos autorizados en el presente Decreto, en el transcurso de los ejercicios fiscales 2025 y 2026 y deberán pagarlos en su totalidad en un plazo máximo de hasta 730 días naturales, contados a partir de la fecha de suscripción del contrato o de la primera disposición de los recursos del financiamiento, esto es, sin exceder del 30 de noviembre de 2027, contemplada como fecha de vencimiento, en el entendido de que no debe de exceder el periodo constitucional de la administración municipal que contrate el financiamiento. Cabe señalar que, cada contrato que al efecto se celebre, deberá precisar, (i) el plazo máximo en días, que será contado a partir de la fecha en que el “Municipio” suscriba el contrato correspondiente o ejerza la primera disposición de los recursos que le sean otorgados y (</w:t>
      </w:r>
      <w:proofErr w:type="spellStart"/>
      <w:r w:rsidRPr="00736FF7">
        <w:rPr>
          <w:rFonts w:ascii="Times New Roman" w:eastAsia="Arial" w:hAnsi="Times New Roman" w:cs="Times New Roman"/>
          <w:sz w:val="24"/>
          <w:szCs w:val="24"/>
          <w:lang w:eastAsia="es-ES"/>
        </w:rPr>
        <w:t>ii</w:t>
      </w:r>
      <w:proofErr w:type="spellEnd"/>
      <w:r w:rsidRPr="00736FF7">
        <w:rPr>
          <w:rFonts w:ascii="Times New Roman" w:eastAsia="Arial" w:hAnsi="Times New Roman" w:cs="Times New Roman"/>
          <w:sz w:val="24"/>
          <w:szCs w:val="24"/>
          <w:lang w:eastAsia="es-ES"/>
        </w:rPr>
        <w:t xml:space="preserve">) la fecha específica de vencimiento para el financiamiento.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Los “Municipios” podrán negociar con la institución de crédito integrante del Sistema Financiero Mexicano acreditante, los términos y condiciones del o los financiamientos que cada uno de ellos decida contratar, con excepción de la tasa fija, en el entendido que para determinar el monto de cada financiamiento, deberá considerarse que los recursos que anualmente podrá destinar cada “Municipio” del “FAIS Municipal” para el pago del servicio de su deuda, incluidos el pago de capital, comisiones, intereses y accesorios financieros, no podrán exceder del 25% (veinticinco por ciento) anual del derecho a recibir y los flujos de recursos que individualmente les correspondan por este concepto, en el ejercicio fiscal que se encuentre transcurriendo, o bien, en el año en que el financiamiento de que se trate hubiere sido contratado, lo que resulte mayor, en términos de lo previsto en el artículo 50 de la Ley de Coordinación Fiscal.</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Los “Municipios” que decidan contratar financiamientos, deberán obtener expresa autorización de su respectivo Ayuntamiento, mediante acuerdo de Cabildo correspondiente para este fin, conforme lo exige la legislación aplicable, así como para afectar un porcentaje del “FAIS Municipal” y para celebrar los instrumentos jurídicos necesarios con objeto de formalizar el mecanismo de pago del o los financiamientos que contraten.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Adicionalmente, se autoriza a través del presente instrumento a los “Municipios” para que puedan agruparse de manera que entre dos o más de ellos, realicen el proceso competitivo a su favor, con objeto de obtener mejores condiciones de mercado, que si lo hicieren de manera individual.</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ARTÍCULO TERCERO. </w:t>
      </w:r>
      <w:r w:rsidRPr="00736FF7">
        <w:rPr>
          <w:rFonts w:ascii="Times New Roman" w:eastAsia="Arial" w:hAnsi="Times New Roman" w:cs="Times New Roman"/>
          <w:sz w:val="24"/>
          <w:szCs w:val="24"/>
          <w:lang w:eastAsia="es-ES"/>
        </w:rPr>
        <w:t xml:space="preserve">Los “Municipios” deberán destinar los recursos que obtengan con los financiamientos que individualmente contraten con base en este Decreto, precisa y exclusivamente para financiar, incluido en su caso el Impuesto al Valor Agregado, inversiones públicas productivas, consistentes en obras, acciones sociales básicas y/o inversiones que beneficien directamente a población en pobreza extrema y localidades con alto o muy alto nivel de rezago social, conforme a lo previsto en la Ley General de Desarrollo Social, así como en las zonas de atención prioritaria, en particular en los siguientes rubros de inversión: agua potable, alcantarillado, drenaje, urbanización, electrificación rural y de colonias pobres, infraestructura básica del sector salud y educativo, de conformidad con lo que dispone el artículo 33 inciso A fracción I de la Ley </w:t>
      </w:r>
      <w:r w:rsidRPr="00736FF7">
        <w:rPr>
          <w:rFonts w:ascii="Times New Roman" w:eastAsia="Arial" w:hAnsi="Times New Roman" w:cs="Times New Roman"/>
          <w:sz w:val="24"/>
          <w:szCs w:val="24"/>
          <w:lang w:eastAsia="es-ES"/>
        </w:rPr>
        <w:lastRenderedPageBreak/>
        <w:t>de Coordinación Fiscal y lo previsto en los Lineamientos del Fondo de Aportaciones para la Infraestructura Social, emitidos por la Secretaría de Bienestar vigentes en el ejercicio fiscal de contratación, incluidas las modificaciones, o aquellos que los sustituyan y que se consideren inversiones públicas productivas en términos de lo que dispone el artículo 2 fracción XXV de la Ley de Disciplina Financiera de las Entidades Federativas y los Municipios.</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ARTÍCULO CUARTO. </w:t>
      </w:r>
      <w:r w:rsidRPr="00736FF7">
        <w:rPr>
          <w:rFonts w:ascii="Times New Roman" w:eastAsia="Arial" w:hAnsi="Times New Roman" w:cs="Times New Roman"/>
          <w:sz w:val="24"/>
          <w:szCs w:val="24"/>
          <w:lang w:eastAsia="es-ES"/>
        </w:rPr>
        <w:t>Se autoriza a los “Municipios” para que individualmente por conducto de las personas servidoras públicas legalmente facultadas para tal efecto, afecten como fuente de pago del o los financiamientos que contraten y dispongan, incluidos el pago de capital, comisiones, intereses y accesorios y cualquier otro concepto relacionado con el o los financiamientos de que se trate, hasta el 25% (veinticinco por ciento) del derecho a recibir y los flujos de recursos que anual e individualmente les correspondan del “FAIS Municipal”, en la inteligencia que en tanto se encuentren vigentes el o los financiamientos contratados o existan obligaciones o cantidades pendientes de pago, cada “Municipio” podrá destinar para el pago del servicio de la deuda a su cargo, la cantidad que resulte mayor entre aplicar el 25% (veinticinco por ciento) a los ingresos del “FAIS Municipal” que le corresponda recibir en el ejercicio fiscal que se encuentre transcurriendo, o bien, en el año en que el financiamiento de que se trate hubiere sido contratado, en términos de lo previsto en el artículo 50 de la Ley de Coordinación Fiscal.</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ARTÍCULO QUINTO. </w:t>
      </w:r>
      <w:r w:rsidRPr="00736FF7">
        <w:rPr>
          <w:rFonts w:ascii="Times New Roman" w:eastAsia="Arial" w:hAnsi="Times New Roman" w:cs="Times New Roman"/>
          <w:sz w:val="24"/>
          <w:szCs w:val="24"/>
          <w:lang w:eastAsia="es-ES"/>
        </w:rPr>
        <w:t xml:space="preserve">Se autoriza a los “Municipios” para que individualmente celebren un contrato de mandato especial irrevocable para actos de dominio, para formalizar el mecanismo de pago de los financiamientos que individualmente contraten, el cual deberá cumplir con las formalidades que la legislación aplicable establece, en cuyo objeto se faculte al Poder Ejecutivo del Estado de México por conducto de la Secretaría de Finanzas, para que con el carácter de mandatario, en nombre y por cuenta del “Municipio” de que se trate y con cargo a los recursos que procedan del “FAIS Municipal” que afecte cada “Municipio” como fuente de pago, pague directamente a la institución acreditante las obligaciones a cargo del “Municipio” que corresponda, que deriven del o los financiamientos que contrate.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ARTÍCULO SEXTO. </w:t>
      </w:r>
      <w:r w:rsidRPr="00736FF7">
        <w:rPr>
          <w:rFonts w:ascii="Times New Roman" w:eastAsia="Arial" w:hAnsi="Times New Roman" w:cs="Times New Roman"/>
          <w:sz w:val="24"/>
          <w:szCs w:val="24"/>
          <w:lang w:eastAsia="es-ES"/>
        </w:rPr>
        <w:t>Se autoriza al Poder Ejecutivo del Estado de México, para que, a través de la Secretaría de Finanzas, o representante debidamente facultado, en su carácter de fideicomitente, celebre los instrumentos o actos jurídicos que se requieran para constituir un Fideicomiso Irrevocable de Administración y Fuente de Pago de conformidad con la legislación aplicable o bien, suscriba el convenio, instrumento o acto jurídico que se requiera para formalizar las adecuaciones que, en su caso, resulten necesarias o convenientes para emplear, utilizar, modificar y/u operar el Fideicomiso número 796 (el Fideicomiso) constituido por el Gobierno del Estado de México, en su carácter de Fideicomitente, con Ixe Banco, S.A. Institución de Banca Múltiple, Ixe Grupo Financiero, hoy Banorte, S.A.B. de C.V. Institución de Banca Múltiple, Grupo Financiero Banorte, como fiduciario, a fin de que funja como mecanismo de pago de los financiamientos que se formalicen en términos del presente Decreto o algún fideicomiso previamente constituido, que en cualquier caso tenga entre sus fines, al menos, (i) captar la totalidad de los recursos provenientes del “FAIS Municipal” que le correspondan a los “Municipios” y que periódicamente le sean trasferidos por la Secretaría de Hacienda y Crédito Público, por conducto de la Tesorería de la Federación, o el área o unidad administrativa facultada para tal efecto; (</w:t>
      </w:r>
      <w:proofErr w:type="spellStart"/>
      <w:r w:rsidRPr="00736FF7">
        <w:rPr>
          <w:rFonts w:ascii="Times New Roman" w:eastAsia="Arial" w:hAnsi="Times New Roman" w:cs="Times New Roman"/>
          <w:sz w:val="24"/>
          <w:szCs w:val="24"/>
          <w:lang w:eastAsia="es-ES"/>
        </w:rPr>
        <w:t>ii</w:t>
      </w:r>
      <w:proofErr w:type="spellEnd"/>
      <w:r w:rsidRPr="00736FF7">
        <w:rPr>
          <w:rFonts w:ascii="Times New Roman" w:eastAsia="Arial" w:hAnsi="Times New Roman" w:cs="Times New Roman"/>
          <w:sz w:val="24"/>
          <w:szCs w:val="24"/>
          <w:lang w:eastAsia="es-ES"/>
        </w:rPr>
        <w:t>) servir como mecanismo de pago del o los financiamientos que los “Municipios” contraten; y (</w:t>
      </w:r>
      <w:proofErr w:type="spellStart"/>
      <w:r w:rsidRPr="00736FF7">
        <w:rPr>
          <w:rFonts w:ascii="Times New Roman" w:eastAsia="Arial" w:hAnsi="Times New Roman" w:cs="Times New Roman"/>
          <w:sz w:val="24"/>
          <w:szCs w:val="24"/>
          <w:lang w:eastAsia="es-ES"/>
        </w:rPr>
        <w:t>iii</w:t>
      </w:r>
      <w:proofErr w:type="spellEnd"/>
      <w:r w:rsidRPr="00736FF7">
        <w:rPr>
          <w:rFonts w:ascii="Times New Roman" w:eastAsia="Arial" w:hAnsi="Times New Roman" w:cs="Times New Roman"/>
          <w:sz w:val="24"/>
          <w:szCs w:val="24"/>
          <w:lang w:eastAsia="es-ES"/>
        </w:rPr>
        <w:t xml:space="preserve">) medio para facilitar la entrega a la Secretaría de Finanzas de los recursos no afectados del “FAIS Municipal”, para que esta a su vez se los entregue dentro del plazo que establecen los calendarios financieros aprobados previstos en el artículo 307 del Código Financiero del Estado de México y Municipios, o les haga llegar las cantidades remanentes que, en su caso, existan a favor de los “Municipios” que decidan </w:t>
      </w:r>
      <w:r w:rsidRPr="00736FF7">
        <w:rPr>
          <w:rFonts w:ascii="Times New Roman" w:eastAsia="Arial" w:hAnsi="Times New Roman" w:cs="Times New Roman"/>
          <w:sz w:val="24"/>
          <w:szCs w:val="24"/>
          <w:lang w:eastAsia="es-ES"/>
        </w:rPr>
        <w:lastRenderedPageBreak/>
        <w:t>adherirse al Fideicomiso, derivado de la contratación de financiamientos y afectación de un porcentaje del derecho a recibir y los flujos de recursos que anualmente les correspondan del “FAIS Municipal”, para el pago de los mismos para proyectos de inversión en infraestructura, en términos de lo dispuesto en los artículos 33 y 50 de la Ley de Coordinación Fiscal.</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El Fideicomiso únicamente podrá modificarse o extinguirse con el consentimiento previo y por escrito de los fideicomisarios en primer lugar y tendrá el carácter de irrevocable en tanto existan obligaciones de pago a cargo de cualquier “Municipio”, por créditos contratados y con fuente de pago con cargo al “FAIS Municipal” y/o fideicomitentes adherentes, y/o instituciones de crédito acreedoras inscritas con carácter de fideicomisarios en primer lugar.</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 xml:space="preserve">La afectación de los recursos del “FAIS Municipal” en el Fideicomiso cesará previa conformidad por escrito del fideicomisario en primer lugar, una vez que se encuentren liquidadas las obligaciones de pago a cargo de los “Municipios”, sin detrimento de que el Fideicomiso pueda seguir funcionando u operando como mecanismo de captación y administración de los recursos del “FAIS Municipal”.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Los “Municipios” deberán abstenerse de realizar cualquier acción tendiente a revertir la afectación de hasta el 25% (veinticinco por ciento) del derecho a recibir y los flujos de recursos que anual e individualmente les correspondan del “FAIS Municipal” y que otorguen como fuente de pago del o los financiamientos que contraten, en tanto existan adeudos a sus respectivos cargos que deriven del o los mismos; en tal virtud, la revocación de la afectación únicamente procederá cuando los “Municipios” cuenten con autorización previa y por escrito emitida por representante legalmente facultado de la institución acreditante.</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Asimismo, se autoriza a los “Municipios” para que, previa autorización de sus respectivos Ayuntamientos, celebren el o los convenios que se requieran para adherirse al Fideicomiso, en la forma y términos que en el mismo se establezcan, para instrumentar el mecanismo de pago del o los financiamientos que cada uno de ellos contrate.</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ARTÍCULO SÉPTIMO</w:t>
      </w:r>
      <w:r w:rsidRPr="00736FF7">
        <w:rPr>
          <w:rFonts w:ascii="Times New Roman" w:eastAsia="Arial" w:hAnsi="Times New Roman" w:cs="Times New Roman"/>
          <w:b/>
          <w:sz w:val="24"/>
          <w:szCs w:val="24"/>
          <w:lang w:eastAsia="es-ES"/>
        </w:rPr>
        <w:t>.</w:t>
      </w:r>
      <w:r w:rsidRPr="00736FF7">
        <w:rPr>
          <w:rFonts w:ascii="Times New Roman" w:eastAsia="Arial" w:hAnsi="Times New Roman" w:cs="Times New Roman"/>
          <w:sz w:val="24"/>
          <w:szCs w:val="24"/>
          <w:lang w:eastAsia="es-ES"/>
        </w:rPr>
        <w:t xml:space="preserve"> Se autoriza al Poder Ejecutivo del Gobierno del Estado de México, para que, por conducto de la Secretaría de Finanzas, solicite e instruya irrevocablemente a la Secretaría de Hacienda y Crédito Público, a través de las unidades administrativas facultadas, a fin de que los recursos que procedan de las aportaciones del “FAIS Municipal” que les correspondan a los “Municipios”, se abonen a la o las cuentas del Fideicomiso que le indique la institución fiduciaria que lo administre.</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Se autoriza al Poder Ejecutivo del Estado de México, por conducto de la persona titular de la Secretaría de Finanzas y a los “Municipios” para que modifiquen cualquier instrucción irrevocable que, en su caso, hubieren emitido con anterioridad a la entrada en vigor del presente Decreto, siempre que no se afecten derechos de terceros, para que los recursos que procedan de las aportaciones del “FAIS Municipal” que le correspondan a los “Municipios”, ingresen de manera irrevocable al Fideicomiso, con objeto de que la institución fiduciaria que lo administre cuente con los recursos necesarios para el pago de los créditos que se formalicen con base en la presente autorización.</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ARTÍCULO OCTAVO.</w:t>
      </w:r>
      <w:r w:rsidRPr="00736FF7">
        <w:rPr>
          <w:rFonts w:ascii="Times New Roman" w:eastAsia="Arial" w:hAnsi="Times New Roman" w:cs="Times New Roman"/>
          <w:sz w:val="24"/>
          <w:szCs w:val="24"/>
          <w:lang w:eastAsia="es-ES"/>
        </w:rPr>
        <w:t xml:space="preserve"> Se autoriza al Poder Ejecutivo del Estado de México, por conducto de la persona titular de la Secretaría de Finanzas y a los “Municipios” para que, sin detrimento de las atribuciones que les son propias a los Ayuntamientos, realicen todas las gestiones, negociaciones, </w:t>
      </w:r>
      <w:r w:rsidRPr="00736FF7">
        <w:rPr>
          <w:rFonts w:ascii="Times New Roman" w:eastAsia="Arial" w:hAnsi="Times New Roman" w:cs="Times New Roman"/>
          <w:sz w:val="24"/>
          <w:szCs w:val="24"/>
          <w:lang w:eastAsia="es-ES"/>
        </w:rPr>
        <w:lastRenderedPageBreak/>
        <w:t>solicitudes y trámites necesarios ante entidades públicas y privadas; así como, para que celebren los contratos, convenios o cualquier instrumento legal, que se requieran con objeto de formalizar el o los financiamientos que los “Municipios” decidan contratar con base en el presente Decreto, así como para formalizar el mecanismo de pago del o los financiamientos que contrate, y para que suscriba todos los actos jurídicos necesarios o convenientes para cumplir con las disposiciones del presente Decreto y/o con lo pactado en los contratos que con base en éste se celebren, como son, de manera enunciativa pero no limitativa, realizar notificaciones o instrucciones, presentar avisos o información, modificar instrucciones anteriores, solicitar inscripciones en registros de deuda o fiduciarios, entre otras.</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bookmarkStart w:id="30" w:name="_heading=h.mjo85m111ngb" w:colFirst="0" w:colLast="0"/>
      <w:bookmarkEnd w:id="30"/>
      <w:r w:rsidRPr="00736FF7">
        <w:rPr>
          <w:rFonts w:ascii="Times New Roman" w:eastAsia="Arial" w:hAnsi="Times New Roman" w:cs="Times New Roman"/>
          <w:b/>
          <w:bCs/>
          <w:sz w:val="24"/>
          <w:szCs w:val="24"/>
          <w:lang w:eastAsia="es-ES"/>
        </w:rPr>
        <w:t>ARTÍCULO NOVENO.</w:t>
      </w:r>
      <w:r w:rsidRPr="00736FF7">
        <w:rPr>
          <w:rFonts w:ascii="Times New Roman" w:eastAsia="Arial" w:hAnsi="Times New Roman" w:cs="Times New Roman"/>
          <w:sz w:val="24"/>
          <w:szCs w:val="24"/>
          <w:lang w:eastAsia="es-ES"/>
        </w:rPr>
        <w:t xml:space="preserve"> El</w:t>
      </w:r>
      <w:r w:rsidRPr="00736FF7">
        <w:rPr>
          <w:rFonts w:ascii="Times New Roman" w:eastAsia="Arial" w:hAnsi="Times New Roman" w:cs="Times New Roman"/>
          <w:color w:val="000000"/>
          <w:sz w:val="24"/>
          <w:szCs w:val="24"/>
          <w:lang w:eastAsia="es-ES"/>
        </w:rPr>
        <w:t xml:space="preserve"> importe del o los financiamientos que individualmente contrate cada </w:t>
      </w:r>
      <w:r w:rsidRPr="00736FF7">
        <w:rPr>
          <w:rFonts w:ascii="Times New Roman" w:eastAsia="Arial" w:hAnsi="Times New Roman" w:cs="Times New Roman"/>
          <w:sz w:val="24"/>
          <w:szCs w:val="24"/>
          <w:lang w:eastAsia="es-ES"/>
        </w:rPr>
        <w:t>“Municipio”</w:t>
      </w:r>
      <w:r w:rsidRPr="00736FF7">
        <w:rPr>
          <w:rFonts w:ascii="Times New Roman" w:eastAsia="Arial" w:hAnsi="Times New Roman" w:cs="Times New Roman"/>
          <w:color w:val="000000"/>
          <w:sz w:val="24"/>
          <w:szCs w:val="24"/>
          <w:lang w:eastAsia="es-ES"/>
        </w:rPr>
        <w:t xml:space="preserve"> en el ejercicio fiscal 2025 o 2026, con base en lo que se autoriza en el presente Decreto, será considerado ingreso por financiamiento o deuda pública en dichos ejercicios fiscales,</w:t>
      </w:r>
      <w:r w:rsidRPr="00736FF7">
        <w:rPr>
          <w:rFonts w:ascii="Times New Roman" w:eastAsia="Arial" w:hAnsi="Times New Roman" w:cs="Times New Roman"/>
          <w:sz w:val="24"/>
          <w:szCs w:val="24"/>
          <w:lang w:eastAsia="es-ES"/>
        </w:rPr>
        <w:t xml:space="preserve"> en ese sentido, el importe correspondiente se entenderá incorporado y formará parte de la Ley de Ingresos de los Municipios del Estado de México para el ejercicio fiscal 2025 o 2026, según corresponda, </w:t>
      </w:r>
      <w:r w:rsidRPr="00736FF7">
        <w:rPr>
          <w:rFonts w:ascii="Times New Roman" w:eastAsia="Arial" w:hAnsi="Times New Roman" w:cs="Times New Roman"/>
          <w:color w:val="000000"/>
          <w:sz w:val="24"/>
          <w:szCs w:val="24"/>
          <w:lang w:eastAsia="es-ES"/>
        </w:rPr>
        <w:t xml:space="preserve">con independencia de que se encuentre previsto o no en la Ley de Ingresos de cada </w:t>
      </w:r>
      <w:r w:rsidRPr="00736FF7">
        <w:rPr>
          <w:rFonts w:ascii="Times New Roman" w:eastAsia="Arial" w:hAnsi="Times New Roman" w:cs="Times New Roman"/>
          <w:sz w:val="24"/>
          <w:szCs w:val="24"/>
          <w:lang w:eastAsia="es-ES"/>
        </w:rPr>
        <w:t>Municipio para el ejercicio fiscal 2025 y/o 2026, en consecuencia, dicha Ley se tendrá por modificada. Lo anterior, en uso de la atribución que concede el artículo 262 fracción IV del Código Financiero del Estado de México y sus Municipios al Congreso Local.</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color w:val="000000"/>
          <w:sz w:val="24"/>
          <w:szCs w:val="24"/>
          <w:lang w:eastAsia="es-ES"/>
        </w:rPr>
      </w:pPr>
      <w:r w:rsidRPr="00736FF7">
        <w:rPr>
          <w:rFonts w:ascii="Times New Roman" w:eastAsia="Arial" w:hAnsi="Times New Roman" w:cs="Times New Roman"/>
          <w:color w:val="000000"/>
          <w:sz w:val="24"/>
          <w:szCs w:val="24"/>
          <w:lang w:eastAsia="es-ES"/>
        </w:rPr>
        <w:t>El Ayuntamiento de que se trate, de ser necesario, ajustará o modificará el Presupuesto de Egresos del Ejercicio Fiscal 2026 o 2027,</w:t>
      </w:r>
      <w:r w:rsidRPr="00736FF7">
        <w:rPr>
          <w:rFonts w:ascii="Times New Roman" w:eastAsia="Arial" w:hAnsi="Times New Roman" w:cs="Times New Roman"/>
          <w:sz w:val="24"/>
          <w:szCs w:val="24"/>
          <w:lang w:eastAsia="es-ES"/>
        </w:rPr>
        <w:t xml:space="preserve"> para considerar el importe que permita realizar las erogaciones para el pago del servicio de la deuda a su respectivo cargo, que derive del o los créditos contratados e</w:t>
      </w:r>
      <w:r w:rsidRPr="00736FF7">
        <w:rPr>
          <w:rFonts w:ascii="Times New Roman" w:eastAsia="Arial" w:hAnsi="Times New Roman" w:cs="Times New Roman"/>
          <w:color w:val="000000"/>
          <w:sz w:val="24"/>
          <w:szCs w:val="24"/>
          <w:lang w:eastAsia="es-ES"/>
        </w:rPr>
        <w:t xml:space="preserve"> informará del ingreso y su aplicación al rendir la cuenta pública correspondiente.</w:t>
      </w:r>
    </w:p>
    <w:p w:rsidR="00736FF7" w:rsidRPr="00736FF7" w:rsidRDefault="00736FF7" w:rsidP="00736FF7">
      <w:pPr>
        <w:widowControl w:val="0"/>
        <w:pBdr>
          <w:top w:val="nil"/>
          <w:left w:val="nil"/>
          <w:bottom w:val="nil"/>
          <w:right w:val="nil"/>
          <w:between w:val="nil"/>
        </w:pBdr>
        <w:spacing w:after="0" w:line="240" w:lineRule="auto"/>
        <w:jc w:val="both"/>
        <w:rPr>
          <w:rFonts w:ascii="Times New Roman" w:eastAsia="Arial" w:hAnsi="Times New Roman" w:cs="Times New Roman"/>
          <w:color w:val="000000"/>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Tratándose de los ejercicios fiscales subsecuentes, cada “Municipio” deberá prever anualmente en su Presupuesto de Egresos, en tanto existan obligaciones pendientes de pago a sus respectivos cargos que deriven del o los financiamientos que individualmente contraten, el importe o partida que permita realizar las erogaciones para el pago del servicio de la deuda de dicho ejercicio fiscal y subsecuentes, hasta la total liquidación de los créditos contratados.</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ARTÍCULO DÉCIMO. </w:t>
      </w:r>
      <w:r w:rsidRPr="00736FF7">
        <w:rPr>
          <w:rFonts w:ascii="Times New Roman" w:eastAsia="Arial" w:hAnsi="Times New Roman" w:cs="Times New Roman"/>
          <w:sz w:val="24"/>
          <w:szCs w:val="24"/>
          <w:lang w:eastAsia="es-ES"/>
        </w:rPr>
        <w:t>Se autoriza a los “Municipios” para que en el supuesto de que resulte necesario o conveniente, celebren los instrumentos legales que se requieran para reestructurar o modificar el o los financiamientos preexistentes, a fin de dar paso a las operaciones que se autorizan en el presente Decreto, o bien, reestructurar o modificar  los financiamientos que hubiere contratado con base en la presente autorización, a fin de ajustar los montos, términos, condiciones, plazos, comisiones, tasas de interés, fuentes de pago, convenios, mandatos, instrucciones irrevocables, e inclusive modificar el perfil de amortización de principal del o los financiamientos que se contraten, siempre que aún no hayan sido dispuestos y que no se incremente el monto de endeudamiento ni el plazo máximo autorizado en este Decreto.</w:t>
      </w:r>
    </w:p>
    <w:p w:rsidR="00736FF7" w:rsidRPr="00736FF7" w:rsidRDefault="00736FF7" w:rsidP="00736FF7">
      <w:pPr>
        <w:spacing w:after="0" w:line="240" w:lineRule="auto"/>
        <w:jc w:val="both"/>
        <w:rPr>
          <w:rFonts w:ascii="Times New Roman" w:eastAsia="Arial" w:hAnsi="Times New Roman" w:cs="Times New Roman"/>
          <w:b/>
          <w:bCs/>
          <w:sz w:val="24"/>
          <w:szCs w:val="24"/>
          <w:u w:val="single"/>
          <w:lang w:eastAsia="es-ES"/>
        </w:rPr>
      </w:pPr>
    </w:p>
    <w:p w:rsidR="00736FF7" w:rsidRPr="00736FF7" w:rsidRDefault="00736FF7" w:rsidP="00736FF7">
      <w:pPr>
        <w:spacing w:after="0" w:line="240" w:lineRule="auto"/>
        <w:jc w:val="center"/>
        <w:rPr>
          <w:rFonts w:ascii="Times New Roman" w:eastAsia="Arial" w:hAnsi="Times New Roman" w:cs="Times New Roman"/>
          <w:b/>
          <w:bCs/>
          <w:sz w:val="24"/>
          <w:szCs w:val="24"/>
          <w:lang w:eastAsia="es-ES"/>
        </w:rPr>
      </w:pPr>
      <w:r w:rsidRPr="00736FF7">
        <w:rPr>
          <w:rFonts w:ascii="Times New Roman" w:eastAsia="Arial" w:hAnsi="Times New Roman" w:cs="Times New Roman"/>
          <w:b/>
          <w:bCs/>
          <w:sz w:val="24"/>
          <w:szCs w:val="24"/>
          <w:lang w:eastAsia="es-ES"/>
        </w:rPr>
        <w:t>T R A N S I T O R I O S</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PRIMERO. </w:t>
      </w:r>
      <w:r w:rsidRPr="00736FF7">
        <w:rPr>
          <w:rFonts w:ascii="Times New Roman" w:eastAsia="Arial" w:hAnsi="Times New Roman" w:cs="Times New Roman"/>
          <w:sz w:val="24"/>
          <w:szCs w:val="24"/>
          <w:lang w:eastAsia="es-ES"/>
        </w:rPr>
        <w:t>Publíquese el presente Decreto en el Periódico Oficial “Gaceta de Gobierno”.</w:t>
      </w:r>
    </w:p>
    <w:p w:rsidR="00736FF7" w:rsidRPr="00736FF7" w:rsidRDefault="00736FF7" w:rsidP="00736FF7">
      <w:pPr>
        <w:spacing w:after="0" w:line="240" w:lineRule="auto"/>
        <w:jc w:val="both"/>
        <w:rPr>
          <w:rFonts w:ascii="Times New Roman" w:eastAsia="Arial" w:hAnsi="Times New Roman" w:cs="Times New Roman"/>
          <w:b/>
          <w:bCs/>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SEGUNDO. </w:t>
      </w:r>
      <w:r w:rsidRPr="00736FF7">
        <w:rPr>
          <w:rFonts w:ascii="Times New Roman" w:eastAsia="Arial" w:hAnsi="Times New Roman" w:cs="Times New Roman"/>
          <w:sz w:val="24"/>
          <w:szCs w:val="24"/>
          <w:lang w:eastAsia="es-ES"/>
        </w:rPr>
        <w:t>El presente Decreto entrará en vigor al día siguiente de su publicación en el Periódico Oficial “Gaceta de Gobierno” y estará vigente hasta el 31 de diciembre de 2026.</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color w:val="000000"/>
          <w:sz w:val="24"/>
          <w:szCs w:val="24"/>
          <w:lang w:eastAsia="es-ES"/>
        </w:rPr>
      </w:pPr>
      <w:r w:rsidRPr="00736FF7">
        <w:rPr>
          <w:rFonts w:ascii="Times New Roman" w:eastAsia="Arial" w:hAnsi="Times New Roman" w:cs="Times New Roman"/>
          <w:b/>
          <w:bCs/>
          <w:sz w:val="24"/>
          <w:szCs w:val="24"/>
          <w:lang w:eastAsia="es-ES"/>
        </w:rPr>
        <w:lastRenderedPageBreak/>
        <w:t>TERCERO.</w:t>
      </w:r>
      <w:r w:rsidRPr="00736FF7">
        <w:rPr>
          <w:rFonts w:ascii="Times New Roman" w:eastAsia="Arial" w:hAnsi="Times New Roman" w:cs="Times New Roman"/>
          <w:sz w:val="24"/>
          <w:szCs w:val="24"/>
          <w:lang w:eastAsia="es-ES"/>
        </w:rPr>
        <w:t xml:space="preserve"> Se derogan las disposiciones de igual o menor jerarquía, que se opongan a lo establecido en el presente Decreto.</w:t>
      </w:r>
    </w:p>
    <w:p w:rsidR="00736FF7" w:rsidRPr="00736FF7" w:rsidRDefault="00736FF7" w:rsidP="00736FF7">
      <w:pPr>
        <w:spacing w:after="0" w:line="240" w:lineRule="auto"/>
        <w:jc w:val="both"/>
        <w:rPr>
          <w:rFonts w:ascii="Times New Roman" w:eastAsia="Arial" w:hAnsi="Times New Roman" w:cs="Times New Roman"/>
          <w:color w:val="000000"/>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b/>
          <w:bCs/>
          <w:sz w:val="24"/>
          <w:szCs w:val="24"/>
          <w:lang w:eastAsia="es-ES"/>
        </w:rPr>
        <w:t xml:space="preserve">CUARTO. </w:t>
      </w:r>
      <w:r w:rsidRPr="00736FF7">
        <w:rPr>
          <w:rFonts w:ascii="Times New Roman" w:eastAsia="Arial" w:hAnsi="Times New Roman" w:cs="Times New Roman"/>
          <w:sz w:val="24"/>
          <w:szCs w:val="24"/>
          <w:lang w:eastAsia="es-ES"/>
        </w:rPr>
        <w:t>A partir de la entrada en vigor del presente Decreto, queda abrogado el Decreto Número 33, publicado el 20 de diciembre de 2024 en Periódico Oficial “Gaceta del Gobierno”.</w:t>
      </w:r>
    </w:p>
    <w:p w:rsidR="00736FF7" w:rsidRPr="00736FF7" w:rsidRDefault="00736FF7" w:rsidP="00736FF7">
      <w:pPr>
        <w:spacing w:after="0" w:line="240" w:lineRule="auto"/>
        <w:rPr>
          <w:rFonts w:ascii="Times New Roman" w:eastAsia="Arial" w:hAnsi="Times New Roman" w:cs="Times New Roman"/>
          <w:sz w:val="24"/>
          <w:szCs w:val="24"/>
          <w:lang w:eastAsia="es-ES"/>
        </w:rPr>
      </w:pPr>
    </w:p>
    <w:p w:rsidR="00736FF7" w:rsidRPr="00736FF7" w:rsidRDefault="00736FF7" w:rsidP="00736FF7">
      <w:pPr>
        <w:spacing w:after="0" w:line="240" w:lineRule="auto"/>
        <w:ind w:left="3600"/>
        <w:jc w:val="both"/>
        <w:rPr>
          <w:rFonts w:ascii="Times New Roman" w:eastAsia="Gotham Book" w:hAnsi="Times New Roman" w:cs="Times New Roman"/>
          <w:sz w:val="24"/>
          <w:szCs w:val="24"/>
          <w:lang w:eastAsia="es-ES"/>
        </w:rPr>
      </w:pPr>
      <w:r w:rsidRPr="00736FF7">
        <w:rPr>
          <w:rFonts w:ascii="Times New Roman" w:eastAsia="Gotham Book" w:hAnsi="Times New Roman" w:cs="Times New Roman"/>
          <w:sz w:val="24"/>
          <w:szCs w:val="24"/>
          <w:lang w:eastAsia="es-ES"/>
        </w:rPr>
        <w:t xml:space="preserve">HOJA DE FIRMA DE LA INICIATIVA DE DECRETO DE AUTORIZACIÓN DEL PROGRAMA DE FINANCIAMIENTO FAIS MUNICIPAL </w:t>
      </w: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Reitero a usted, la seguridad de mi atenta y distinguida consideración.</w:t>
      </w:r>
    </w:p>
    <w:p w:rsidR="00736FF7" w:rsidRPr="00736FF7" w:rsidRDefault="00736FF7" w:rsidP="00736FF7">
      <w:pPr>
        <w:spacing w:after="0" w:line="240" w:lineRule="auto"/>
        <w:jc w:val="center"/>
        <w:rPr>
          <w:rFonts w:ascii="Times New Roman" w:eastAsia="Arial" w:hAnsi="Times New Roman" w:cs="Times New Roman"/>
          <w:sz w:val="24"/>
          <w:szCs w:val="24"/>
          <w:lang w:eastAsia="es-ES"/>
        </w:rPr>
      </w:pPr>
    </w:p>
    <w:p w:rsidR="00736FF7" w:rsidRPr="00736FF7" w:rsidRDefault="00736FF7" w:rsidP="00736FF7">
      <w:pPr>
        <w:spacing w:after="0" w:line="240" w:lineRule="auto"/>
        <w:jc w:val="both"/>
        <w:rPr>
          <w:rFonts w:ascii="Times New Roman" w:eastAsia="Arial" w:hAnsi="Times New Roman" w:cs="Times New Roman"/>
          <w:sz w:val="24"/>
          <w:szCs w:val="24"/>
          <w:lang w:eastAsia="es-ES"/>
        </w:rPr>
      </w:pPr>
      <w:r w:rsidRPr="00736FF7">
        <w:rPr>
          <w:rFonts w:ascii="Times New Roman" w:eastAsia="Arial" w:hAnsi="Times New Roman" w:cs="Times New Roman"/>
          <w:sz w:val="24"/>
          <w:szCs w:val="24"/>
          <w:lang w:eastAsia="es-ES"/>
        </w:rPr>
        <w:t>Palacio del Poder Ejecutivo, en la ciudad de Toluca de Lerdo, capital del Estado de México, a los 19 días del mes de noviembre del año 2025.</w:t>
      </w:r>
    </w:p>
    <w:p w:rsidR="00736FF7" w:rsidRPr="00736FF7" w:rsidRDefault="00736FF7" w:rsidP="00736FF7">
      <w:pPr>
        <w:spacing w:after="0" w:line="240" w:lineRule="auto"/>
        <w:jc w:val="center"/>
        <w:rPr>
          <w:rFonts w:ascii="Times New Roman" w:eastAsia="Arial" w:hAnsi="Times New Roman" w:cs="Times New Roman"/>
          <w:sz w:val="24"/>
          <w:szCs w:val="24"/>
          <w:lang w:eastAsia="es-ES"/>
        </w:rPr>
      </w:pPr>
    </w:p>
    <w:p w:rsidR="00736FF7" w:rsidRPr="00736FF7" w:rsidRDefault="00736FF7" w:rsidP="00736FF7">
      <w:pPr>
        <w:spacing w:after="0" w:line="240" w:lineRule="auto"/>
        <w:jc w:val="center"/>
        <w:rPr>
          <w:rFonts w:ascii="Times New Roman" w:eastAsia="Calibri" w:hAnsi="Times New Roman" w:cs="Times New Roman"/>
          <w:b/>
          <w:sz w:val="24"/>
          <w:szCs w:val="24"/>
          <w:lang w:val="es-ES_tradnl" w:eastAsia="es-ES"/>
        </w:rPr>
      </w:pPr>
      <w:r w:rsidRPr="00736FF7">
        <w:rPr>
          <w:rFonts w:ascii="Times New Roman" w:eastAsia="Calibri" w:hAnsi="Times New Roman" w:cs="Times New Roman"/>
          <w:b/>
          <w:sz w:val="24"/>
          <w:szCs w:val="24"/>
          <w:lang w:val="es-ES_tradnl" w:eastAsia="es-ES"/>
        </w:rPr>
        <w:t>La Gobernadora Constitucional</w:t>
      </w:r>
    </w:p>
    <w:p w:rsidR="00736FF7" w:rsidRPr="00736FF7" w:rsidRDefault="00736FF7" w:rsidP="00736FF7">
      <w:pPr>
        <w:spacing w:after="0" w:line="240" w:lineRule="auto"/>
        <w:jc w:val="center"/>
        <w:rPr>
          <w:rFonts w:ascii="Times New Roman" w:eastAsia="Calibri" w:hAnsi="Times New Roman" w:cs="Times New Roman"/>
          <w:b/>
          <w:sz w:val="24"/>
          <w:szCs w:val="24"/>
          <w:lang w:val="es-ES_tradnl" w:eastAsia="es-ES"/>
        </w:rPr>
      </w:pPr>
      <w:r w:rsidRPr="00736FF7">
        <w:rPr>
          <w:rFonts w:ascii="Times New Roman" w:eastAsia="Calibri" w:hAnsi="Times New Roman" w:cs="Times New Roman"/>
          <w:b/>
          <w:sz w:val="24"/>
          <w:szCs w:val="24"/>
          <w:lang w:val="es-ES_tradnl" w:eastAsia="es-ES"/>
        </w:rPr>
        <w:t>del Estado de México</w:t>
      </w:r>
    </w:p>
    <w:p w:rsidR="00736FF7" w:rsidRPr="00736FF7" w:rsidRDefault="00736FF7" w:rsidP="00736FF7">
      <w:pPr>
        <w:spacing w:after="0" w:line="240" w:lineRule="auto"/>
        <w:jc w:val="center"/>
        <w:rPr>
          <w:rFonts w:ascii="Times New Roman" w:eastAsia="Calibri" w:hAnsi="Times New Roman" w:cs="Times New Roman"/>
          <w:b/>
          <w:sz w:val="24"/>
          <w:szCs w:val="24"/>
          <w:lang w:val="es-ES_tradnl" w:eastAsia="es-ES"/>
        </w:rPr>
      </w:pPr>
      <w:r w:rsidRPr="00736FF7">
        <w:rPr>
          <w:rFonts w:ascii="Times New Roman" w:eastAsia="Calibri" w:hAnsi="Times New Roman" w:cs="Times New Roman"/>
          <w:b/>
          <w:sz w:val="24"/>
          <w:szCs w:val="24"/>
          <w:lang w:val="es-ES_tradnl" w:eastAsia="es-ES"/>
        </w:rPr>
        <w:t>Mtra. Delfina Gómez Álvarez</w:t>
      </w:r>
    </w:p>
    <w:p w:rsidR="00736FF7" w:rsidRPr="00736FF7" w:rsidRDefault="00736FF7" w:rsidP="00736FF7">
      <w:pPr>
        <w:widowControl w:val="0"/>
        <w:spacing w:after="0" w:line="240" w:lineRule="auto"/>
        <w:jc w:val="both"/>
        <w:rPr>
          <w:rFonts w:ascii="Times New Roman" w:eastAsia="Calibri" w:hAnsi="Times New Roman" w:cs="Times New Roman"/>
          <w:b/>
          <w:sz w:val="24"/>
          <w:szCs w:val="24"/>
          <w:lang w:val="es-ES_tradnl" w:eastAsia="es-ES"/>
        </w:rPr>
      </w:pPr>
    </w:p>
    <w:p w:rsidR="00736FF7" w:rsidRPr="00736FF7" w:rsidRDefault="00736FF7" w:rsidP="00736FF7">
      <w:pPr>
        <w:spacing w:after="0" w:line="240" w:lineRule="auto"/>
        <w:rPr>
          <w:rFonts w:ascii="Times New Roman" w:eastAsia="Calibri" w:hAnsi="Times New Roman" w:cs="Times New Roman"/>
          <w:b/>
          <w:bCs/>
          <w:sz w:val="24"/>
          <w:szCs w:val="24"/>
          <w:lang w:val="es-ES_tradnl" w:eastAsia="es-ES"/>
        </w:rPr>
      </w:pPr>
      <w:r w:rsidRPr="00736FF7">
        <w:rPr>
          <w:rFonts w:ascii="Times New Roman" w:eastAsia="Calibri" w:hAnsi="Times New Roman" w:cs="Times New Roman"/>
          <w:b/>
          <w:bCs/>
          <w:sz w:val="24"/>
          <w:szCs w:val="24"/>
          <w:lang w:val="es-ES_tradnl" w:eastAsia="es-ES"/>
        </w:rPr>
        <w:t>*OFJ</w:t>
      </w:r>
    </w:p>
    <w:p w:rsidR="00736FF7" w:rsidRPr="00736FF7" w:rsidRDefault="00736FF7" w:rsidP="00736FF7">
      <w:pPr>
        <w:spacing w:after="0" w:line="240" w:lineRule="auto"/>
        <w:jc w:val="center"/>
        <w:rPr>
          <w:rFonts w:ascii="Times New Roman" w:eastAsia="Arial" w:hAnsi="Times New Roman" w:cs="Times New Roman"/>
          <w:sz w:val="24"/>
          <w:szCs w:val="24"/>
          <w:lang w:eastAsia="es-ES"/>
        </w:rPr>
      </w:pPr>
    </w:p>
    <w:p w:rsidR="00F6257A" w:rsidRPr="00736FF7" w:rsidRDefault="00F6257A" w:rsidP="00F6257A">
      <w:pPr>
        <w:spacing w:after="0" w:line="240" w:lineRule="auto"/>
        <w:jc w:val="center"/>
        <w:rPr>
          <w:rFonts w:ascii="Times New Roman" w:hAnsi="Times New Roman"/>
          <w:i/>
          <w:sz w:val="24"/>
          <w:szCs w:val="24"/>
        </w:rPr>
      </w:pPr>
      <w:r w:rsidRPr="00736FF7">
        <w:rPr>
          <w:rFonts w:ascii="Times New Roman" w:hAnsi="Times New Roman"/>
          <w:i/>
          <w:sz w:val="24"/>
          <w:szCs w:val="24"/>
        </w:rPr>
        <w:t>(Fin del documento)</w:t>
      </w:r>
    </w:p>
    <w:p w:rsidR="00F6257A" w:rsidRPr="00736FF7" w:rsidRDefault="00F6257A" w:rsidP="00F6257A">
      <w:pPr>
        <w:spacing w:after="0" w:line="240" w:lineRule="auto"/>
        <w:jc w:val="center"/>
        <w:rPr>
          <w:rFonts w:ascii="Times New Roman" w:hAnsi="Times New Roman"/>
          <w:sz w:val="24"/>
          <w:szCs w:val="24"/>
        </w:rPr>
      </w:pPr>
    </w:p>
    <w:p w:rsidR="001C32A9" w:rsidRPr="006A150A" w:rsidRDefault="001C32A9" w:rsidP="00B54AF5">
      <w:pPr>
        <w:pStyle w:val="Sinespaciado"/>
        <w:rPr>
          <w:rFonts w:eastAsia="Times New Roman"/>
          <w:color w:val="000000" w:themeColor="text1"/>
          <w:lang w:eastAsia="es-MX"/>
        </w:rPr>
      </w:pPr>
      <w:r w:rsidRPr="006A150A">
        <w:rPr>
          <w:rFonts w:eastAsia="Times New Roman"/>
          <w:color w:val="000000" w:themeColor="text1"/>
          <w:lang w:eastAsia="es-MX"/>
        </w:rPr>
        <w:t xml:space="preserve">PRESIDENTA DIP. MARTHA AZUCENA CAMACHO REYNOSO. Gracias diputado Osvaldo Cortés Contreras. </w:t>
      </w:r>
    </w:p>
    <w:p w:rsidR="001C32A9" w:rsidRPr="007A27A5" w:rsidRDefault="001C32A9" w:rsidP="006A150A">
      <w:pPr>
        <w:pStyle w:val="Sinespaciado"/>
        <w:ind w:firstLine="709"/>
        <w:rPr>
          <w:rFonts w:eastAsia="Times New Roman"/>
          <w:color w:val="000000" w:themeColor="text1"/>
          <w:lang w:eastAsia="es-MX"/>
        </w:rPr>
      </w:pPr>
      <w:r w:rsidRPr="006A150A">
        <w:rPr>
          <w:rFonts w:eastAsia="Times New Roman"/>
          <w:color w:val="000000" w:themeColor="text1"/>
          <w:lang w:eastAsia="es-MX"/>
        </w:rPr>
        <w:t xml:space="preserve">Se registra la </w:t>
      </w:r>
      <w:r w:rsidR="00CD0894" w:rsidRPr="006A150A">
        <w:rPr>
          <w:rFonts w:eastAsia="Times New Roman"/>
          <w:color w:val="000000" w:themeColor="text1"/>
          <w:lang w:eastAsia="es-MX"/>
        </w:rPr>
        <w:t xml:space="preserve">Iniciativa </w:t>
      </w:r>
      <w:r w:rsidRPr="006A150A">
        <w:rPr>
          <w:rFonts w:eastAsia="Times New Roman"/>
          <w:color w:val="000000" w:themeColor="text1"/>
          <w:lang w:eastAsia="es-MX"/>
        </w:rPr>
        <w:t xml:space="preserve">de </w:t>
      </w:r>
      <w:r w:rsidR="00CD0894" w:rsidRPr="006A150A">
        <w:rPr>
          <w:rFonts w:eastAsia="Times New Roman"/>
          <w:color w:val="000000" w:themeColor="text1"/>
          <w:lang w:eastAsia="es-MX"/>
        </w:rPr>
        <w:t xml:space="preserve">Decreto </w:t>
      </w:r>
      <w:r w:rsidRPr="006A150A">
        <w:rPr>
          <w:rFonts w:eastAsia="Times New Roman"/>
          <w:color w:val="000000" w:themeColor="text1"/>
          <w:lang w:eastAsia="es-MX"/>
        </w:rPr>
        <w:t>y se remite a las Comisiones Legislativas de Planeación y Gasto Público y de Finanzas Públicas para su estudio y dictamen</w:t>
      </w:r>
      <w:r w:rsidRPr="007A27A5">
        <w:rPr>
          <w:rFonts w:eastAsia="Times New Roman"/>
          <w:color w:val="000000" w:themeColor="text1"/>
          <w:lang w:eastAsia="es-MX"/>
        </w:rPr>
        <w:t xml:space="preserve">. </w:t>
      </w:r>
    </w:p>
    <w:p w:rsidR="001C32A9" w:rsidRPr="007A27A5" w:rsidRDefault="001C32A9" w:rsidP="006A150A">
      <w:pPr>
        <w:pStyle w:val="Sinespaciado"/>
        <w:ind w:firstLine="709"/>
        <w:rPr>
          <w:rFonts w:eastAsia="Times New Roman"/>
          <w:color w:val="000000" w:themeColor="text1"/>
          <w:lang w:eastAsia="es-MX"/>
        </w:rPr>
      </w:pPr>
      <w:r w:rsidRPr="007A27A5">
        <w:rPr>
          <w:rFonts w:eastAsia="Times New Roman"/>
          <w:color w:val="000000" w:themeColor="text1"/>
          <w:lang w:eastAsia="es-MX"/>
        </w:rPr>
        <w:t>En cuanto al punto número 6, la diputada vicepresidenta Leticia Mejía García, leerá el oficio enviado por la Secretar</w:t>
      </w:r>
      <w:r w:rsidR="006A150A">
        <w:rPr>
          <w:rFonts w:eastAsia="Times New Roman"/>
          <w:color w:val="000000" w:themeColor="text1"/>
          <w:lang w:eastAsia="es-MX"/>
        </w:rPr>
        <w:t>í</w:t>
      </w:r>
      <w:r w:rsidRPr="007A27A5">
        <w:rPr>
          <w:rFonts w:eastAsia="Times New Roman"/>
          <w:color w:val="000000" w:themeColor="text1"/>
          <w:lang w:eastAsia="es-MX"/>
        </w:rPr>
        <w:t xml:space="preserve">a de Asuntos Parlamentarios con motivo de la recepción de iniciativas de tarifas de agua diferentes a las del Código Financiero del Estado de México y </w:t>
      </w:r>
      <w:r w:rsidR="001F4970" w:rsidRPr="007A27A5">
        <w:rPr>
          <w:rFonts w:eastAsia="Times New Roman"/>
          <w:color w:val="000000" w:themeColor="text1"/>
          <w:lang w:eastAsia="es-MX"/>
        </w:rPr>
        <w:t xml:space="preserve">Municipios </w:t>
      </w:r>
      <w:r w:rsidRPr="007A27A5">
        <w:rPr>
          <w:rFonts w:eastAsia="Times New Roman"/>
          <w:color w:val="000000" w:themeColor="text1"/>
          <w:lang w:eastAsia="es-MX"/>
        </w:rPr>
        <w:t xml:space="preserve">formuladas por diversos ayuntamientos del Estado de México. </w:t>
      </w:r>
    </w:p>
    <w:p w:rsidR="001F4970" w:rsidRPr="007A27A5" w:rsidRDefault="001C32A9" w:rsidP="00B54AF5">
      <w:pPr>
        <w:pStyle w:val="Sinespaciado"/>
        <w:rPr>
          <w:rFonts w:eastAsia="Times New Roman"/>
          <w:color w:val="000000" w:themeColor="text1"/>
          <w:lang w:eastAsia="es-MX"/>
        </w:rPr>
      </w:pPr>
      <w:r w:rsidRPr="007A27A5">
        <w:rPr>
          <w:rFonts w:eastAsia="Times New Roman"/>
          <w:color w:val="000000" w:themeColor="text1"/>
          <w:lang w:eastAsia="es-MX"/>
        </w:rPr>
        <w:t xml:space="preserve">VICEPRESIDENTA DIP. LETICIA MEJÍA GARCÍA. </w:t>
      </w:r>
      <w:r w:rsidR="001F4970" w:rsidRPr="007A27A5">
        <w:rPr>
          <w:rFonts w:eastAsia="Times New Roman"/>
          <w:color w:val="000000" w:themeColor="text1"/>
          <w:lang w:eastAsia="es-MX"/>
        </w:rPr>
        <w:t>DIPUTADA MARTHA AZUCENA CAMACHO REYNOSO, PRESIDENTA DE LA LXII LEGISLATURA DEL CONGRESO DEL ESTADO LIBRE Y SOBERANO DE MÉXICO.</w:t>
      </w:r>
    </w:p>
    <w:p w:rsidR="001C32A9" w:rsidRPr="007A27A5" w:rsidRDefault="001F4970" w:rsidP="00B54AF5">
      <w:pPr>
        <w:pStyle w:val="Sinespaciado"/>
        <w:rPr>
          <w:rFonts w:eastAsia="Times New Roman"/>
          <w:color w:val="000000" w:themeColor="text1"/>
          <w:lang w:eastAsia="es-MX"/>
        </w:rPr>
      </w:pPr>
      <w:r w:rsidRPr="007A27A5">
        <w:rPr>
          <w:rFonts w:eastAsia="Times New Roman"/>
          <w:color w:val="000000" w:themeColor="text1"/>
          <w:lang w:eastAsia="es-MX"/>
        </w:rPr>
        <w:t xml:space="preserve">PRESENTE. </w:t>
      </w:r>
    </w:p>
    <w:p w:rsidR="00AD370F" w:rsidRPr="007A27A5" w:rsidRDefault="001C32A9" w:rsidP="006A150A">
      <w:pPr>
        <w:pStyle w:val="Sinespaciado"/>
        <w:ind w:firstLine="709"/>
        <w:rPr>
          <w:rFonts w:eastAsia="Times New Roman"/>
          <w:color w:val="000000" w:themeColor="text1"/>
          <w:lang w:eastAsia="es-MX"/>
        </w:rPr>
      </w:pPr>
      <w:r w:rsidRPr="007A27A5">
        <w:rPr>
          <w:rFonts w:eastAsia="Times New Roman"/>
          <w:color w:val="000000" w:themeColor="text1"/>
          <w:lang w:eastAsia="es-MX"/>
        </w:rPr>
        <w:t xml:space="preserve">Tengo el honor de dirigirme a usted para comunicarle que fueron recibidas en la Secretaría de Asuntos Parlamentarios </w:t>
      </w:r>
      <w:r w:rsidR="001F4970" w:rsidRPr="007A27A5">
        <w:rPr>
          <w:rFonts w:eastAsia="Times New Roman"/>
          <w:color w:val="000000" w:themeColor="text1"/>
          <w:lang w:eastAsia="es-MX"/>
        </w:rPr>
        <w:t xml:space="preserve">Iniciativas </w:t>
      </w:r>
      <w:r w:rsidRPr="007A27A5">
        <w:rPr>
          <w:rFonts w:eastAsia="Times New Roman"/>
          <w:color w:val="000000" w:themeColor="text1"/>
          <w:lang w:eastAsia="es-MX"/>
        </w:rPr>
        <w:t xml:space="preserve">de </w:t>
      </w:r>
      <w:r w:rsidR="001F4970" w:rsidRPr="007A27A5">
        <w:rPr>
          <w:rFonts w:eastAsia="Times New Roman"/>
          <w:color w:val="000000" w:themeColor="text1"/>
          <w:lang w:eastAsia="es-MX"/>
        </w:rPr>
        <w:t xml:space="preserve">Decreto </w:t>
      </w:r>
      <w:r w:rsidRPr="007A27A5">
        <w:rPr>
          <w:rFonts w:eastAsia="Times New Roman"/>
          <w:color w:val="000000" w:themeColor="text1"/>
          <w:lang w:eastAsia="es-MX"/>
        </w:rPr>
        <w:t xml:space="preserve">de tarifas para el pago de derechos de agua potable, drenaje, alcantarillado y recepción de los caudales de aguas residuales para su tratamiento para el </w:t>
      </w:r>
      <w:r w:rsidR="00B67FED" w:rsidRPr="007A27A5">
        <w:rPr>
          <w:rFonts w:eastAsia="Times New Roman"/>
          <w:color w:val="000000" w:themeColor="text1"/>
          <w:lang w:eastAsia="es-MX"/>
        </w:rPr>
        <w:t xml:space="preserve">Ejercicio Fiscal </w:t>
      </w:r>
      <w:r w:rsidRPr="007A27A5">
        <w:rPr>
          <w:rFonts w:eastAsia="Times New Roman"/>
          <w:color w:val="000000" w:themeColor="text1"/>
          <w:lang w:eastAsia="es-MX"/>
        </w:rPr>
        <w:t xml:space="preserve">2026, presentadas por los Ayuntamientos de los municipios de Acolman; Amecameca; Atizapán de Zaragoza; Atlacomulco; Coacalco de Berriozábal; Cuautitlán Izcalli; Cuautitlán; El Oro; Huixquilucan; Jilotepec; Lerma; Metepec; </w:t>
      </w:r>
      <w:r w:rsidR="00AD370F" w:rsidRPr="007A27A5">
        <w:rPr>
          <w:color w:val="000000" w:themeColor="text1"/>
        </w:rPr>
        <w:t>Naucalpan de Juárez, Nicolás Romero, Tecámac, Tepotzotlán, Tlalnepantla de Baz, Toluca, Tultitlán, Valle de Bravo y Zinacantepec.</w:t>
      </w:r>
    </w:p>
    <w:p w:rsidR="00AD370F" w:rsidRPr="007A27A5" w:rsidRDefault="00AD370F" w:rsidP="00B54AF5">
      <w:pPr>
        <w:pStyle w:val="Sinespaciado"/>
      </w:pPr>
      <w:r w:rsidRPr="007A27A5">
        <w:tab/>
        <w:t>Es oportuno mencionar que la presentación de las iniciativas, se sustenta en lo dispuesto en los artículos 115 fracción IV de la Constitución Política de los Estados Unidos Mexicanos, 125 de la Constitución Política del Estado Libre y Soberano de México y 139 del Código Financiero del Estado de México y Municipios.</w:t>
      </w:r>
    </w:p>
    <w:p w:rsidR="00AD370F" w:rsidRPr="007A27A5" w:rsidRDefault="00AD370F" w:rsidP="00B54AF5">
      <w:pPr>
        <w:pStyle w:val="Sinespaciado"/>
      </w:pPr>
      <w:r w:rsidRPr="007A27A5">
        <w:tab/>
        <w:t>Sin otro particular, le reitero mi distinguida consideración.</w:t>
      </w:r>
    </w:p>
    <w:p w:rsidR="00AD370F" w:rsidRPr="007A27A5" w:rsidRDefault="00AD370F" w:rsidP="00B54AF5">
      <w:pPr>
        <w:pStyle w:val="Sinespaciado"/>
        <w:jc w:val="center"/>
      </w:pPr>
      <w:r w:rsidRPr="007A27A5">
        <w:t>ATENTAMENTE</w:t>
      </w:r>
    </w:p>
    <w:p w:rsidR="00AD370F" w:rsidRPr="007A27A5" w:rsidRDefault="00AD370F" w:rsidP="00B54AF5">
      <w:pPr>
        <w:pStyle w:val="Sinespaciado"/>
        <w:jc w:val="center"/>
      </w:pPr>
      <w:r w:rsidRPr="007A27A5">
        <w:lastRenderedPageBreak/>
        <w:t>SECRETARIO DE ASUNTOS PARLAMENTARIOS DEL PODER LEGISLATIVO DEL ESTADO DE MÉXICO</w:t>
      </w:r>
    </w:p>
    <w:p w:rsidR="00AD370F" w:rsidRPr="007A27A5" w:rsidRDefault="00AD370F" w:rsidP="00B54AF5">
      <w:pPr>
        <w:pStyle w:val="Sinespaciado"/>
        <w:jc w:val="center"/>
      </w:pPr>
      <w:r w:rsidRPr="007A27A5">
        <w:t>MAESTRO JAVIER DOMÍNGUEZ MORALES.</w:t>
      </w:r>
    </w:p>
    <w:p w:rsidR="00AD370F" w:rsidRPr="007A27A5" w:rsidRDefault="00AD370F" w:rsidP="00B54AF5">
      <w:pPr>
        <w:pStyle w:val="Sinespaciado"/>
      </w:pPr>
      <w:r w:rsidRPr="007A27A5">
        <w:tab/>
        <w:t>Es cuanto Presidenta.</w:t>
      </w:r>
    </w:p>
    <w:p w:rsidR="00A35284" w:rsidRPr="007A27A5" w:rsidRDefault="00A35284" w:rsidP="009D3D08">
      <w:pPr>
        <w:pStyle w:val="Sinespaciado"/>
      </w:pPr>
    </w:p>
    <w:p w:rsidR="00A35284" w:rsidRPr="007A27A5" w:rsidRDefault="00A35284" w:rsidP="009D3D08">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(Se inserta documento)</w:t>
      </w:r>
    </w:p>
    <w:p w:rsidR="00A35284" w:rsidRPr="007A27A5" w:rsidRDefault="00A35284" w:rsidP="009D3D08">
      <w:pPr>
        <w:spacing w:after="0" w:line="240" w:lineRule="auto"/>
        <w:jc w:val="center"/>
        <w:rPr>
          <w:rFonts w:ascii="Times New Roman" w:hAnsi="Times New Roman" w:cs="Times New Roman"/>
          <w:sz w:val="24"/>
          <w:szCs w:val="24"/>
        </w:rPr>
      </w:pPr>
    </w:p>
    <w:p w:rsidR="00A35284" w:rsidRPr="007A27A5" w:rsidRDefault="00A35284" w:rsidP="009D3D08">
      <w:pPr>
        <w:spacing w:after="0" w:line="240" w:lineRule="auto"/>
        <w:ind w:right="-91"/>
        <w:contextualSpacing/>
        <w:jc w:val="right"/>
        <w:rPr>
          <w:rFonts w:ascii="Times New Roman" w:eastAsia="Calibri" w:hAnsi="Times New Roman" w:cs="Times New Roman"/>
          <w:sz w:val="24"/>
          <w:szCs w:val="24"/>
        </w:rPr>
      </w:pPr>
      <w:r w:rsidRPr="007A27A5">
        <w:rPr>
          <w:rFonts w:ascii="Times New Roman" w:eastAsia="Calibri" w:hAnsi="Times New Roman" w:cs="Times New Roman"/>
          <w:sz w:val="24"/>
          <w:szCs w:val="24"/>
        </w:rPr>
        <w:t>Toluca de Lerdo, México, a</w:t>
      </w:r>
    </w:p>
    <w:p w:rsidR="00A35284" w:rsidRPr="007A27A5" w:rsidRDefault="00A35284" w:rsidP="009D3D08">
      <w:pPr>
        <w:spacing w:after="0" w:line="240" w:lineRule="auto"/>
        <w:ind w:right="-91"/>
        <w:contextualSpacing/>
        <w:jc w:val="right"/>
        <w:rPr>
          <w:rFonts w:ascii="Times New Roman" w:eastAsia="Calibri" w:hAnsi="Times New Roman" w:cs="Times New Roman"/>
          <w:sz w:val="24"/>
          <w:szCs w:val="24"/>
        </w:rPr>
      </w:pPr>
      <w:r w:rsidRPr="007A27A5">
        <w:rPr>
          <w:rFonts w:ascii="Times New Roman" w:eastAsia="Calibri" w:hAnsi="Times New Roman" w:cs="Times New Roman"/>
          <w:sz w:val="24"/>
          <w:szCs w:val="24"/>
        </w:rPr>
        <w:t>19 de noviembre del 2025.</w:t>
      </w:r>
    </w:p>
    <w:p w:rsidR="00A35284" w:rsidRPr="007A27A5" w:rsidRDefault="00A35284" w:rsidP="009D3D08">
      <w:pPr>
        <w:spacing w:after="0" w:line="240" w:lineRule="auto"/>
        <w:ind w:right="-91"/>
        <w:contextualSpacing/>
        <w:jc w:val="both"/>
        <w:rPr>
          <w:rFonts w:ascii="Times New Roman" w:eastAsia="Calibri" w:hAnsi="Times New Roman" w:cs="Times New Roman"/>
          <w:b/>
          <w:sz w:val="24"/>
          <w:szCs w:val="24"/>
        </w:rPr>
      </w:pPr>
    </w:p>
    <w:p w:rsidR="00A35284" w:rsidRPr="007A27A5" w:rsidRDefault="00A35284" w:rsidP="009D3D08">
      <w:pPr>
        <w:spacing w:after="0" w:line="240" w:lineRule="auto"/>
        <w:ind w:right="-91"/>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DIP. MARTHA AZUCENA CAMACHO REYNOSO</w:t>
      </w:r>
    </w:p>
    <w:p w:rsidR="00A35284" w:rsidRPr="007A27A5" w:rsidRDefault="00A35284" w:rsidP="009D3D08">
      <w:pPr>
        <w:spacing w:after="0" w:line="240" w:lineRule="auto"/>
        <w:ind w:right="-91"/>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PRESIDENTA DE LA “LXII” LEGISLATURA</w:t>
      </w:r>
    </w:p>
    <w:p w:rsidR="00A35284" w:rsidRPr="007A27A5" w:rsidRDefault="00A35284" w:rsidP="009D3D08">
      <w:pPr>
        <w:spacing w:after="0" w:line="240" w:lineRule="auto"/>
        <w:ind w:right="-91"/>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DEL CONGRESO DEL ESTADO LIBRE</w:t>
      </w:r>
    </w:p>
    <w:p w:rsidR="00A35284" w:rsidRPr="007A27A5" w:rsidRDefault="00A35284" w:rsidP="009D3D08">
      <w:pPr>
        <w:spacing w:after="0" w:line="240" w:lineRule="auto"/>
        <w:ind w:right="-91"/>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Y SOBERANO DE MÉXICO</w:t>
      </w:r>
    </w:p>
    <w:p w:rsidR="00A35284" w:rsidRPr="007A27A5" w:rsidRDefault="00A35284" w:rsidP="009D3D08">
      <w:pPr>
        <w:spacing w:after="0" w:line="240" w:lineRule="auto"/>
        <w:ind w:right="-91"/>
        <w:contextualSpacing/>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P R E S E N T E.</w:t>
      </w:r>
    </w:p>
    <w:p w:rsidR="00A35284" w:rsidRPr="007A27A5" w:rsidRDefault="00A35284" w:rsidP="009D3D08">
      <w:pPr>
        <w:spacing w:after="0" w:line="240" w:lineRule="auto"/>
        <w:contextualSpacing/>
        <w:jc w:val="both"/>
        <w:rPr>
          <w:rFonts w:ascii="Times New Roman" w:eastAsia="Calibri" w:hAnsi="Times New Roman" w:cs="Times New Roman"/>
          <w:sz w:val="24"/>
          <w:szCs w:val="24"/>
        </w:rPr>
      </w:pPr>
    </w:p>
    <w:p w:rsidR="00A35284" w:rsidRPr="007A27A5" w:rsidRDefault="00A35284" w:rsidP="009D3D08">
      <w:pPr>
        <w:spacing w:after="0" w:line="240" w:lineRule="auto"/>
        <w:ind w:right="-91"/>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Tengo el honor de dirigirme a usted para comunicarle que fueron recibidas en la Secretaría de Asuntos Parlamentarios, Iniciativas de Decreto de Tarifas para el Pago de Derechos de Agua Potable Drenaje Alcantarillado y Recepción de los Caudales de Aguas Residuales para su Tratamiento para el Ejercicio Fiscal 2026, presentadas por los Ayuntamientos de los Municipios de Acolman, Amecameca, Atizapán de Zaragoza, Atlacomulco, Coacalco de Berriozábal, Cuautitlán, Cuautitlán Izcalli, El Oro, Huixquilucan, Jilotepec, Lerma, Metepec, Naucalpan de Juárez, Nicolás Romero, Tecámac, Tepotzotlán, Tlalnepantla de Baz, Toluca, Tultitlán, Valle de Bravo y Zinacantepec.</w:t>
      </w:r>
    </w:p>
    <w:p w:rsidR="00A35284" w:rsidRPr="007A27A5" w:rsidRDefault="00A35284" w:rsidP="009D3D08">
      <w:pPr>
        <w:spacing w:after="0" w:line="240" w:lineRule="auto"/>
        <w:ind w:right="-91"/>
        <w:contextualSpacing/>
        <w:jc w:val="both"/>
        <w:rPr>
          <w:rFonts w:ascii="Times New Roman" w:eastAsia="Calibri" w:hAnsi="Times New Roman" w:cs="Times New Roman"/>
          <w:sz w:val="24"/>
          <w:szCs w:val="24"/>
        </w:rPr>
      </w:pPr>
    </w:p>
    <w:p w:rsidR="00A35284" w:rsidRPr="007A27A5" w:rsidRDefault="00A35284" w:rsidP="009D3D08">
      <w:pPr>
        <w:spacing w:after="0" w:line="240" w:lineRule="auto"/>
        <w:ind w:right="-91"/>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Es oportuno mencionar que la presentación de las iniciativas se sustenta en lo dispuesto en los artículos 115 fracción IV de la Constitución Política de los Estados Unidos Mexicanos, 125 de la Constitución Política del Estado Libre y Soberano de México y 139 del Código Financiero del Estado de México y Municipios.</w:t>
      </w:r>
    </w:p>
    <w:p w:rsidR="00A35284" w:rsidRPr="007A27A5" w:rsidRDefault="00A35284" w:rsidP="009D3D08">
      <w:pPr>
        <w:spacing w:after="0" w:line="240" w:lineRule="auto"/>
        <w:ind w:right="-91"/>
        <w:contextualSpacing/>
        <w:jc w:val="both"/>
        <w:rPr>
          <w:rFonts w:ascii="Times New Roman" w:eastAsia="Calibri" w:hAnsi="Times New Roman" w:cs="Times New Roman"/>
          <w:sz w:val="24"/>
          <w:szCs w:val="24"/>
        </w:rPr>
      </w:pPr>
    </w:p>
    <w:p w:rsidR="00A35284" w:rsidRPr="007A27A5" w:rsidRDefault="00A35284" w:rsidP="009D3D08">
      <w:pPr>
        <w:spacing w:after="0" w:line="240" w:lineRule="auto"/>
        <w:ind w:right="-91"/>
        <w:contextualSpacing/>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Sin otro particular, le reitero mi distinguida consideración.</w:t>
      </w:r>
    </w:p>
    <w:p w:rsidR="00A35284" w:rsidRPr="007A27A5" w:rsidRDefault="00A35284" w:rsidP="009D3D08">
      <w:pPr>
        <w:spacing w:after="0" w:line="240" w:lineRule="auto"/>
        <w:ind w:right="-91"/>
        <w:contextualSpacing/>
        <w:jc w:val="both"/>
        <w:rPr>
          <w:rFonts w:ascii="Times New Roman" w:eastAsia="Calibri" w:hAnsi="Times New Roman" w:cs="Times New Roman"/>
          <w:sz w:val="24"/>
          <w:szCs w:val="24"/>
        </w:rPr>
      </w:pPr>
    </w:p>
    <w:p w:rsidR="00A35284" w:rsidRPr="007A27A5" w:rsidRDefault="00A35284" w:rsidP="009D3D08">
      <w:pPr>
        <w:spacing w:after="0" w:line="240" w:lineRule="auto"/>
        <w:ind w:right="-91"/>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ATENTAMENTE</w:t>
      </w:r>
    </w:p>
    <w:p w:rsidR="00A35284" w:rsidRPr="007A27A5" w:rsidRDefault="00A35284" w:rsidP="009D3D08">
      <w:pPr>
        <w:spacing w:after="0" w:line="240" w:lineRule="auto"/>
        <w:ind w:right="-91"/>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SECRETARIO DE ASUNTOS PARLAMENTARIOS DEL</w:t>
      </w:r>
    </w:p>
    <w:p w:rsidR="00A35284" w:rsidRPr="007A27A5" w:rsidRDefault="00A35284" w:rsidP="009D3D08">
      <w:pPr>
        <w:spacing w:after="0" w:line="240" w:lineRule="auto"/>
        <w:ind w:right="-91"/>
        <w:contextualSpacing/>
        <w:jc w:val="center"/>
        <w:rPr>
          <w:rFonts w:ascii="Times New Roman" w:eastAsia="Calibri" w:hAnsi="Times New Roman" w:cs="Times New Roman"/>
          <w:b/>
          <w:sz w:val="24"/>
          <w:szCs w:val="24"/>
        </w:rPr>
      </w:pPr>
      <w:r w:rsidRPr="007A27A5">
        <w:rPr>
          <w:rFonts w:ascii="Times New Roman" w:eastAsia="Calibri" w:hAnsi="Times New Roman" w:cs="Times New Roman"/>
          <w:b/>
          <w:sz w:val="24"/>
          <w:szCs w:val="24"/>
        </w:rPr>
        <w:t>PODER LEGISLATIVO DEL ESTADO DE MÉXICO</w:t>
      </w:r>
    </w:p>
    <w:p w:rsidR="00A35284" w:rsidRPr="007A27A5" w:rsidRDefault="00A35284" w:rsidP="009D3D08">
      <w:pPr>
        <w:spacing w:after="0" w:line="240" w:lineRule="auto"/>
        <w:ind w:right="-91"/>
        <w:contextualSpacing/>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MTRO. JAVIER DOMÍNGUEZ MORALES</w:t>
      </w:r>
    </w:p>
    <w:p w:rsidR="00A35284" w:rsidRPr="007A27A5" w:rsidRDefault="00A35284" w:rsidP="009D3D08">
      <w:pPr>
        <w:spacing w:after="0" w:line="240" w:lineRule="auto"/>
        <w:jc w:val="center"/>
        <w:rPr>
          <w:rFonts w:ascii="Times New Roman" w:hAnsi="Times New Roman" w:cs="Times New Roman"/>
          <w:sz w:val="24"/>
          <w:szCs w:val="24"/>
        </w:rPr>
      </w:pPr>
    </w:p>
    <w:p w:rsidR="00A35284" w:rsidRPr="007A27A5" w:rsidRDefault="00A35284" w:rsidP="009D3D08">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(Fin del documento)</w:t>
      </w:r>
    </w:p>
    <w:p w:rsidR="00A35284" w:rsidRPr="007A27A5" w:rsidRDefault="00A35284" w:rsidP="009D3D08">
      <w:pPr>
        <w:spacing w:after="0" w:line="240" w:lineRule="auto"/>
        <w:jc w:val="center"/>
        <w:rPr>
          <w:rFonts w:ascii="Times New Roman" w:hAnsi="Times New Roman" w:cs="Times New Roman"/>
          <w:sz w:val="24"/>
          <w:szCs w:val="24"/>
        </w:rPr>
      </w:pPr>
    </w:p>
    <w:p w:rsidR="00AD370F" w:rsidRPr="007A27A5" w:rsidRDefault="00AD370F" w:rsidP="009D3D08">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PRESIDENTA DIP. MARTHA AZUCENA CAMACHO REYNOSO. Gracias diputada Leticia Mejía García.</w:t>
      </w:r>
    </w:p>
    <w:p w:rsidR="00AD370F" w:rsidRPr="007A27A5" w:rsidRDefault="00AD370F" w:rsidP="00B54AF5">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Se registran las iniciativas y se remiten a las Comisiones Legislativas de Legislación y Administración Municipal, de Finanzas Públicas y de Recursos Hidráulicos para su estudio y dictamen.</w:t>
      </w:r>
    </w:p>
    <w:p w:rsidR="00AD370F" w:rsidRPr="007A27A5" w:rsidRDefault="00AD370F" w:rsidP="00B54AF5">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 xml:space="preserve">Esta LXII Legislatura le da la más cordial bienvenida a la Presidenta Municipal de Acolman, la Licenciada Blanca Guadalupe Sánchez Osorio y así como a sus integrantes de cabildo, sean todos ustedes bienvenidos a esta su cada </w:t>
      </w:r>
      <w:r w:rsidR="00D24923" w:rsidRPr="007A27A5">
        <w:rPr>
          <w:rFonts w:ascii="Times New Roman" w:hAnsi="Times New Roman" w:cs="Times New Roman"/>
          <w:sz w:val="24"/>
          <w:szCs w:val="24"/>
        </w:rPr>
        <w:t>“L</w:t>
      </w:r>
      <w:r w:rsidRPr="007A27A5">
        <w:rPr>
          <w:rFonts w:ascii="Times New Roman" w:hAnsi="Times New Roman" w:cs="Times New Roman"/>
          <w:sz w:val="24"/>
          <w:szCs w:val="24"/>
        </w:rPr>
        <w:t>a Casa del Pueblo”.</w:t>
      </w:r>
    </w:p>
    <w:p w:rsidR="00AD370F" w:rsidRPr="007A27A5" w:rsidRDefault="00AD370F" w:rsidP="00B54AF5">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De igual forma, le damos la más cordial bienvenida a las y los maestros artesanos de este Municipio de Acolman, gracias por su presencia.</w:t>
      </w:r>
    </w:p>
    <w:p w:rsidR="00AD370F" w:rsidRPr="007A27A5" w:rsidRDefault="00AD370F" w:rsidP="00B54AF5">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lastRenderedPageBreak/>
        <w:tab/>
        <w:t xml:space="preserve">De acuerdo con el punto 7, el diputado Osvaldo Cortés Contreras, presenta en nombre del Grupo Parlamentario del Partido morena, la </w:t>
      </w:r>
      <w:r w:rsidR="00D24923" w:rsidRPr="007A27A5">
        <w:rPr>
          <w:rFonts w:ascii="Times New Roman" w:hAnsi="Times New Roman" w:cs="Times New Roman"/>
          <w:sz w:val="24"/>
          <w:szCs w:val="24"/>
        </w:rPr>
        <w:t xml:space="preserve">Iniciativa </w:t>
      </w:r>
      <w:r w:rsidRPr="007A27A5">
        <w:rPr>
          <w:rFonts w:ascii="Times New Roman" w:hAnsi="Times New Roman" w:cs="Times New Roman"/>
          <w:sz w:val="24"/>
          <w:szCs w:val="24"/>
        </w:rPr>
        <w:t xml:space="preserve">de </w:t>
      </w:r>
      <w:r w:rsidR="00D24923" w:rsidRPr="007A27A5">
        <w:rPr>
          <w:rFonts w:ascii="Times New Roman" w:hAnsi="Times New Roman" w:cs="Times New Roman"/>
          <w:sz w:val="24"/>
          <w:szCs w:val="24"/>
        </w:rPr>
        <w:t>Decreto</w:t>
      </w:r>
      <w:r w:rsidRPr="007A27A5">
        <w:rPr>
          <w:rFonts w:ascii="Times New Roman" w:hAnsi="Times New Roman" w:cs="Times New Roman"/>
          <w:sz w:val="24"/>
          <w:szCs w:val="24"/>
        </w:rPr>
        <w:t>, por el que se declara Patrimonio Cultural Inmaterial del Estado de México, a la elaboración artesanal de las piñatas en el municipio de Acolman Estado de México, incluyendo los saberes, conocimientos, técnicas, prácticas y tradiciones comunitarias, relacionadas con su creación, transmisión y uso festivo y se declara el 16 de diciembre de cada año, como “Día de la Piñata Acolmense”, de urgente y obvia resolución.</w:t>
      </w:r>
    </w:p>
    <w:p w:rsidR="00AD370F" w:rsidRPr="007A27A5" w:rsidRDefault="00AD370F" w:rsidP="00B54AF5">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DIP. OSVALDO CORTÉS CONTRERAS. Ciudadana Martha Azucena Camacho Reynoso, Presidenta de la Mesa Directiva de la LXII Legislatura del Estado Libre y Soberano de México.</w:t>
      </w:r>
    </w:p>
    <w:p w:rsidR="00AD370F" w:rsidRPr="007A27A5" w:rsidRDefault="00AD370F" w:rsidP="000C360C">
      <w:pPr>
        <w:pStyle w:val="Sinespaciado"/>
        <w:ind w:firstLine="709"/>
      </w:pPr>
      <w:r w:rsidRPr="007A27A5">
        <w:t>Ciudadanas y ciudadanos, diputadas</w:t>
      </w:r>
      <w:r w:rsidR="005F6781" w:rsidRPr="007A27A5">
        <w:t>,</w:t>
      </w:r>
      <w:r w:rsidRPr="007A27A5">
        <w:t xml:space="preserve"> diputade y diputados de esta Honorable LXII Legislatura del Estado de México, ciudadana Presidenta Municipal de Acolman, Blanca Guadalupe Sánchez Osorio, miembros del cabildo en Municipio de Acolman, todas y todos los distinguidos artesanos de la piñata del Municipio de Acolman, medios de comunicación que nos acompañan, a todas y a todos, bienvenidos</w:t>
      </w:r>
      <w:r w:rsidR="00E00CB0" w:rsidRPr="007A27A5">
        <w:t>.</w:t>
      </w:r>
    </w:p>
    <w:p w:rsidR="007C2166" w:rsidRPr="007A27A5" w:rsidRDefault="007C2166" w:rsidP="007C2166">
      <w:pPr>
        <w:pStyle w:val="Sinespaciado"/>
      </w:pPr>
      <w:r w:rsidRPr="007A27A5">
        <w:tab/>
        <w:t>Acolman es históricamente reconocido como la cuna de la piñata en México. Con la llegada de los españoles en el siglo XVI, los misioneros introdujeron la tradición europea de la piñata, consistente en figuras decoradas que se rompían durante festividades religiosas. Esta costumbre se fusionó con las prácticas indígenas, dando origen a una tradición única que integraba elementos de ambas culturas.</w:t>
      </w:r>
    </w:p>
    <w:p w:rsidR="007C2166" w:rsidRPr="007A27A5" w:rsidRDefault="007C2166" w:rsidP="000C360C">
      <w:pPr>
        <w:pStyle w:val="Sinespaciado"/>
        <w:ind w:firstLine="709"/>
      </w:pPr>
      <w:r w:rsidRPr="007A27A5">
        <w:t>En particular, en Acolman esta tradición adquirió un significado especial. En 1586, los frailes agustinos recibieron la autorización del Papa Sixto V para celebrar las misas de aguinaldo durante los días previos a la Navidad, con el objetivo de evangelizar a los pueblos indígenas. Para estas celebraciones, los frailes introdujeron la estrella de siete picos, símbolo de los siete pecados capitales, cuya ruptura representaba la victoria del bien sobre el mal, enseñando a las comunidades los valores cristianos mediante un lenguaje visual y festivo.</w:t>
      </w:r>
    </w:p>
    <w:p w:rsidR="007C2166" w:rsidRPr="007A27A5" w:rsidRDefault="007C2166" w:rsidP="000C360C">
      <w:pPr>
        <w:pStyle w:val="Sinespaciado"/>
        <w:ind w:firstLine="709"/>
      </w:pPr>
      <w:r w:rsidRPr="007A27A5">
        <w:t xml:space="preserve">Con el paso del tiempo, la elaboración de piñatas en Acolman se consolidó como un saber artesanal, transmitido de generación en generación. Esta práctica combina creatividad, destreza manual y significado cultural, convirtiéndose en un elemento central de la identidad comunitaria. La tradición no solo se mantiene como un ritual religioso, sino que ha evolucionado hacia una expresión artística reconocida a nivel nacional reforzada por la realización anual de la Feria de la Piñata desde 1985, que incluye exhibiciones, concursos, talleres y actividades turísticas, consolidando a Acolman como un referente del patrimonio cultural mexicano. </w:t>
      </w:r>
    </w:p>
    <w:p w:rsidR="007C2166" w:rsidRPr="007A27A5" w:rsidRDefault="007C2166" w:rsidP="000C360C">
      <w:pPr>
        <w:pStyle w:val="Sinespaciado"/>
        <w:ind w:firstLine="709"/>
      </w:pPr>
      <w:r w:rsidRPr="007A27A5">
        <w:t xml:space="preserve">La elaboración artesanal de la piñata representa un conjunto único de saberes y técnicas que han sido transmitidos de generación en generación en Acolman, cada piñata requiere creatividad, precisión y conocimiento de los materiales y colores, lo que refleja la habilidad de los artesanos y la riqueza cultural de la región; este conocimiento colectivo constituye un patrimonio vivo que fortalece la identidad de la comunidad y su cohesión social. </w:t>
      </w:r>
    </w:p>
    <w:p w:rsidR="007C2166" w:rsidRPr="007A27A5" w:rsidRDefault="007C2166" w:rsidP="000C360C">
      <w:pPr>
        <w:pStyle w:val="Sinespaciado"/>
        <w:ind w:firstLine="709"/>
      </w:pPr>
      <w:r w:rsidRPr="007A27A5">
        <w:t>La tradición de la piñata distingue a México en el mundo y es un símbolo cultural reconocido internacionalmente. Su presencia en festividades, tanto dentro del país como en comunidades mexicanas en el extranjero, convierten en la piñata un emblema de la cultura mexicana. Con Acolman como referente histórico y origen de esta práctica ancestral.</w:t>
      </w:r>
    </w:p>
    <w:p w:rsidR="007C2166" w:rsidRPr="007A27A5" w:rsidRDefault="007C2166" w:rsidP="000C360C">
      <w:pPr>
        <w:pStyle w:val="Sinespaciado"/>
        <w:ind w:firstLine="709"/>
      </w:pPr>
      <w:r w:rsidRPr="007A27A5">
        <w:t xml:space="preserve">Declarar la elaboración artesanal de la piñata como Patrimonio Cultural Inmaterial garantiza su preservación, promoción y valoración entre las nuevas generaciones. Este reconocimiento no solo protege un legado cultural, sino que también impulsa la economía local, fomenta el turismo cultural y refuerza la transmisión de conocimientos y prácticas tradicionales en un contexto moderno, asegurando así la continuidad de esta expresión artística y simbólica. </w:t>
      </w:r>
    </w:p>
    <w:p w:rsidR="007C2166" w:rsidRPr="007A27A5" w:rsidRDefault="007C2166" w:rsidP="000C360C">
      <w:pPr>
        <w:pStyle w:val="Sinespaciado"/>
        <w:ind w:firstLine="709"/>
      </w:pPr>
      <w:r w:rsidRPr="007A27A5">
        <w:t>La elaboración de la piñata artesanal se enmarca en la Convención para la Salvaguardia del Patrimonio Cultural Inmaterial de la UNESCO, adoptada en el 2003, que establece la importancia de respetar y promover las técnicas artesanales tradicionales, así como de sensibilizar sobre su valor en el ámbito local, nacional e internacional.</w:t>
      </w:r>
    </w:p>
    <w:p w:rsidR="007C2166" w:rsidRPr="007A27A5" w:rsidRDefault="007C2166" w:rsidP="000C360C">
      <w:pPr>
        <w:pStyle w:val="Sinespaciado"/>
        <w:ind w:firstLine="709"/>
      </w:pPr>
      <w:r w:rsidRPr="007A27A5">
        <w:lastRenderedPageBreak/>
        <w:t xml:space="preserve">Como parte de esta iniciativa, se propone instituir el 16 de diciembre de cada año como el “Día de la Piñata Acolmense”, fecha vinculada a la primera posada decembrina, en la que romper piñatas constituye un elemento esencial de la convivencia familiar, reforzando así la identidad cultural de los </w:t>
      </w:r>
      <w:proofErr w:type="spellStart"/>
      <w:r w:rsidRPr="007A27A5">
        <w:t>acolmenses</w:t>
      </w:r>
      <w:proofErr w:type="spellEnd"/>
      <w:r w:rsidRPr="007A27A5">
        <w:t xml:space="preserve">. </w:t>
      </w:r>
    </w:p>
    <w:p w:rsidR="007C2166" w:rsidRPr="007A27A5" w:rsidRDefault="007C2166" w:rsidP="000C360C">
      <w:pPr>
        <w:pStyle w:val="Sinespaciado"/>
        <w:ind w:firstLine="709"/>
      </w:pPr>
      <w:r w:rsidRPr="007A27A5">
        <w:t>El reconocimiento de la elaboración artesanal de la piñata como patrimonio cultural inmaterial y la instauración de un día conmemorativo contribuirá también a fortalecer la actividad turística del municipio. La Feria de la Piñata, el ex Convento Virreinal de Acolman, con sus elementos plateresco y góticos, y el museo de Tepexpan son solo ejemplos del potencial cultural que puede ampliarse con un futuro museo-escuela de la Piñata, integrando educación, turismo y preservación del patrimonio.</w:t>
      </w:r>
    </w:p>
    <w:p w:rsidR="007C2166" w:rsidRPr="007A27A5" w:rsidRDefault="007C2166" w:rsidP="000C360C">
      <w:pPr>
        <w:pStyle w:val="Sinespaciado"/>
        <w:ind w:firstLine="709"/>
      </w:pPr>
      <w:r w:rsidRPr="007A27A5">
        <w:t xml:space="preserve">Además, la piñata refleja la vocación artesanal de los </w:t>
      </w:r>
      <w:proofErr w:type="spellStart"/>
      <w:r w:rsidRPr="007A27A5">
        <w:t>acolmenses</w:t>
      </w:r>
      <w:proofErr w:type="spellEnd"/>
      <w:r w:rsidRPr="007A27A5">
        <w:t>. Actualmente, se producen aproximadamente 30 mil piñatas al año, muchas de carácter decorativo, con capacidad de abastecer el mercado nacional y competir internacionalmente, siendo una actividad sostenible y generadora de empleo.</w:t>
      </w:r>
    </w:p>
    <w:p w:rsidR="007C2166" w:rsidRPr="007A27A5" w:rsidRDefault="007C2166" w:rsidP="000C360C">
      <w:pPr>
        <w:pStyle w:val="Sinespaciado"/>
        <w:ind w:firstLine="709"/>
      </w:pPr>
      <w:r w:rsidRPr="007A27A5">
        <w:t>Por lo anteriormente expuesto, se somete la presente Iniciativa de Decreto para que, de considerarse procedente, se apruebe en sus términos.</w:t>
      </w:r>
    </w:p>
    <w:p w:rsidR="007C2166" w:rsidRPr="007A27A5" w:rsidRDefault="007C2166" w:rsidP="000C360C">
      <w:pPr>
        <w:pStyle w:val="Sinespaciado"/>
        <w:ind w:firstLine="709"/>
      </w:pPr>
      <w:r w:rsidRPr="007A27A5">
        <w:t>ARTÍCULO PRIMERO. Se declara Patrimonio Cultural Inmaterial del Estado de México a la elaboración artesanal de la piñata en el Municipio de Acolman, Estado de México, incluyendo los saberes, conocimientos, técnicas, prácticas y tradiciones comunitarias relacionadas con su creación, transmisión y uso festivo.</w:t>
      </w:r>
    </w:p>
    <w:p w:rsidR="007C2166" w:rsidRPr="007A27A5" w:rsidRDefault="007C2166" w:rsidP="000C360C">
      <w:pPr>
        <w:pStyle w:val="Sinespaciado"/>
        <w:ind w:firstLine="709"/>
      </w:pPr>
      <w:r w:rsidRPr="007A27A5">
        <w:t>ARTÍCULO SEGUNDO. Se declara de orden público e interés social el fomento, conservación, promoción, patrocinio y salvaguarda a esta tradición.</w:t>
      </w:r>
    </w:p>
    <w:p w:rsidR="007C2166" w:rsidRPr="007A27A5" w:rsidRDefault="007C2166" w:rsidP="000C360C">
      <w:pPr>
        <w:pStyle w:val="Sinespaciado"/>
        <w:ind w:firstLine="709"/>
      </w:pPr>
      <w:r w:rsidRPr="007A27A5">
        <w:t>ARTÍCULO TERCERO. Se declara el día 16 de diciembre de cada año como el “Día de la Piñata a Acolmense”. Es cuanto Presidenta.</w:t>
      </w:r>
    </w:p>
    <w:p w:rsidR="001E5E0F" w:rsidRPr="007A27A5" w:rsidRDefault="001E5E0F" w:rsidP="00996E55">
      <w:pPr>
        <w:pStyle w:val="Sinespaciado"/>
      </w:pPr>
    </w:p>
    <w:p w:rsidR="001E5E0F" w:rsidRPr="007A27A5" w:rsidRDefault="001E5E0F" w:rsidP="00996E55">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(Se inserta documento)</w:t>
      </w:r>
    </w:p>
    <w:p w:rsidR="001E5E0F" w:rsidRPr="007A27A5" w:rsidRDefault="001E5E0F" w:rsidP="00996E55">
      <w:pPr>
        <w:spacing w:after="0" w:line="240" w:lineRule="auto"/>
        <w:jc w:val="center"/>
        <w:rPr>
          <w:rFonts w:ascii="Times New Roman" w:hAnsi="Times New Roman" w:cs="Times New Roman"/>
          <w:sz w:val="24"/>
          <w:szCs w:val="24"/>
        </w:rPr>
      </w:pPr>
    </w:p>
    <w:p w:rsidR="001E5E0F" w:rsidRPr="007A27A5" w:rsidRDefault="001E5E0F" w:rsidP="00996E55">
      <w:pPr>
        <w:widowControl w:val="0"/>
        <w:autoSpaceDE w:val="0"/>
        <w:autoSpaceDN w:val="0"/>
        <w:spacing w:after="0" w:line="240" w:lineRule="auto"/>
        <w:jc w:val="right"/>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Dip. Osvaldo Cortés Contreras</w:t>
      </w:r>
    </w:p>
    <w:p w:rsidR="001E5E0F" w:rsidRPr="007A27A5" w:rsidRDefault="001E5E0F" w:rsidP="00996E55">
      <w:pPr>
        <w:widowControl w:val="0"/>
        <w:autoSpaceDE w:val="0"/>
        <w:autoSpaceDN w:val="0"/>
        <w:spacing w:after="0" w:line="240" w:lineRule="auto"/>
        <w:jc w:val="right"/>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Comisión de Finanzas Públicas</w:t>
      </w:r>
    </w:p>
    <w:p w:rsidR="001E5E0F" w:rsidRPr="007A27A5" w:rsidRDefault="001E5E0F" w:rsidP="00996E55">
      <w:pPr>
        <w:widowControl w:val="0"/>
        <w:autoSpaceDE w:val="0"/>
        <w:autoSpaceDN w:val="0"/>
        <w:spacing w:after="0" w:line="240" w:lineRule="auto"/>
        <w:jc w:val="right"/>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Presidente</w:t>
      </w:r>
    </w:p>
    <w:p w:rsidR="001E5E0F" w:rsidRPr="007A27A5" w:rsidRDefault="001E5E0F" w:rsidP="00996E55">
      <w:pPr>
        <w:widowControl w:val="0"/>
        <w:autoSpaceDE w:val="0"/>
        <w:autoSpaceDN w:val="0"/>
        <w:spacing w:after="0" w:line="240" w:lineRule="auto"/>
        <w:jc w:val="center"/>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center"/>
        <w:rPr>
          <w:rFonts w:ascii="Times New Roman" w:eastAsia="Arial MT" w:hAnsi="Times New Roman" w:cs="Times New Roman"/>
          <w:sz w:val="24"/>
          <w:szCs w:val="24"/>
        </w:rPr>
      </w:pPr>
      <w:r w:rsidRPr="007A27A5">
        <w:rPr>
          <w:rFonts w:ascii="Times New Roman" w:eastAsia="Arial MT" w:hAnsi="Times New Roman" w:cs="Times New Roman"/>
          <w:sz w:val="24"/>
          <w:szCs w:val="24"/>
        </w:rPr>
        <w:t>“2025. Bicentenario de la vida municipal en el Estado de México”.</w:t>
      </w:r>
    </w:p>
    <w:p w:rsidR="001E5E0F" w:rsidRPr="007A27A5" w:rsidRDefault="001E5E0F" w:rsidP="00996E55">
      <w:pPr>
        <w:widowControl w:val="0"/>
        <w:autoSpaceDE w:val="0"/>
        <w:autoSpaceDN w:val="0"/>
        <w:spacing w:after="0" w:line="240" w:lineRule="auto"/>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rPr>
          <w:rFonts w:ascii="Times New Roman" w:eastAsia="Arial MT" w:hAnsi="Times New Roman" w:cs="Times New Roman"/>
          <w:sz w:val="24"/>
          <w:szCs w:val="24"/>
        </w:rPr>
      </w:pPr>
      <w:r w:rsidRPr="007A27A5">
        <w:rPr>
          <w:rFonts w:ascii="Times New Roman" w:eastAsia="Arial MT" w:hAnsi="Times New Roman" w:cs="Times New Roman"/>
          <w:sz w:val="24"/>
          <w:szCs w:val="24"/>
        </w:rPr>
        <w:t>Toluca, Estado de México; a 22 de octubre de 2025.</w:t>
      </w:r>
    </w:p>
    <w:p w:rsidR="001E5E0F" w:rsidRPr="007A27A5" w:rsidRDefault="001E5E0F" w:rsidP="00996E55">
      <w:pPr>
        <w:widowControl w:val="0"/>
        <w:autoSpaceDE w:val="0"/>
        <w:autoSpaceDN w:val="0"/>
        <w:spacing w:after="0" w:line="240" w:lineRule="auto"/>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outlineLvl w:val="0"/>
        <w:rPr>
          <w:rFonts w:ascii="Times New Roman" w:eastAsia="Arial" w:hAnsi="Times New Roman" w:cs="Times New Roman"/>
          <w:b/>
          <w:bCs/>
          <w:sz w:val="24"/>
          <w:szCs w:val="24"/>
        </w:rPr>
      </w:pPr>
      <w:r w:rsidRPr="007A27A5">
        <w:rPr>
          <w:rFonts w:ascii="Times New Roman" w:eastAsia="Arial" w:hAnsi="Times New Roman" w:cs="Times New Roman"/>
          <w:b/>
          <w:bCs/>
          <w:sz w:val="24"/>
          <w:szCs w:val="24"/>
        </w:rPr>
        <w:t>DIP. MARTHA AZUCENA CAMACHO REYNOSO</w:t>
      </w:r>
    </w:p>
    <w:p w:rsidR="001E5E0F" w:rsidRPr="007A27A5" w:rsidRDefault="001E5E0F" w:rsidP="00996E55">
      <w:pPr>
        <w:widowControl w:val="0"/>
        <w:autoSpaceDE w:val="0"/>
        <w:autoSpaceDN w:val="0"/>
        <w:spacing w:after="0" w:line="240" w:lineRule="auto"/>
        <w:outlineLvl w:val="0"/>
        <w:rPr>
          <w:rFonts w:ascii="Times New Roman" w:eastAsia="Arial" w:hAnsi="Times New Roman" w:cs="Times New Roman"/>
          <w:b/>
          <w:bCs/>
          <w:sz w:val="24"/>
          <w:szCs w:val="24"/>
        </w:rPr>
      </w:pPr>
      <w:r w:rsidRPr="007A27A5">
        <w:rPr>
          <w:rFonts w:ascii="Times New Roman" w:eastAsia="Arial" w:hAnsi="Times New Roman" w:cs="Times New Roman"/>
          <w:b/>
          <w:bCs/>
          <w:sz w:val="24"/>
          <w:szCs w:val="24"/>
        </w:rPr>
        <w:t>PRESIDENTA DE LA H. “LXII” LEGISLATURA</w:t>
      </w:r>
    </w:p>
    <w:p w:rsidR="001E5E0F" w:rsidRPr="007A27A5" w:rsidRDefault="001E5E0F" w:rsidP="00996E55">
      <w:pPr>
        <w:widowControl w:val="0"/>
        <w:autoSpaceDE w:val="0"/>
        <w:autoSpaceDN w:val="0"/>
        <w:spacing w:after="0" w:line="240" w:lineRule="auto"/>
        <w:outlineLvl w:val="0"/>
        <w:rPr>
          <w:rFonts w:ascii="Times New Roman" w:eastAsia="Arial" w:hAnsi="Times New Roman" w:cs="Times New Roman"/>
          <w:b/>
          <w:bCs/>
          <w:sz w:val="24"/>
          <w:szCs w:val="24"/>
        </w:rPr>
      </w:pPr>
      <w:r w:rsidRPr="007A27A5">
        <w:rPr>
          <w:rFonts w:ascii="Times New Roman" w:eastAsia="Arial" w:hAnsi="Times New Roman" w:cs="Times New Roman"/>
          <w:b/>
          <w:bCs/>
          <w:sz w:val="24"/>
          <w:szCs w:val="24"/>
        </w:rPr>
        <w:t>DEL ESTADO DE MÉXICO</w:t>
      </w:r>
    </w:p>
    <w:p w:rsidR="001E5E0F" w:rsidRPr="007A27A5" w:rsidRDefault="001E5E0F" w:rsidP="00996E55">
      <w:pPr>
        <w:widowControl w:val="0"/>
        <w:autoSpaceDE w:val="0"/>
        <w:autoSpaceDN w:val="0"/>
        <w:spacing w:after="0" w:line="240" w:lineRule="auto"/>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P R E S E N T E</w:t>
      </w:r>
    </w:p>
    <w:p w:rsidR="001E5E0F" w:rsidRPr="007A27A5" w:rsidRDefault="001E5E0F" w:rsidP="00996E55">
      <w:pPr>
        <w:widowControl w:val="0"/>
        <w:autoSpaceDE w:val="0"/>
        <w:autoSpaceDN w:val="0"/>
        <w:spacing w:after="0" w:line="240" w:lineRule="auto"/>
        <w:rPr>
          <w:rFonts w:ascii="Times New Roman" w:eastAsia="Arial MT" w:hAnsi="Times New Roman" w:cs="Times New Roman"/>
          <w:b/>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Con fundamento en lo dispuesto en los artículos 51 fracción II, 57 y 61 fracción I de la Constitución Política del Estado Libre y Soberano de México, y 28, fracción I, 79 y 81 de la Ley Orgánica del Poder Legislativo del Estado Libre y Soberano de México; quien suscribe Diputado Osvaldo Cortés Contreras integrante del Grupo Parlamentario de morena, me permito someter a la consideración de esta Honorable Legislatura </w:t>
      </w:r>
      <w:r w:rsidRPr="007A27A5">
        <w:rPr>
          <w:rFonts w:ascii="Times New Roman" w:eastAsia="Arial MT" w:hAnsi="Times New Roman" w:cs="Times New Roman"/>
          <w:b/>
          <w:sz w:val="24"/>
          <w:szCs w:val="24"/>
        </w:rPr>
        <w:t>Iniciativa de Decreto por el que se declara Patrimonio Cultural Inmaterial del Estado de México a la elaboración artesanal de la piñata en el Municipio de Acolman, Estado de México, incluyendo los saberes, conocimientos, técnicas, prácticas y tradiciones comunitarias relacionadas con su creación, transmisión y uso festivo, y se declara el 16 de diciembre de cada año como “Día de la Piñata Acolmense”</w:t>
      </w:r>
      <w:r w:rsidRPr="007A27A5">
        <w:rPr>
          <w:rFonts w:ascii="Times New Roman" w:eastAsia="Arial MT" w:hAnsi="Times New Roman" w:cs="Times New Roman"/>
          <w:sz w:val="24"/>
          <w:szCs w:val="24"/>
        </w:rPr>
        <w:t xml:space="preserve">, en el contexto de la </w:t>
      </w:r>
      <w:r w:rsidRPr="007A27A5">
        <w:rPr>
          <w:rFonts w:ascii="Times New Roman" w:eastAsia="Arial MT" w:hAnsi="Times New Roman" w:cs="Times New Roman"/>
          <w:sz w:val="24"/>
          <w:szCs w:val="24"/>
        </w:rPr>
        <w:lastRenderedPageBreak/>
        <w:t>siguiente:</w:t>
      </w:r>
    </w:p>
    <w:p w:rsidR="001E5E0F" w:rsidRPr="007A27A5" w:rsidRDefault="001E5E0F" w:rsidP="00996E55">
      <w:pPr>
        <w:widowControl w:val="0"/>
        <w:autoSpaceDE w:val="0"/>
        <w:autoSpaceDN w:val="0"/>
        <w:spacing w:after="0" w:line="240" w:lineRule="auto"/>
        <w:jc w:val="center"/>
        <w:outlineLvl w:val="0"/>
        <w:rPr>
          <w:rFonts w:ascii="Times New Roman" w:eastAsia="Arial" w:hAnsi="Times New Roman" w:cs="Times New Roman"/>
          <w:b/>
          <w:bCs/>
          <w:sz w:val="24"/>
          <w:szCs w:val="24"/>
        </w:rPr>
      </w:pPr>
    </w:p>
    <w:p w:rsidR="001E5E0F" w:rsidRPr="007A27A5" w:rsidRDefault="001E5E0F" w:rsidP="00996E55">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7A27A5">
        <w:rPr>
          <w:rFonts w:ascii="Times New Roman" w:eastAsia="Arial" w:hAnsi="Times New Roman" w:cs="Times New Roman"/>
          <w:b/>
          <w:bCs/>
          <w:sz w:val="24"/>
          <w:szCs w:val="24"/>
        </w:rPr>
        <w:t>EXPOSICIÓN DE MOTIVOS</w:t>
      </w:r>
    </w:p>
    <w:p w:rsidR="001E5E0F" w:rsidRPr="007A27A5" w:rsidRDefault="001E5E0F" w:rsidP="00996E55">
      <w:pPr>
        <w:widowControl w:val="0"/>
        <w:autoSpaceDE w:val="0"/>
        <w:autoSpaceDN w:val="0"/>
        <w:spacing w:after="0" w:line="240" w:lineRule="auto"/>
        <w:rPr>
          <w:rFonts w:ascii="Times New Roman" w:eastAsia="Arial MT" w:hAnsi="Times New Roman" w:cs="Times New Roman"/>
          <w:b/>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Acolman es históricamente reconocido como la cuna de la piñata en México. Con la llegada de los españoles en el siglo XVI, los misioneros introdujeron la tradición europea de la piñata, consistente en figuras decoradas que se rompían durante festividades religiosas. Esta costumbre se fusionó con las prácticas indígenas, dando origen a una tradición única que integraba elementos de ambas culturas.</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En particular, en Acolman esta tradición adquirió un significado especial. En 1586, los frailes agustinos recibieron la autorización del Papa Sixto V para celebrar las misas de aguinaldo durante los días previos a la Navidad, con el objetivo de evangelizar a los pueblos indígenas. Para estas celebraciones, los frailes introdujeron la estrella de siete picos, símbolo de los siete pecados capitales, cuya ruptura representaba la victoria del bien sobre el mal, enseñando a las comunidades los valores cristianos mediante un lenguaje visual y festivo.</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Con el paso del tiempo, la elaboración de piñatas en Acolman se consolidó como un saber artesanal, transmitido de generación en generación. Esta práctica combina creatividad, destreza manual y significado cultural, convirtiéndose en un elemento central de la identidad comunitaria. La tradición no solo se mantiene como ritual religioso, sino que ha evolucionado hacia una expresión artística reconocida a nivel nacional, reforzada por la realización anual de la Feria de la Piñata, desde 1985, que incluye exhibiciones, concursos, talleres y actividades turísticas, consolidando a Acolman como un referente del patrimonio cultural mexicano.</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elaboración artesanal de la piñata representa un conjunto único de saberes y técnicas que han sido transmitidos de generación en generación en Acolman. Cada piñata requiere creatividad, precisión y conocimiento de los materiales y colores, lo que refleja la habilidad de los artesanos y la riqueza cultural de la región. Este conocimiento colectivo constituye un patrimonio vivo que fortalece la identidad de la comunidad y su cohesión social.</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tradición de la piñata distingue a México en el mundo y es un símbolo cultural reconocido internacionalmente. Su presencia en festividades, tanto dentro del país como en comunidades mexicanas en el extranjero, convierte a la piñata en un emblema de la cultura mexicana, con Acolman como referente histórico y origen de esta práctica ancestral.</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Declarar la elaboración artesanal de la piñata como Patrimonio Cultural Inmaterial garantiza su preservación, promoción y valoración entre las nuevas generaciones. Este reconocimiento no solo protege un legado cultural, sino que también impulsa la economía local, fomenta el turismo cultural y refuerza la transmisión de conocimientos y prácticas tradicionales en un contexto moderno, asegurando la continuidad de esta expresión artística y simbólica.</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elaboración de la piñata artesanal se enmarca en la Convención para la Salvaguardia del Patrimonio Cultural Inmaterial de la UNESCO, adoptada en 2003, que establece la importancia de respetar y promover las técnicas artesanales tradicionales, así como de sensibilizar sobre su valor en el ámbito local, nacional e internacional.</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Como parte de esta iniciativa, se propone instituir el 16 de diciembre de cada año como “Día de la Piñata Acolmense”, fecha vinculada a la primera posada decembrina, en la que romper piñatas constituye un elemento esencial de la convivencia familiar, reforzando la identidad cultural de los </w:t>
      </w:r>
      <w:proofErr w:type="spellStart"/>
      <w:r w:rsidRPr="007A27A5">
        <w:rPr>
          <w:rFonts w:ascii="Times New Roman" w:eastAsia="Arial MT" w:hAnsi="Times New Roman" w:cs="Times New Roman"/>
          <w:sz w:val="24"/>
          <w:szCs w:val="24"/>
        </w:rPr>
        <w:lastRenderedPageBreak/>
        <w:t>acolmenses</w:t>
      </w:r>
      <w:proofErr w:type="spellEnd"/>
      <w:r w:rsidRPr="007A27A5">
        <w:rPr>
          <w:rFonts w:ascii="Times New Roman" w:eastAsia="Arial MT" w:hAnsi="Times New Roman" w:cs="Times New Roman"/>
          <w:sz w:val="24"/>
          <w:szCs w:val="24"/>
        </w:rPr>
        <w:t>.</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El reconocimiento de la elaboración artesanal de la piñata como patrimonio cultural inmaterial y la instauración de un día conmemorativo contribuirá también a fortalecer la actividad turística del municipio. La Feria de la Piñata, el Exconvento Virreinal de Acolman, con sus elementos platerescos y góticos, y el museo de Tepexpan son ejemplos del potencial cultural que puede ampliarse con un futuro museo-escuela de la piñata, integrando educación, turismo y preservación del patrimonio.</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Además, la piñata refleja la vocación artesanal de los </w:t>
      </w:r>
      <w:proofErr w:type="spellStart"/>
      <w:r w:rsidRPr="007A27A5">
        <w:rPr>
          <w:rFonts w:ascii="Times New Roman" w:eastAsia="Arial MT" w:hAnsi="Times New Roman" w:cs="Times New Roman"/>
          <w:sz w:val="24"/>
          <w:szCs w:val="24"/>
        </w:rPr>
        <w:t>acolmenses</w:t>
      </w:r>
      <w:proofErr w:type="spellEnd"/>
      <w:r w:rsidRPr="007A27A5">
        <w:rPr>
          <w:rFonts w:ascii="Times New Roman" w:eastAsia="Arial MT" w:hAnsi="Times New Roman" w:cs="Times New Roman"/>
          <w:sz w:val="24"/>
          <w:szCs w:val="24"/>
        </w:rPr>
        <w:t>. Actualmente, se producen aproximadamente 30,000 piñatas al año, muchas de carácter decorativo, con capacidad de abastecer el mercado nacional y competir internacionalmente, siendo una actividad sostenible y generadora de empleo.</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Por lo anteriormente expuesto, se somete la presente Iniciativa de Decreto para que, de considerarse procedente, se apruebe en sus términos.</w:t>
      </w:r>
    </w:p>
    <w:p w:rsidR="001E5E0F" w:rsidRPr="007A27A5" w:rsidRDefault="001E5E0F" w:rsidP="00996E55">
      <w:pPr>
        <w:widowControl w:val="0"/>
        <w:autoSpaceDE w:val="0"/>
        <w:autoSpaceDN w:val="0"/>
        <w:spacing w:after="0" w:line="240" w:lineRule="auto"/>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7A27A5">
        <w:rPr>
          <w:rFonts w:ascii="Times New Roman" w:eastAsia="Arial" w:hAnsi="Times New Roman" w:cs="Times New Roman"/>
          <w:b/>
          <w:bCs/>
          <w:sz w:val="24"/>
          <w:szCs w:val="24"/>
        </w:rPr>
        <w:t>ATENTAMENTE</w:t>
      </w:r>
    </w:p>
    <w:p w:rsidR="001E5E0F" w:rsidRPr="007A27A5" w:rsidRDefault="001E5E0F" w:rsidP="00996E55">
      <w:pPr>
        <w:widowControl w:val="0"/>
        <w:autoSpaceDE w:val="0"/>
        <w:autoSpaceDN w:val="0"/>
        <w:spacing w:after="0" w:line="240" w:lineRule="auto"/>
        <w:outlineLvl w:val="0"/>
        <w:rPr>
          <w:rFonts w:ascii="Times New Roman" w:eastAsia="Arial" w:hAnsi="Times New Roman" w:cs="Times New Roman"/>
          <w:b/>
          <w:bCs/>
          <w:sz w:val="24"/>
          <w:szCs w:val="24"/>
        </w:rPr>
      </w:pPr>
    </w:p>
    <w:p w:rsidR="001E5E0F" w:rsidRPr="007A27A5" w:rsidRDefault="001E5E0F" w:rsidP="00996E55">
      <w:pPr>
        <w:widowControl w:val="0"/>
        <w:autoSpaceDE w:val="0"/>
        <w:autoSpaceDN w:val="0"/>
        <w:spacing w:after="0" w:line="240" w:lineRule="auto"/>
        <w:outlineLvl w:val="0"/>
        <w:rPr>
          <w:rFonts w:ascii="Times New Roman" w:eastAsia="Arial" w:hAnsi="Times New Roman" w:cs="Times New Roman"/>
          <w:b/>
          <w:bCs/>
          <w:sz w:val="24"/>
          <w:szCs w:val="24"/>
        </w:rPr>
      </w:pPr>
    </w:p>
    <w:p w:rsidR="001E5E0F" w:rsidRPr="007A27A5" w:rsidRDefault="001E5E0F" w:rsidP="00996E55">
      <w:pPr>
        <w:widowControl w:val="0"/>
        <w:autoSpaceDE w:val="0"/>
        <w:autoSpaceDN w:val="0"/>
        <w:spacing w:after="0" w:line="240" w:lineRule="auto"/>
        <w:outlineLvl w:val="0"/>
        <w:rPr>
          <w:rFonts w:ascii="Times New Roman" w:eastAsia="Arial" w:hAnsi="Times New Roman" w:cs="Times New Roman"/>
          <w:b/>
          <w:bCs/>
          <w:sz w:val="24"/>
          <w:szCs w:val="24"/>
        </w:rPr>
      </w:pPr>
      <w:r w:rsidRPr="007A27A5">
        <w:rPr>
          <w:rFonts w:ascii="Times New Roman" w:eastAsia="Arial" w:hAnsi="Times New Roman" w:cs="Times New Roman"/>
          <w:b/>
          <w:bCs/>
          <w:sz w:val="24"/>
          <w:szCs w:val="24"/>
        </w:rPr>
        <w:t>PROYECTO DE DECRETO</w:t>
      </w:r>
    </w:p>
    <w:p w:rsidR="001E5E0F" w:rsidRPr="007A27A5" w:rsidRDefault="001E5E0F" w:rsidP="00996E55">
      <w:pPr>
        <w:widowControl w:val="0"/>
        <w:autoSpaceDE w:val="0"/>
        <w:autoSpaceDN w:val="0"/>
        <w:spacing w:after="0" w:line="240" w:lineRule="auto"/>
        <w:rPr>
          <w:rFonts w:ascii="Times New Roman" w:eastAsia="Arial MT" w:hAnsi="Times New Roman" w:cs="Times New Roman"/>
          <w:b/>
          <w:sz w:val="24"/>
          <w:szCs w:val="24"/>
        </w:rPr>
      </w:pPr>
    </w:p>
    <w:p w:rsidR="001E5E0F" w:rsidRPr="007A27A5" w:rsidRDefault="001E5E0F" w:rsidP="00996E55">
      <w:pPr>
        <w:widowControl w:val="0"/>
        <w:autoSpaceDE w:val="0"/>
        <w:autoSpaceDN w:val="0"/>
        <w:spacing w:after="0" w:line="240" w:lineRule="auto"/>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LA H. “LXII” LEGISLATURA DEL ESTADO DE MÉXICO DECRETA</w:t>
      </w:r>
    </w:p>
    <w:p w:rsidR="001E5E0F" w:rsidRPr="007A27A5" w:rsidRDefault="001E5E0F" w:rsidP="00996E55">
      <w:pPr>
        <w:widowControl w:val="0"/>
        <w:autoSpaceDE w:val="0"/>
        <w:autoSpaceDN w:val="0"/>
        <w:spacing w:after="0" w:line="240" w:lineRule="auto"/>
        <w:rPr>
          <w:rFonts w:ascii="Times New Roman" w:eastAsia="Arial MT" w:hAnsi="Times New Roman" w:cs="Times New Roman"/>
          <w:b/>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PRIMERO. </w:t>
      </w:r>
      <w:r w:rsidRPr="007A27A5">
        <w:rPr>
          <w:rFonts w:ascii="Times New Roman" w:eastAsia="Arial MT" w:hAnsi="Times New Roman" w:cs="Times New Roman"/>
          <w:sz w:val="24"/>
          <w:szCs w:val="24"/>
        </w:rPr>
        <w:t>Se declara Patrimonio Cultural Inmaterial del Estado de México a la elaboración artesanal de la piñata en el Municipio de Acolman, Estado de México, incluyendo los saberes, conocimientos, técnicas, prácticas y tradiciones comunitarias relacionadas con su creación, transmisión y uso festivo.</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SEGUNDO. </w:t>
      </w:r>
      <w:r w:rsidRPr="007A27A5">
        <w:rPr>
          <w:rFonts w:ascii="Times New Roman" w:eastAsia="Arial MT" w:hAnsi="Times New Roman" w:cs="Times New Roman"/>
          <w:sz w:val="24"/>
          <w:szCs w:val="24"/>
        </w:rPr>
        <w:t>Se declara de orden público e interés social, el fomento, conservación, promoción, patrocinio y salvaguarda de esta tradición.</w:t>
      </w: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TERCERO. </w:t>
      </w:r>
      <w:r w:rsidRPr="007A27A5">
        <w:rPr>
          <w:rFonts w:ascii="Times New Roman" w:eastAsia="Arial MT" w:hAnsi="Times New Roman" w:cs="Times New Roman"/>
          <w:sz w:val="24"/>
          <w:szCs w:val="24"/>
        </w:rPr>
        <w:t>Se declara el día 16 de diciembre de cada año como “Día de la Piñata Acolmense”.</w:t>
      </w:r>
    </w:p>
    <w:p w:rsidR="001E5E0F" w:rsidRPr="007A27A5" w:rsidRDefault="001E5E0F" w:rsidP="00996E55">
      <w:pPr>
        <w:widowControl w:val="0"/>
        <w:autoSpaceDE w:val="0"/>
        <w:autoSpaceDN w:val="0"/>
        <w:spacing w:after="0" w:line="240" w:lineRule="auto"/>
        <w:jc w:val="center"/>
        <w:outlineLvl w:val="0"/>
        <w:rPr>
          <w:rFonts w:ascii="Times New Roman" w:eastAsia="Arial" w:hAnsi="Times New Roman" w:cs="Times New Roman"/>
          <w:b/>
          <w:bCs/>
          <w:sz w:val="24"/>
          <w:szCs w:val="24"/>
        </w:rPr>
      </w:pPr>
      <w:r w:rsidRPr="007A27A5">
        <w:rPr>
          <w:rFonts w:ascii="Times New Roman" w:eastAsia="Arial" w:hAnsi="Times New Roman" w:cs="Times New Roman"/>
          <w:b/>
          <w:bCs/>
          <w:sz w:val="24"/>
          <w:szCs w:val="24"/>
        </w:rPr>
        <w:t>TRANSITORIOS</w:t>
      </w:r>
    </w:p>
    <w:p w:rsidR="001E5E0F" w:rsidRPr="007A27A5" w:rsidRDefault="001E5E0F" w:rsidP="00996E55">
      <w:pPr>
        <w:widowControl w:val="0"/>
        <w:autoSpaceDE w:val="0"/>
        <w:autoSpaceDN w:val="0"/>
        <w:spacing w:after="0" w:line="240" w:lineRule="auto"/>
        <w:rPr>
          <w:rFonts w:ascii="Times New Roman" w:eastAsia="Arial MT" w:hAnsi="Times New Roman" w:cs="Times New Roman"/>
          <w:b/>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PRIMERO. </w:t>
      </w:r>
      <w:r w:rsidRPr="007A27A5">
        <w:rPr>
          <w:rFonts w:ascii="Times New Roman" w:eastAsia="Arial MT" w:hAnsi="Times New Roman" w:cs="Times New Roman"/>
          <w:sz w:val="24"/>
          <w:szCs w:val="24"/>
        </w:rPr>
        <w:t>Publíquese el presente Decreto en el Periódico Oficial “Gaceta del Gobierno”.</w:t>
      </w:r>
    </w:p>
    <w:p w:rsidR="001E5E0F" w:rsidRPr="007A27A5" w:rsidRDefault="001E5E0F" w:rsidP="00996E55">
      <w:pPr>
        <w:widowControl w:val="0"/>
        <w:autoSpaceDE w:val="0"/>
        <w:autoSpaceDN w:val="0"/>
        <w:spacing w:after="0" w:line="240" w:lineRule="auto"/>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SEGUNDO. </w:t>
      </w:r>
      <w:r w:rsidRPr="007A27A5">
        <w:rPr>
          <w:rFonts w:ascii="Times New Roman" w:eastAsia="Arial MT" w:hAnsi="Times New Roman" w:cs="Times New Roman"/>
          <w:sz w:val="24"/>
          <w:szCs w:val="24"/>
        </w:rPr>
        <w:t>El presente Decreto entrará en vigor el día siguiente al de su publicación en el Periódico Oficial “Gaceta del Gobierno”.</w:t>
      </w:r>
    </w:p>
    <w:p w:rsidR="001E5E0F" w:rsidRPr="007A27A5" w:rsidRDefault="001E5E0F" w:rsidP="00996E55">
      <w:pPr>
        <w:widowControl w:val="0"/>
        <w:autoSpaceDE w:val="0"/>
        <w:autoSpaceDN w:val="0"/>
        <w:spacing w:after="0" w:line="240" w:lineRule="auto"/>
        <w:rPr>
          <w:rFonts w:ascii="Times New Roman" w:eastAsia="Arial MT" w:hAnsi="Times New Roman" w:cs="Times New Roman"/>
          <w:sz w:val="24"/>
          <w:szCs w:val="24"/>
        </w:rPr>
      </w:pPr>
    </w:p>
    <w:p w:rsidR="001E5E0F" w:rsidRPr="007A27A5" w:rsidRDefault="001E5E0F" w:rsidP="00996E55">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TERCERO. </w:t>
      </w:r>
      <w:r w:rsidRPr="007A27A5">
        <w:rPr>
          <w:rFonts w:ascii="Times New Roman" w:eastAsia="Arial MT" w:hAnsi="Times New Roman" w:cs="Times New Roman"/>
          <w:sz w:val="24"/>
          <w:szCs w:val="24"/>
        </w:rPr>
        <w:t>El H. Ayuntamiento de Acolman, en coordinación con la Secretaría de Cultura y Turismo, deberá adoptar las medidas que garanticen la viabilidad del Patrimonio Cultural Inmaterial de la elaboración artesanal de la piñata en el Municipio de Acolman, Estado de México, incluyendo los saberes, conocimientos, técnicas, prácticas, expresiones simbólicas y tradiciones comunitarias relacionadas con su creación, transmisión y uso festivo, incluyendo su protección, impulso, conservación y transmisión en sus distintos aspectos, y en coordinación con las organizaciones de la sociedad civil, promoverá las acciones necesarias para su difusión y preservación, conforme a la disponibilidad presupuestal correspondiente.</w:t>
      </w:r>
    </w:p>
    <w:p w:rsidR="00F166F5" w:rsidRPr="007A27A5" w:rsidRDefault="00F166F5" w:rsidP="00996E55">
      <w:pPr>
        <w:spacing w:after="0" w:line="240" w:lineRule="auto"/>
        <w:rPr>
          <w:rFonts w:ascii="Times New Roman" w:hAnsi="Times New Roman" w:cs="Times New Roman"/>
          <w:sz w:val="24"/>
          <w:szCs w:val="24"/>
        </w:rPr>
      </w:pPr>
    </w:p>
    <w:p w:rsidR="00F166F5" w:rsidRPr="007A27A5" w:rsidRDefault="00F166F5" w:rsidP="00996E55">
      <w:pPr>
        <w:spacing w:after="0" w:line="240" w:lineRule="auto"/>
        <w:rPr>
          <w:rFonts w:ascii="Times New Roman" w:hAnsi="Times New Roman" w:cs="Times New Roman"/>
          <w:sz w:val="24"/>
          <w:szCs w:val="24"/>
        </w:rPr>
      </w:pPr>
    </w:p>
    <w:p w:rsidR="00F166F5" w:rsidRPr="007A27A5" w:rsidRDefault="00F166F5" w:rsidP="00996E55">
      <w:pPr>
        <w:spacing w:after="0" w:line="240" w:lineRule="auto"/>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DECRETO NÚMERO</w:t>
      </w:r>
    </w:p>
    <w:p w:rsidR="00F166F5" w:rsidRPr="007A27A5" w:rsidRDefault="00F166F5" w:rsidP="00996E55">
      <w:pPr>
        <w:spacing w:after="0" w:line="240" w:lineRule="auto"/>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LA H. “LXII” LEGISLATURA </w:t>
      </w:r>
    </w:p>
    <w:p w:rsidR="00F166F5" w:rsidRPr="007A27A5" w:rsidRDefault="00F166F5" w:rsidP="00996E55">
      <w:pPr>
        <w:spacing w:after="0" w:line="240" w:lineRule="auto"/>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DEL ESTADO DE MÉXICO </w:t>
      </w:r>
    </w:p>
    <w:p w:rsidR="00F166F5" w:rsidRPr="007A27A5" w:rsidRDefault="00F166F5" w:rsidP="00996E55">
      <w:pPr>
        <w:spacing w:after="0" w:line="240" w:lineRule="auto"/>
        <w:jc w:val="both"/>
        <w:rPr>
          <w:rFonts w:ascii="Times New Roman" w:eastAsia="Aptos" w:hAnsi="Times New Roman" w:cs="Times New Roman"/>
          <w:b/>
          <w:bCs/>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DECRETA:</w:t>
      </w:r>
    </w:p>
    <w:p w:rsidR="00F166F5" w:rsidRPr="007A27A5" w:rsidRDefault="00F166F5" w:rsidP="00996E55">
      <w:pPr>
        <w:spacing w:after="0" w:line="240" w:lineRule="auto"/>
        <w:jc w:val="both"/>
        <w:rPr>
          <w:rFonts w:ascii="Times New Roman" w:eastAsia="Aptos" w:hAnsi="Times New Roman" w:cs="Times New Roman"/>
          <w:b/>
          <w:bCs/>
          <w:kern w:val="2"/>
          <w:sz w:val="24"/>
          <w:szCs w:val="24"/>
          <w14:ligatures w14:val="standardContextual"/>
        </w:rPr>
      </w:pP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color w:val="000000"/>
          <w:sz w:val="24"/>
          <w:szCs w:val="24"/>
          <w14:ligatures w14:val="standardContextual"/>
        </w:rPr>
      </w:pPr>
      <w:r w:rsidRPr="007A27A5">
        <w:rPr>
          <w:rFonts w:ascii="Times New Roman" w:eastAsia="Aptos" w:hAnsi="Times New Roman" w:cs="Times New Roman"/>
          <w:b/>
          <w:bCs/>
          <w:color w:val="000000"/>
          <w:sz w:val="24"/>
          <w:szCs w:val="24"/>
          <w14:ligatures w14:val="standardContextual"/>
        </w:rPr>
        <w:t xml:space="preserve">ARTÍCULO PRIMERO. </w:t>
      </w:r>
      <w:r w:rsidRPr="007A27A5">
        <w:rPr>
          <w:rFonts w:ascii="Times New Roman" w:eastAsia="Aptos" w:hAnsi="Times New Roman" w:cs="Times New Roman"/>
          <w:color w:val="000000"/>
          <w:sz w:val="24"/>
          <w:szCs w:val="24"/>
          <w14:ligatures w14:val="standardContextual"/>
        </w:rPr>
        <w:t xml:space="preserve">Se declara Patrimonio Cultural Inmaterial del Estado de México a la elaboración artesanal de la piñata en el Municipio de Acolman, Estado de México, incluyendo los saberes, conocimientos, técnicas, prácticas y tradiciones comunitarias relacionadas con su creación, transmisión y uso festivo. </w:t>
      </w: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b/>
          <w:bCs/>
          <w:color w:val="000000"/>
          <w:sz w:val="24"/>
          <w:szCs w:val="24"/>
          <w14:ligatures w14:val="standardContextual"/>
        </w:rPr>
      </w:pP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color w:val="000000"/>
          <w:sz w:val="24"/>
          <w:szCs w:val="24"/>
          <w14:ligatures w14:val="standardContextual"/>
        </w:rPr>
      </w:pPr>
      <w:r w:rsidRPr="007A27A5">
        <w:rPr>
          <w:rFonts w:ascii="Times New Roman" w:eastAsia="Aptos" w:hAnsi="Times New Roman" w:cs="Times New Roman"/>
          <w:b/>
          <w:bCs/>
          <w:color w:val="000000"/>
          <w:sz w:val="24"/>
          <w:szCs w:val="24"/>
          <w14:ligatures w14:val="standardContextual"/>
        </w:rPr>
        <w:t xml:space="preserve">ARTÍCULO SEGUNDO. </w:t>
      </w:r>
      <w:r w:rsidRPr="007A27A5">
        <w:rPr>
          <w:rFonts w:ascii="Times New Roman" w:eastAsia="Aptos" w:hAnsi="Times New Roman" w:cs="Times New Roman"/>
          <w:color w:val="000000"/>
          <w:sz w:val="24"/>
          <w:szCs w:val="24"/>
          <w14:ligatures w14:val="standardContextual"/>
        </w:rPr>
        <w:t xml:space="preserve">Se declara de orden público e interés social, el fomento, conservación, promoción, patrocinio y salvaguarda de esta tradición. </w:t>
      </w: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b/>
          <w:bCs/>
          <w:color w:val="000000"/>
          <w:sz w:val="24"/>
          <w:szCs w:val="24"/>
          <w14:ligatures w14:val="standardContextual"/>
        </w:rPr>
      </w:pP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color w:val="000000"/>
          <w:sz w:val="24"/>
          <w:szCs w:val="24"/>
          <w14:ligatures w14:val="standardContextual"/>
        </w:rPr>
      </w:pPr>
      <w:r w:rsidRPr="007A27A5">
        <w:rPr>
          <w:rFonts w:ascii="Times New Roman" w:eastAsia="Aptos" w:hAnsi="Times New Roman" w:cs="Times New Roman"/>
          <w:b/>
          <w:bCs/>
          <w:color w:val="000000"/>
          <w:sz w:val="24"/>
          <w:szCs w:val="24"/>
          <w14:ligatures w14:val="standardContextual"/>
        </w:rPr>
        <w:t xml:space="preserve">ARTÍCULO TERCERO. </w:t>
      </w:r>
      <w:r w:rsidRPr="007A27A5">
        <w:rPr>
          <w:rFonts w:ascii="Times New Roman" w:eastAsia="Aptos" w:hAnsi="Times New Roman" w:cs="Times New Roman"/>
          <w:color w:val="000000"/>
          <w:sz w:val="24"/>
          <w:szCs w:val="24"/>
          <w14:ligatures w14:val="standardContextual"/>
        </w:rPr>
        <w:t xml:space="preserve">Se declara el día 16 de diciembre de cada año como “Día de la Piñata Acolmense”. </w:t>
      </w: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b/>
          <w:bCs/>
          <w:color w:val="000000"/>
          <w:sz w:val="24"/>
          <w:szCs w:val="24"/>
          <w14:ligatures w14:val="standardContextual"/>
        </w:rPr>
      </w:pPr>
    </w:p>
    <w:p w:rsidR="00F166F5" w:rsidRPr="007A27A5" w:rsidRDefault="00F166F5" w:rsidP="00996E55">
      <w:pPr>
        <w:autoSpaceDE w:val="0"/>
        <w:autoSpaceDN w:val="0"/>
        <w:adjustRightInd w:val="0"/>
        <w:spacing w:after="0" w:line="240" w:lineRule="auto"/>
        <w:jc w:val="center"/>
        <w:rPr>
          <w:rFonts w:ascii="Times New Roman" w:eastAsia="Aptos" w:hAnsi="Times New Roman" w:cs="Times New Roman"/>
          <w:color w:val="000000"/>
          <w:sz w:val="24"/>
          <w:szCs w:val="24"/>
          <w14:ligatures w14:val="standardContextual"/>
        </w:rPr>
      </w:pPr>
      <w:r w:rsidRPr="007A27A5">
        <w:rPr>
          <w:rFonts w:ascii="Times New Roman" w:eastAsia="Aptos" w:hAnsi="Times New Roman" w:cs="Times New Roman"/>
          <w:b/>
          <w:bCs/>
          <w:color w:val="000000"/>
          <w:sz w:val="24"/>
          <w:szCs w:val="24"/>
          <w14:ligatures w14:val="standardContextual"/>
        </w:rPr>
        <w:t>T R A N S I T O R I O S</w:t>
      </w: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b/>
          <w:bCs/>
          <w:color w:val="000000"/>
          <w:sz w:val="24"/>
          <w:szCs w:val="24"/>
          <w14:ligatures w14:val="standardContextual"/>
        </w:rPr>
      </w:pP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color w:val="000000"/>
          <w:sz w:val="24"/>
          <w:szCs w:val="24"/>
          <w14:ligatures w14:val="standardContextual"/>
        </w:rPr>
      </w:pPr>
      <w:r w:rsidRPr="007A27A5">
        <w:rPr>
          <w:rFonts w:ascii="Times New Roman" w:eastAsia="Aptos" w:hAnsi="Times New Roman" w:cs="Times New Roman"/>
          <w:b/>
          <w:bCs/>
          <w:color w:val="000000"/>
          <w:sz w:val="24"/>
          <w:szCs w:val="24"/>
          <w14:ligatures w14:val="standardContextual"/>
        </w:rPr>
        <w:t xml:space="preserve">ARTÍCULO PRIMERO. </w:t>
      </w:r>
      <w:r w:rsidRPr="007A27A5">
        <w:rPr>
          <w:rFonts w:ascii="Times New Roman" w:eastAsia="Aptos" w:hAnsi="Times New Roman" w:cs="Times New Roman"/>
          <w:color w:val="000000"/>
          <w:sz w:val="24"/>
          <w:szCs w:val="24"/>
          <w14:ligatures w14:val="standardContextual"/>
        </w:rPr>
        <w:t xml:space="preserve">Publíquese el presente Decreto en el Periódico Oficial “Gaceta del Gobierno”. </w:t>
      </w: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b/>
          <w:bCs/>
          <w:color w:val="000000"/>
          <w:sz w:val="24"/>
          <w:szCs w:val="24"/>
          <w14:ligatures w14:val="standardContextual"/>
        </w:rPr>
      </w:pPr>
    </w:p>
    <w:p w:rsidR="00F166F5" w:rsidRPr="007A27A5" w:rsidRDefault="00F166F5" w:rsidP="00996E55">
      <w:pPr>
        <w:autoSpaceDE w:val="0"/>
        <w:autoSpaceDN w:val="0"/>
        <w:adjustRightInd w:val="0"/>
        <w:spacing w:after="0" w:line="240" w:lineRule="auto"/>
        <w:jc w:val="both"/>
        <w:rPr>
          <w:rFonts w:ascii="Times New Roman" w:eastAsia="Aptos" w:hAnsi="Times New Roman" w:cs="Times New Roman"/>
          <w:color w:val="000000"/>
          <w:sz w:val="24"/>
          <w:szCs w:val="24"/>
          <w14:ligatures w14:val="standardContextual"/>
        </w:rPr>
      </w:pPr>
      <w:r w:rsidRPr="007A27A5">
        <w:rPr>
          <w:rFonts w:ascii="Times New Roman" w:eastAsia="Aptos" w:hAnsi="Times New Roman" w:cs="Times New Roman"/>
          <w:b/>
          <w:bCs/>
          <w:color w:val="000000"/>
          <w:sz w:val="24"/>
          <w:szCs w:val="24"/>
          <w14:ligatures w14:val="standardContextual"/>
        </w:rPr>
        <w:t xml:space="preserve">ARTÍCULO SEGUNDO. </w:t>
      </w:r>
      <w:r w:rsidRPr="007A27A5">
        <w:rPr>
          <w:rFonts w:ascii="Times New Roman" w:eastAsia="Aptos" w:hAnsi="Times New Roman" w:cs="Times New Roman"/>
          <w:color w:val="000000"/>
          <w:sz w:val="24"/>
          <w:szCs w:val="24"/>
          <w14:ligatures w14:val="standardContextual"/>
        </w:rPr>
        <w:t xml:space="preserve">El presente Decreto entrará en vigor el día siguiente al de su publicación en el Periódico Oficial “Gaceta del Gobierno”. </w:t>
      </w:r>
    </w:p>
    <w:p w:rsidR="00F166F5" w:rsidRPr="007A27A5" w:rsidRDefault="00F166F5" w:rsidP="00996E55">
      <w:pPr>
        <w:spacing w:after="0" w:line="240" w:lineRule="auto"/>
        <w:jc w:val="both"/>
        <w:rPr>
          <w:rFonts w:ascii="Times New Roman" w:eastAsia="Aptos" w:hAnsi="Times New Roman" w:cs="Times New Roman"/>
          <w:b/>
          <w:bCs/>
          <w:kern w:val="2"/>
          <w:sz w:val="24"/>
          <w:szCs w:val="24"/>
          <w14:ligatures w14:val="standardContextual"/>
        </w:rPr>
      </w:pPr>
    </w:p>
    <w:p w:rsidR="00F166F5" w:rsidRPr="007A27A5" w:rsidRDefault="00F166F5" w:rsidP="00996E55">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b/>
          <w:bCs/>
          <w:kern w:val="2"/>
          <w:sz w:val="24"/>
          <w:szCs w:val="24"/>
          <w14:ligatures w14:val="standardContextual"/>
        </w:rPr>
        <w:t xml:space="preserve">ARTÍCULO TERCERO. </w:t>
      </w:r>
      <w:r w:rsidRPr="007A27A5">
        <w:rPr>
          <w:rFonts w:ascii="Times New Roman" w:eastAsia="Aptos" w:hAnsi="Times New Roman" w:cs="Times New Roman"/>
          <w:kern w:val="2"/>
          <w:sz w:val="24"/>
          <w:szCs w:val="24"/>
          <w14:ligatures w14:val="standardContextual"/>
        </w:rPr>
        <w:t>El H. Ayuntamiento de Acolman, en coordinación con la Secretaría de Cultura y Turismo, deberá adoptar las medidas que garanticen la viabilidad del Patrimonio Cultural Inmaterial de la elaboración artesanal de la piñata en el Municipio de Acolman, Estado de México, incluyendo los saberes, conocimientos, técnicas, prácticas, expresiones simbólicas y tradiciones comunitarias relacionadas con su creación, transmisión y uso festivo, incluyendo su protección, impulso, conservación y transmisión en sus distintos aspectos, y en coordinación con las organizaciones de la sociedad civil, promoverá las acciones necesarias para su difusión y preservación, conforme a la disponibilidad presupuestal correspondiente.</w:t>
      </w:r>
    </w:p>
    <w:p w:rsidR="00F166F5" w:rsidRPr="007A27A5" w:rsidRDefault="00F166F5" w:rsidP="00996E55">
      <w:pPr>
        <w:spacing w:after="0" w:line="240" w:lineRule="auto"/>
        <w:jc w:val="both"/>
        <w:rPr>
          <w:rFonts w:ascii="Times New Roman" w:eastAsia="Aptos" w:hAnsi="Times New Roman" w:cs="Times New Roman"/>
          <w:kern w:val="2"/>
          <w:sz w:val="24"/>
          <w:szCs w:val="24"/>
          <w14:ligatures w14:val="standardContextual"/>
        </w:rPr>
      </w:pPr>
    </w:p>
    <w:p w:rsidR="00F166F5" w:rsidRPr="007A27A5" w:rsidRDefault="00F166F5" w:rsidP="00996E55">
      <w:pPr>
        <w:spacing w:after="0" w:line="240" w:lineRule="auto"/>
        <w:jc w:val="both"/>
        <w:rPr>
          <w:rFonts w:ascii="Times New Roman" w:eastAsia="Aptos" w:hAnsi="Times New Roman" w:cs="Times New Roman"/>
          <w:kern w:val="2"/>
          <w:sz w:val="24"/>
          <w:szCs w:val="24"/>
          <w14:ligatures w14:val="standardContextual"/>
        </w:rPr>
      </w:pPr>
      <w:r w:rsidRPr="007A27A5">
        <w:rPr>
          <w:rFonts w:ascii="Times New Roman" w:eastAsia="Aptos" w:hAnsi="Times New Roman" w:cs="Times New Roman"/>
          <w:kern w:val="2"/>
          <w:sz w:val="24"/>
          <w:szCs w:val="24"/>
          <w14:ligatures w14:val="standardContextual"/>
        </w:rPr>
        <w:t>Lo tendrá entendido la Gobernadora del Estado, haciendo que se publique y se cumpla.</w:t>
      </w:r>
    </w:p>
    <w:p w:rsidR="00F166F5" w:rsidRPr="007A27A5" w:rsidRDefault="00F166F5" w:rsidP="00996E55">
      <w:pPr>
        <w:spacing w:after="0" w:line="240" w:lineRule="auto"/>
        <w:jc w:val="both"/>
        <w:rPr>
          <w:rFonts w:ascii="Times New Roman" w:eastAsia="Aptos" w:hAnsi="Times New Roman" w:cs="Times New Roman"/>
          <w:b/>
          <w:bCs/>
          <w:kern w:val="2"/>
          <w:sz w:val="24"/>
          <w:szCs w:val="24"/>
          <w14:ligatures w14:val="standardContextual"/>
        </w:rPr>
      </w:pPr>
    </w:p>
    <w:p w:rsidR="00F166F5" w:rsidRPr="007A27A5" w:rsidRDefault="00F166F5" w:rsidP="00996E55">
      <w:pPr>
        <w:spacing w:after="0" w:line="240" w:lineRule="auto"/>
        <w:jc w:val="both"/>
        <w:rPr>
          <w:rFonts w:ascii="Times New Roman" w:eastAsia="Aptos" w:hAnsi="Times New Roman" w:cs="Times New Roman"/>
          <w:bCs/>
          <w:kern w:val="2"/>
          <w:sz w:val="24"/>
          <w:szCs w:val="24"/>
          <w14:ligatures w14:val="standardContextual"/>
        </w:rPr>
      </w:pPr>
      <w:r w:rsidRPr="007A27A5">
        <w:rPr>
          <w:rFonts w:ascii="Times New Roman" w:eastAsia="Aptos" w:hAnsi="Times New Roman" w:cs="Times New Roman"/>
          <w:bCs/>
          <w:kern w:val="2"/>
          <w:sz w:val="24"/>
          <w:szCs w:val="24"/>
          <w14:ligatures w14:val="standardContextual"/>
        </w:rPr>
        <w:t xml:space="preserve">Dado en el Palacio del Poder Legislativo, en la ciudad de Toluca de Lerdo, Capital del Estado de México, a los diecinueve días del mes de noviembre del dos mil veinticinco. </w:t>
      </w:r>
    </w:p>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p>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PRESIDENTA</w:t>
      </w:r>
    </w:p>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DIP. MARTHA AZUCENA CAMACHO REYNOSO</w:t>
      </w:r>
    </w:p>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p>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SECRETARIAS</w:t>
      </w:r>
    </w:p>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DIP. BRENDA COLETTE MIRANDA VARGAS</w:t>
      </w:r>
    </w:p>
    <w:tbl>
      <w:tblPr>
        <w:tblW w:w="0" w:type="auto"/>
        <w:tblLook w:val="04A0" w:firstRow="1" w:lastRow="0" w:firstColumn="1" w:lastColumn="0" w:noHBand="0" w:noVBand="1"/>
      </w:tblPr>
      <w:tblGrid>
        <w:gridCol w:w="4861"/>
        <w:gridCol w:w="4544"/>
      </w:tblGrid>
      <w:tr w:rsidR="00F166F5" w:rsidRPr="007A27A5" w:rsidTr="00F166F5">
        <w:tc>
          <w:tcPr>
            <w:tcW w:w="4861" w:type="dxa"/>
            <w:shd w:val="clear" w:color="auto" w:fill="auto"/>
          </w:tcPr>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DIP. EMMA LAURA</w:t>
            </w:r>
          </w:p>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ALVAREZ VILLAVICENCIO</w:t>
            </w:r>
          </w:p>
        </w:tc>
        <w:tc>
          <w:tcPr>
            <w:tcW w:w="4544" w:type="dxa"/>
            <w:shd w:val="clear" w:color="auto" w:fill="auto"/>
          </w:tcPr>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DIP. MARICELA</w:t>
            </w:r>
          </w:p>
          <w:p w:rsidR="00F166F5" w:rsidRPr="007A27A5" w:rsidRDefault="00F166F5" w:rsidP="00996E55">
            <w:pPr>
              <w:spacing w:after="0" w:line="240" w:lineRule="auto"/>
              <w:jc w:val="center"/>
              <w:rPr>
                <w:rFonts w:ascii="Times New Roman" w:eastAsia="Aptos" w:hAnsi="Times New Roman" w:cs="Times New Roman"/>
                <w:b/>
                <w:kern w:val="2"/>
                <w:sz w:val="24"/>
                <w:szCs w:val="24"/>
                <w14:ligatures w14:val="standardContextual"/>
              </w:rPr>
            </w:pPr>
            <w:r w:rsidRPr="007A27A5">
              <w:rPr>
                <w:rFonts w:ascii="Times New Roman" w:eastAsia="Aptos" w:hAnsi="Times New Roman" w:cs="Times New Roman"/>
                <w:b/>
                <w:kern w:val="2"/>
                <w:sz w:val="24"/>
                <w:szCs w:val="24"/>
                <w14:ligatures w14:val="standardContextual"/>
              </w:rPr>
              <w:t>BELTRÁN SÁNCHEZ</w:t>
            </w:r>
          </w:p>
        </w:tc>
      </w:tr>
    </w:tbl>
    <w:p w:rsidR="00F166F5" w:rsidRPr="007A27A5" w:rsidRDefault="00F166F5" w:rsidP="00996E55">
      <w:pPr>
        <w:spacing w:after="0" w:line="240" w:lineRule="auto"/>
        <w:rPr>
          <w:rFonts w:ascii="Times New Roman" w:hAnsi="Times New Roman" w:cs="Times New Roman"/>
          <w:sz w:val="24"/>
          <w:szCs w:val="24"/>
        </w:rPr>
      </w:pPr>
    </w:p>
    <w:p w:rsidR="001E5E0F" w:rsidRPr="007A27A5" w:rsidRDefault="001E5E0F" w:rsidP="00996E55">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(Fin del documento)</w:t>
      </w:r>
    </w:p>
    <w:p w:rsidR="001E5E0F" w:rsidRPr="007A27A5" w:rsidRDefault="001E5E0F" w:rsidP="00996E55">
      <w:pPr>
        <w:spacing w:after="0" w:line="240" w:lineRule="auto"/>
        <w:jc w:val="center"/>
        <w:rPr>
          <w:rFonts w:ascii="Times New Roman" w:hAnsi="Times New Roman" w:cs="Times New Roman"/>
          <w:sz w:val="24"/>
          <w:szCs w:val="24"/>
        </w:rPr>
      </w:pPr>
    </w:p>
    <w:p w:rsidR="007C2166" w:rsidRPr="007A27A5" w:rsidRDefault="007C2166" w:rsidP="007C2166">
      <w:pPr>
        <w:pStyle w:val="Sinespaciado"/>
      </w:pPr>
      <w:r w:rsidRPr="007A27A5">
        <w:t>PRESIDENTA DIP. MARTHA AZUCENA CAMACHO REYNOSO Gracias diputado Osvaldo Cortés Contreras.</w:t>
      </w:r>
    </w:p>
    <w:p w:rsidR="007C2166" w:rsidRPr="007A27A5" w:rsidRDefault="007C2166" w:rsidP="007C2166">
      <w:pPr>
        <w:pStyle w:val="Sinespaciado"/>
      </w:pPr>
      <w:r w:rsidRPr="007A27A5">
        <w:t xml:space="preserve">¿Con qué objeto diputado Israel Espíndola? Sonido a la curul del diputado Espíndola. </w:t>
      </w:r>
    </w:p>
    <w:p w:rsidR="007C2166" w:rsidRPr="007A27A5" w:rsidRDefault="007C2166" w:rsidP="007C2166">
      <w:pPr>
        <w:pStyle w:val="Sinespaciado"/>
      </w:pPr>
      <w:r w:rsidRPr="007A27A5">
        <w:t>DIP. ISRAEL ESPÍNDOLA LÓPEZ (</w:t>
      </w:r>
      <w:r w:rsidR="00180B3F" w:rsidRPr="007A27A5">
        <w:t xml:space="preserve">Desde </w:t>
      </w:r>
      <w:r w:rsidRPr="007A27A5">
        <w:t xml:space="preserve">su curul). Muchas gracias. Gracias Presidenta. </w:t>
      </w:r>
    </w:p>
    <w:p w:rsidR="007C2166" w:rsidRPr="007A27A5" w:rsidRDefault="007C2166" w:rsidP="007C2166">
      <w:pPr>
        <w:pStyle w:val="Sinespaciado"/>
      </w:pPr>
      <w:r w:rsidRPr="007A27A5">
        <w:tab/>
        <w:t>Si el orador me permite una pregunta, ya están apartadas.</w:t>
      </w:r>
    </w:p>
    <w:p w:rsidR="007C2166" w:rsidRPr="007A27A5" w:rsidRDefault="007C2166" w:rsidP="007C2166">
      <w:pPr>
        <w:pStyle w:val="Sinespaciado"/>
      </w:pPr>
      <w:r w:rsidRPr="007A27A5">
        <w:tab/>
        <w:t xml:space="preserve">Hay tradiciones que no solo se celebran, se respiran, se guardan en la memoria de la tierra y laten en el corazón del pueblo. </w:t>
      </w:r>
    </w:p>
    <w:p w:rsidR="007C2166" w:rsidRPr="007A27A5" w:rsidRDefault="007C2166" w:rsidP="007C2166">
      <w:pPr>
        <w:pStyle w:val="Sinespaciado"/>
      </w:pPr>
      <w:r w:rsidRPr="007A27A5">
        <w:tab/>
        <w:t>El Patrimonio Cultural Inmaterial del Estado de México, no se guarda en vitrinas ni se encierra en muros, late en las manos que crean en las voces que enseñan, en los rituales que nos unen y en las memorias que se transmiten con amor de generación en generación.</w:t>
      </w:r>
    </w:p>
    <w:p w:rsidR="007C2166" w:rsidRPr="007A27A5" w:rsidRDefault="007C2166" w:rsidP="00B31ECA">
      <w:pPr>
        <w:pStyle w:val="Sinespaciado"/>
        <w:ind w:firstLine="709"/>
      </w:pPr>
      <w:r w:rsidRPr="007A27A5">
        <w:t xml:space="preserve">Reconocer la elaboración artesanal de la piñata en Acolman, como parte de este patrimonio no es un mero trámite, es un acto de profundo respeto hacia nuestra identidad, es honrar a las familias que con papel, engrudo, paciencia y espíritu han protegido una herencia que ha dado alegría literal y simbólicamente a millones de niñas y niños en nuestro país y que muy pronto, para ser precisos, en enero de manera internacional, seremos dignamente representados en la Feria Internacional de Turismo a celebrarse en Madrid España por nuestras maestras y maestros artesanos. </w:t>
      </w:r>
    </w:p>
    <w:p w:rsidR="007C2166" w:rsidRPr="007A27A5" w:rsidRDefault="007C2166" w:rsidP="00B31ECA">
      <w:pPr>
        <w:pStyle w:val="Sinespaciado"/>
        <w:ind w:firstLine="709"/>
      </w:pPr>
      <w:r w:rsidRPr="007A27A5">
        <w:t xml:space="preserve">En este camino de reconocimiento es justo reconocer a nuestra Gobernadora, la Maestra Delfina Gómez Álvarez, una mujer cuya sencillez, humanidad y cercanía con la gente, ha permitido que estas voces culturales, a veces silenciosas; pero siempre poderosas, sean escuchadas y dignificadas, su sensibilidad para valorar lo que nace del pueblo y para impulsar acciones que protegen la riqueza cultural del Estado de México, hacen posible que tradiciones como la piñata de Acolman, encuentren el lugar de honor que merecen. </w:t>
      </w:r>
    </w:p>
    <w:p w:rsidR="007C2166" w:rsidRPr="007A27A5" w:rsidRDefault="007C2166" w:rsidP="007C2166">
      <w:pPr>
        <w:pStyle w:val="Sinespaciado"/>
      </w:pPr>
      <w:r w:rsidRPr="007A27A5">
        <w:tab/>
        <w:t xml:space="preserve">Gracias Gobernadora por mirar de frente a nuestras raíces, gracias por entender que el patrimonio no es pasado, es un presente que se debe abrazar y un futuro que debemos cuidar, que el símbolo de la piñata, esa que nace en Acolman y se extendió al mundo, sea un símbolo en el camino de nuestra identidad, con humildad, con dignidad y con amor por quienes nos heredaron ese tesoro cultural. </w:t>
      </w:r>
    </w:p>
    <w:p w:rsidR="007C2166" w:rsidRPr="007A27A5" w:rsidRDefault="007C2166" w:rsidP="007C2166">
      <w:pPr>
        <w:pStyle w:val="Sinespaciado"/>
      </w:pPr>
      <w:r w:rsidRPr="007A27A5">
        <w:tab/>
        <w:t xml:space="preserve">Por esas razones, estimado diputado, consultarte, si me permites acompañarte en esta iniciativa. </w:t>
      </w:r>
    </w:p>
    <w:p w:rsidR="007C2166" w:rsidRPr="007A27A5" w:rsidRDefault="007C2166" w:rsidP="007C2166">
      <w:pPr>
        <w:pStyle w:val="Sinespaciado"/>
      </w:pPr>
      <w:r w:rsidRPr="007A27A5">
        <w:tab/>
        <w:t xml:space="preserve">Es cuanto Presidenta. </w:t>
      </w:r>
    </w:p>
    <w:p w:rsidR="007C2166" w:rsidRPr="007A27A5" w:rsidRDefault="007C2166" w:rsidP="007C2166">
      <w:pPr>
        <w:pStyle w:val="Sinespaciado"/>
      </w:pPr>
      <w:r w:rsidRPr="007A27A5">
        <w:t xml:space="preserve">PRESIDENTA DIP. MARTHA AZUCENA CAMACHO REYNOSO. Gracias diputado Espínola. </w:t>
      </w:r>
    </w:p>
    <w:p w:rsidR="007C2166" w:rsidRPr="007A27A5" w:rsidRDefault="007C2166" w:rsidP="007C2166">
      <w:pPr>
        <w:pStyle w:val="Sinespaciado"/>
      </w:pPr>
      <w:r w:rsidRPr="007A27A5">
        <w:tab/>
        <w:t xml:space="preserve">Pido a quienes estén por la aprobatoria de la dispensa del trámite de dictamen, se sirva levantar la mano ¿En contra? ¿En abstención? </w:t>
      </w:r>
    </w:p>
    <w:p w:rsidR="007C2166" w:rsidRPr="007A27A5" w:rsidRDefault="007C2166" w:rsidP="007C2166">
      <w:pPr>
        <w:pStyle w:val="Sinespaciado"/>
      </w:pPr>
      <w:r w:rsidRPr="007A27A5">
        <w:t xml:space="preserve">SECRETARIA DIP. BRENDA COLETTE MIRANDA VARGAS. Han sido aprobados por unanimidad de votos. </w:t>
      </w:r>
    </w:p>
    <w:p w:rsidR="007C2166" w:rsidRPr="007A27A5" w:rsidRDefault="007C2166" w:rsidP="007C2166">
      <w:pPr>
        <w:pStyle w:val="Sinespaciado"/>
      </w:pPr>
      <w:r w:rsidRPr="007A27A5">
        <w:t xml:space="preserve">PRESIDENTA DIP. MARTHA AZUCENA CAMACHO REYNOSO. Gracias. </w:t>
      </w:r>
    </w:p>
    <w:p w:rsidR="007C2166" w:rsidRPr="007A27A5" w:rsidRDefault="007C2166" w:rsidP="007C2166">
      <w:pPr>
        <w:pStyle w:val="Sinespaciado"/>
      </w:pPr>
      <w:r w:rsidRPr="007A27A5">
        <w:tab/>
        <w:t>Abro la discusión en lo general de la Iniciativa de Decreto y pregunto ¿Si alguien desea hacer uso de la palabra?</w:t>
      </w:r>
    </w:p>
    <w:p w:rsidR="007C2166" w:rsidRPr="007A27A5" w:rsidRDefault="007C2166" w:rsidP="007C2166">
      <w:pPr>
        <w:pStyle w:val="Sinespaciado"/>
      </w:pPr>
      <w:r w:rsidRPr="007A27A5">
        <w:tab/>
        <w:t xml:space="preserve">En votación nominal consulto si es de aprobarse en lo general la Iniciativa de Decreto y pido a la Secretaría abra el sistema de votación hasta por 2 minutos, si alguien desea separar algún artículo para su discusión particular, sírvanse mencionarlo. </w:t>
      </w:r>
    </w:p>
    <w:p w:rsidR="007C2166" w:rsidRPr="007A27A5" w:rsidRDefault="007C2166" w:rsidP="007C2166">
      <w:pPr>
        <w:pStyle w:val="Sinespaciado"/>
      </w:pPr>
      <w:r w:rsidRPr="007A27A5">
        <w:t>SECRETARIA DIP. BRENDA COLETTE MIRANDA VARGAS. Ábrase el sistema de votación hasta por 2 minutos.</w:t>
      </w:r>
    </w:p>
    <w:p w:rsidR="007C2166" w:rsidRPr="007A27A5" w:rsidRDefault="007C2166" w:rsidP="007C2166">
      <w:pPr>
        <w:spacing w:after="0" w:line="240" w:lineRule="auto"/>
        <w:jc w:val="center"/>
        <w:rPr>
          <w:rFonts w:ascii="Times New Roman" w:hAnsi="Times New Roman" w:cs="Times New Roman"/>
          <w:i/>
          <w:sz w:val="24"/>
          <w:szCs w:val="24"/>
        </w:rPr>
      </w:pPr>
      <w:r w:rsidRPr="007A27A5">
        <w:rPr>
          <w:rFonts w:ascii="Times New Roman" w:hAnsi="Times New Roman" w:cs="Times New Roman"/>
          <w:i/>
          <w:sz w:val="24"/>
          <w:szCs w:val="24"/>
        </w:rPr>
        <w:t>(Votación nominal)</w:t>
      </w:r>
    </w:p>
    <w:p w:rsidR="007C2166" w:rsidRPr="007A27A5" w:rsidRDefault="007C2166" w:rsidP="007C2166">
      <w:pPr>
        <w:pStyle w:val="Sinespaciado"/>
      </w:pPr>
      <w:r w:rsidRPr="007A27A5">
        <w:rPr>
          <w:kern w:val="2"/>
          <w:lang w:eastAsia="es-MX"/>
        </w:rPr>
        <w:t>SECRETARIA DIP. BRENDA COLETTE MIRANDA VARGAS</w:t>
      </w:r>
      <w:r w:rsidRPr="007A27A5">
        <w:t xml:space="preserve"> Pregunto a mis compañeros diputados ¿Si alguien falta de emitir su voto?</w:t>
      </w:r>
    </w:p>
    <w:p w:rsidR="007C2166" w:rsidRPr="007A27A5" w:rsidRDefault="007C2166" w:rsidP="007C2166">
      <w:pPr>
        <w:pStyle w:val="Sinespaciado"/>
      </w:pPr>
      <w:r w:rsidRPr="007A27A5">
        <w:t>Presidenta la iniciativa de decreto ha sido aprobada en lo general por unanimidad de votos.</w:t>
      </w:r>
    </w:p>
    <w:p w:rsidR="007C2166" w:rsidRPr="007A27A5" w:rsidRDefault="007C2166" w:rsidP="007C2166">
      <w:pPr>
        <w:pStyle w:val="Sinespaciado"/>
      </w:pPr>
      <w:r w:rsidRPr="007A27A5">
        <w:rPr>
          <w:kern w:val="2"/>
          <w:lang w:eastAsia="es-MX"/>
        </w:rPr>
        <w:lastRenderedPageBreak/>
        <w:t xml:space="preserve">PRESIDENTA DIP. MARTHA AZUCENA CAMACHO REYNOSO </w:t>
      </w:r>
      <w:r w:rsidRPr="007A27A5">
        <w:t xml:space="preserve">Gracias. </w:t>
      </w:r>
    </w:p>
    <w:p w:rsidR="007C2166" w:rsidRPr="007A27A5" w:rsidRDefault="007C2166" w:rsidP="007C2166">
      <w:pPr>
        <w:pStyle w:val="Sinespaciado"/>
      </w:pPr>
      <w:r w:rsidRPr="007A27A5">
        <w:tab/>
        <w:t>Se tiene por aprobado lo general la iniciativa de decreto.</w:t>
      </w:r>
    </w:p>
    <w:p w:rsidR="007C2166" w:rsidRPr="007A27A5" w:rsidRDefault="007C2166" w:rsidP="007C2166">
      <w:pPr>
        <w:pStyle w:val="Sinespaciado"/>
      </w:pPr>
      <w:r w:rsidRPr="007A27A5">
        <w:tab/>
        <w:t>¿Con qué objeto diputado? Se puede registrar a favor su voto del diputado Octavio Martínez Vargas, por favor. Gracias.</w:t>
      </w:r>
    </w:p>
    <w:p w:rsidR="007C2166" w:rsidRPr="007A27A5" w:rsidRDefault="007C2166" w:rsidP="007C2166">
      <w:pPr>
        <w:pStyle w:val="Sinespaciado"/>
      </w:pPr>
      <w:r w:rsidRPr="007A27A5">
        <w:tab/>
        <w:t xml:space="preserve">Se tiene por aprobado en lo general la iniciativa de decreto y estimando que no se separaron artículos para su discusión particular, se declara también su aprobación en lo particular. </w:t>
      </w:r>
    </w:p>
    <w:p w:rsidR="007C2166" w:rsidRPr="007A27A5" w:rsidRDefault="007C2166" w:rsidP="007C2166">
      <w:pPr>
        <w:pStyle w:val="Sinespaciado"/>
      </w:pPr>
      <w:r w:rsidRPr="007A27A5">
        <w:tab/>
        <w:t>Muchas felicidades. Felicidades artesanos, felicidades diputado Osvaldo Cortés.</w:t>
      </w:r>
    </w:p>
    <w:p w:rsidR="007C2166" w:rsidRPr="007A27A5" w:rsidRDefault="007C2166" w:rsidP="007C2166">
      <w:pPr>
        <w:pStyle w:val="Sinespaciado"/>
      </w:pPr>
      <w:r w:rsidRPr="007A27A5">
        <w:tab/>
        <w:t>Para atender el punto número 8, el Diputado Edgar Samuel Ríos Moreno, present</w:t>
      </w:r>
      <w:r w:rsidR="00D40E31" w:rsidRPr="007A27A5">
        <w:t>a</w:t>
      </w:r>
      <w:r w:rsidRPr="007A27A5">
        <w:t xml:space="preserve"> en nombre del Grupo Parlamentario Partido morena, Iniciativa con Proyecto de Decreto por la que se reforma el párrafo primero del artículo 32; se adicionan una fracción al artículo 87 y los artículos 96 Septdecies y 96 </w:t>
      </w:r>
      <w:proofErr w:type="spellStart"/>
      <w:r w:rsidRPr="007A27A5">
        <w:t>Octodecies</w:t>
      </w:r>
      <w:proofErr w:type="spellEnd"/>
      <w:r w:rsidRPr="007A27A5">
        <w:t>, todos de la Ley Orgánica Municipal del Estado de México, en materia de creación de las Oficialías Mayores en los municipios.</w:t>
      </w:r>
    </w:p>
    <w:p w:rsidR="007C2166" w:rsidRPr="007A27A5" w:rsidRDefault="007C2166" w:rsidP="007C2166">
      <w:pPr>
        <w:pStyle w:val="Sinespaciado"/>
      </w:pPr>
      <w:r w:rsidRPr="007A27A5">
        <w:t>DIP. EDGAR SAMUEL RÍOS MORENO. Muchas gracias.</w:t>
      </w:r>
    </w:p>
    <w:p w:rsidR="007C2166" w:rsidRPr="007A27A5" w:rsidRDefault="007C2166" w:rsidP="007C2166">
      <w:pPr>
        <w:pStyle w:val="Sinespaciado"/>
      </w:pPr>
      <w:r w:rsidRPr="007A27A5">
        <w:t xml:space="preserve">Con el permiso de la Mesa Directiva y de esta Soberanía Popular. </w:t>
      </w:r>
    </w:p>
    <w:p w:rsidR="007C2166" w:rsidRPr="007A27A5" w:rsidRDefault="007C2166" w:rsidP="007C2166">
      <w:pPr>
        <w:pStyle w:val="Sinespaciado"/>
      </w:pPr>
      <w:r w:rsidRPr="007A27A5">
        <w:tab/>
        <w:t xml:space="preserve">Agradezco a los medios de comunicación, a la gente que nos sigue a través de las redes sociales del Poder Legislativo, gracias por su atención a todas, todos y </w:t>
      </w:r>
      <w:proofErr w:type="spellStart"/>
      <w:r w:rsidRPr="007A27A5">
        <w:t>todes</w:t>
      </w:r>
      <w:proofErr w:type="spellEnd"/>
      <w:r w:rsidRPr="007A27A5">
        <w:t xml:space="preserve"> les saludo y les aprecio con respeto.</w:t>
      </w:r>
    </w:p>
    <w:p w:rsidR="007C2166" w:rsidRPr="007A27A5" w:rsidRDefault="007C2166" w:rsidP="00B31ECA">
      <w:pPr>
        <w:pStyle w:val="Sinespaciado"/>
        <w:ind w:firstLine="709"/>
      </w:pPr>
      <w:r w:rsidRPr="007A27A5">
        <w:t xml:space="preserve">Con fundamento en las facultades que me otorga la Constitución Política del Estado Libre y Soberano, la Ley Orgánica del Poder Legislativo y su correlativo reglamento, me permito presentar a la población de la “LXII” Legislatura, la Iniciativa con Proyecto de Decreto por la que se reforma el párrafo primero del artículo 32; se adicionan una fracción al artículo 87 y los artículos 96 Septdecies y 96 </w:t>
      </w:r>
      <w:proofErr w:type="spellStart"/>
      <w:r w:rsidRPr="007A27A5">
        <w:t>Octodecies</w:t>
      </w:r>
      <w:proofErr w:type="spellEnd"/>
      <w:r w:rsidRPr="007A27A5">
        <w:t>, todos de la Ley Orgánica Municipal del Estado de México, en materia de creación de las oficialías mayores en los municipios, conforme a lo siguiente:</w:t>
      </w:r>
    </w:p>
    <w:p w:rsidR="007C2166" w:rsidRPr="007A27A5" w:rsidRDefault="007C2166" w:rsidP="007C2166">
      <w:pPr>
        <w:pStyle w:val="Sinespaciado"/>
      </w:pPr>
      <w:r w:rsidRPr="007A27A5">
        <w:tab/>
        <w:t xml:space="preserve">El municipio es la célula fundamental de nuestra República, es ahí donde los ciudadanos tienen contacto directo con el poder público, donde se percibe la calidad de los servicios, la eficiencia de los trámites y tristemente, donde aún persisten vicios de opacidad y discrecionalidad en el manejo de los recursos. </w:t>
      </w:r>
    </w:p>
    <w:p w:rsidR="007C2166" w:rsidRPr="007A27A5" w:rsidRDefault="007C2166" w:rsidP="007C2166">
      <w:pPr>
        <w:pStyle w:val="Sinespaciado"/>
      </w:pPr>
      <w:r w:rsidRPr="007A27A5">
        <w:tab/>
        <w:t xml:space="preserve">La presente reforma se cimenta en el entendimiento profundo de esta realidad, no podemos exigir un municipio eficiente y honesto si no lo dotamos de las herramientas y de la estructura legal para garantizar la máxima transparencia en su gestión interna. La Oficialía Mayor no es un gasto, es una inversión en la confianza del pueblo y un blindaje contra la corrupción. </w:t>
      </w:r>
    </w:p>
    <w:p w:rsidR="007C2166" w:rsidRPr="007A27A5" w:rsidRDefault="007C2166" w:rsidP="007C2166">
      <w:pPr>
        <w:pStyle w:val="Sinespaciado"/>
      </w:pPr>
      <w:r w:rsidRPr="007A27A5">
        <w:tab/>
        <w:t xml:space="preserve">Actualmente a la Ley Orgánica Municipal no obliga a los ayuntamientos a contar con una figura administrativa unificada y especializada por la gestión de sus recursos esta omisión estructural genera dispersión funcional. Las funciones de la administración de recursos humanos, materiales y financieros se encuentran fragmentadas entre la tesorería y, en algunos casos, la dirección de administración. Esto provoca duplicidad de tareas, falta de claridad en las responsabilidades y consecuentemente, lentitud burocrática que afecta la ejecución de los programas sociales. </w:t>
      </w:r>
    </w:p>
    <w:p w:rsidR="007C2166" w:rsidRPr="007A27A5" w:rsidRDefault="007C2166" w:rsidP="007C2166">
      <w:pPr>
        <w:pStyle w:val="Sinespaciado"/>
      </w:pPr>
      <w:r w:rsidRPr="007A27A5">
        <w:tab/>
        <w:t xml:space="preserve">Produce también riesgos de corrupción y falta de responsabilidad legal. Las revisiones y auditorías realizadas por el Órgano Superior de Fiscalización del Estado de México y la Auditoría Superior de la Federación, señala de manera constante que la mayoría de las observaciones y los mayores montos por resarcir provienen de fallas en los procesos adquisitivos, licitaciones y manejo de almacenes; sin embargo, la ley actual permite que la responsabilidad financiera se finque de manera injusta e ineficiente a las tesorerías, cuando éstas no son las encargadas directamente de ejecutar la compra o el proceso de qué generó la observación. </w:t>
      </w:r>
    </w:p>
    <w:p w:rsidR="007C2166" w:rsidRPr="007A27A5" w:rsidRDefault="007C2166" w:rsidP="00975CA7">
      <w:pPr>
        <w:pStyle w:val="Sinespaciado"/>
        <w:ind w:firstLine="709"/>
      </w:pPr>
      <w:r w:rsidRPr="007A27A5">
        <w:t xml:space="preserve">La Oficialía Mayor, nace para ser el responsable legal de los procesos adquisitivos que señala la Ley de Contratación Pública del Estado de México y Municipios, esta separación de funciones y responsabilidades es el principal blindaje ante corrupción de la iniciativa; la Tesorería es responsable del dinero; la Oficialía Mayor será responsable de quién, cómo y a qué precio se </w:t>
      </w:r>
      <w:r w:rsidRPr="007A27A5">
        <w:lastRenderedPageBreak/>
        <w:t xml:space="preserve">compra, causa, además, falta de especialización; la gestión de nóminas, el manejo de almacenes, y la administración de bienes son tareas técnicas, la falta de un titular profesionalizado ha mermado la capacidad operativa de muchos ayuntamientos, impidiendo el uso óptimo de los recursos públicos. </w:t>
      </w:r>
    </w:p>
    <w:p w:rsidR="007C2166" w:rsidRPr="007A27A5" w:rsidRDefault="007C2166" w:rsidP="00975CA7">
      <w:pPr>
        <w:pStyle w:val="Sinespaciado"/>
        <w:ind w:firstLine="709"/>
      </w:pPr>
      <w:r w:rsidRPr="007A27A5">
        <w:t xml:space="preserve">La Cuarta Transformación exige gobiernos que rindan cuentas, para lograrlo, necesitamos estructuras claras, profesionalizadas y fiscalizables, la Iniciativa de Decreto que hoy presentamos introduce cambios estratégicos en la Ley Orgánica Municipal, buscando la profesionalización de la función pública municipal, se propone reformar el primer párrafo del artículo 32 para incluir de manera explícita a la Oficialía Mayor, dentro de las dependencias que el Ayuntamiento debe establecer en su Reglamento Orgánico, esto eleva la Oficialía Mayor al mismo rango de obligatoriedad de la Secretaría del Ayuntamiento o la Tesorería. </w:t>
      </w:r>
    </w:p>
    <w:p w:rsidR="007C2166" w:rsidRPr="007A27A5" w:rsidRDefault="007C2166" w:rsidP="00975CA7">
      <w:pPr>
        <w:pStyle w:val="Sinespaciado"/>
        <w:ind w:firstLine="709"/>
      </w:pPr>
      <w:r w:rsidRPr="007A27A5">
        <w:t xml:space="preserve">Se adiciona una fracción al artículo 87 para facultar al Presidente o Presidenta Municipal a nombrar al Titular de la Oficialía Mayor mediante la aprobación del Cabildo, esto asegura que su designación sea un acto colegiado que legitime al funcionario ante el Ayuntamiento. </w:t>
      </w:r>
    </w:p>
    <w:p w:rsidR="007C2166" w:rsidRPr="007A27A5" w:rsidRDefault="007C2166" w:rsidP="00975CA7">
      <w:pPr>
        <w:pStyle w:val="Sinespaciado"/>
        <w:ind w:firstLine="709"/>
      </w:pPr>
      <w:r w:rsidRPr="007A27A5">
        <w:t>Se adiciona el artículo 96 Septdecies al dotar a la Oficialía Mayor de atribuciones claras y específicas para la para la gestión administrativa, deslindando la de Tesorería; entre las atribuciones más importantes están las relativas a Recursos Humanos, Recursos Materiales y Adquisiciones, que consisten en administrar los bienes muebles y controlar los almacenes y crucialmente ser el responsable directo de los procesos adquisitivos, licitaciones y la contratación de servicios generales conforme a la Ley Estatal en materia.</w:t>
      </w:r>
    </w:p>
    <w:p w:rsidR="007C2166" w:rsidRPr="007A27A5" w:rsidRDefault="007C2166" w:rsidP="00975CA7">
      <w:pPr>
        <w:pStyle w:val="Sinespaciado"/>
        <w:ind w:firstLine="709"/>
      </w:pPr>
      <w:r w:rsidRPr="007A27A5">
        <w:t xml:space="preserve">Recursos Humanos para administrar la nómina, expedir nombramientos, realizar movimientos laborales y capacitar al personal. </w:t>
      </w:r>
    </w:p>
    <w:p w:rsidR="007C2166" w:rsidRPr="007A27A5" w:rsidRDefault="007C2166" w:rsidP="00975CA7">
      <w:pPr>
        <w:pStyle w:val="Sinespaciado"/>
        <w:ind w:firstLine="709"/>
      </w:pPr>
      <w:r w:rsidRPr="007A27A5">
        <w:t xml:space="preserve">Control Interno, para elaborar y difundir manuales de organización y fungir como enlace administrativo con otras instancias de gobierno. </w:t>
      </w:r>
    </w:p>
    <w:p w:rsidR="007C2166" w:rsidRPr="007A27A5" w:rsidRDefault="007C2166" w:rsidP="00975CA7">
      <w:pPr>
        <w:pStyle w:val="Sinespaciado"/>
        <w:ind w:firstLine="709"/>
      </w:pPr>
      <w:r w:rsidRPr="007A27A5">
        <w:t xml:space="preserve">Finalmente, se adiciona un artículo 96 </w:t>
      </w:r>
      <w:proofErr w:type="spellStart"/>
      <w:r w:rsidRPr="007A27A5">
        <w:t>Octodecies</w:t>
      </w:r>
      <w:proofErr w:type="spellEnd"/>
      <w:r w:rsidRPr="007A27A5">
        <w:t xml:space="preserve"> relativo a los requisitos de profesionalización bajo el principio de que los funcionarios deben ser expertos en la materia, establecemos requisitos obligatorios para para ocupar el cargo como lo son: Formación Profesional, se exige el título profesional en el área de las ciencias sociales, económicas o administrativas, o experiencia mínima de un año en la administración de recursos públicos; certificación obligatoria, se exige que el titular obtenga en un plazo de 6 meses una certificación de competencia laboral en temas de administración de recursos públicos; con esta medida garantizamos que la Oficialía Mayor no sea un cargo político de cuotas; sino un puesto técnico ocupado por personal calificado y especializado, listo para asumir la responsabilidad que la ley le confiere. </w:t>
      </w:r>
    </w:p>
    <w:p w:rsidR="007C2166" w:rsidRPr="007A27A5" w:rsidRDefault="007C2166" w:rsidP="00975CA7">
      <w:pPr>
        <w:pStyle w:val="Sinespaciado"/>
        <w:ind w:firstLine="709"/>
      </w:pPr>
      <w:r w:rsidRPr="007A27A5">
        <w:t xml:space="preserve">El impacto de esta iniciativa trasciende la técnica administrativa y toca la vida de los mexiquenses al ofrecer certeza jurídica y el combate a la discrecionalidad. </w:t>
      </w:r>
    </w:p>
    <w:p w:rsidR="007C2166" w:rsidRPr="007A27A5" w:rsidRDefault="007C2166" w:rsidP="00975CA7">
      <w:pPr>
        <w:pStyle w:val="Sinespaciado"/>
        <w:ind w:firstLine="709"/>
      </w:pPr>
      <w:r w:rsidRPr="007A27A5">
        <w:t xml:space="preserve">Compañeras, </w:t>
      </w:r>
      <w:proofErr w:type="spellStart"/>
      <w:r w:rsidRPr="007A27A5">
        <w:t>compañere</w:t>
      </w:r>
      <w:proofErr w:type="spellEnd"/>
      <w:r w:rsidRPr="007A27A5">
        <w:t xml:space="preserve"> y compañeros, presento esta iniciativa en aras de la transparencia y la rendición de cuentas, un gobierno honesto, es la base para la paz social y el bienestar que promueve nuestro movimiento, al dotar a la Oficialía Mayor de facultades claras y exigir un perfil profesional para su titular, estamos dando un paso histórico hacia un gobierno municipal más responsable fiscalizable y, sobre todo, más cercano a las necesidades del pueblo. </w:t>
      </w:r>
    </w:p>
    <w:p w:rsidR="007C2166" w:rsidRPr="007A27A5" w:rsidRDefault="007C2166" w:rsidP="00975CA7">
      <w:pPr>
        <w:pStyle w:val="Sinespaciado"/>
        <w:ind w:firstLine="709"/>
      </w:pPr>
      <w:r w:rsidRPr="007A27A5">
        <w:t>Es cuanto Presidenta, solicito que el texto íntegro de esta iniciativa se inserte en el Diario de Debates, en la Gaceta Parlamentaria. Muchas gracias.</w:t>
      </w:r>
    </w:p>
    <w:p w:rsidR="00D40E31" w:rsidRPr="007A27A5" w:rsidRDefault="00D40E31" w:rsidP="008469EC">
      <w:pPr>
        <w:pStyle w:val="Sinespaciado"/>
      </w:pPr>
    </w:p>
    <w:p w:rsidR="00D40E31" w:rsidRPr="007A27A5" w:rsidRDefault="00D40E31" w:rsidP="008469EC">
      <w:pPr>
        <w:spacing w:after="0" w:line="240" w:lineRule="auto"/>
        <w:jc w:val="center"/>
        <w:rPr>
          <w:rFonts w:ascii="Times New Roman" w:hAnsi="Times New Roman"/>
          <w:i/>
          <w:sz w:val="24"/>
          <w:szCs w:val="24"/>
        </w:rPr>
      </w:pPr>
      <w:r w:rsidRPr="007A27A5">
        <w:rPr>
          <w:rFonts w:ascii="Times New Roman" w:hAnsi="Times New Roman"/>
          <w:i/>
          <w:sz w:val="24"/>
          <w:szCs w:val="24"/>
        </w:rPr>
        <w:t>(Se inserta documento)</w:t>
      </w:r>
    </w:p>
    <w:p w:rsidR="00D40E31" w:rsidRPr="007A27A5" w:rsidRDefault="00D40E31" w:rsidP="008469EC">
      <w:pPr>
        <w:spacing w:after="0" w:line="240" w:lineRule="auto"/>
        <w:jc w:val="center"/>
        <w:rPr>
          <w:rFonts w:ascii="Times New Roman" w:hAnsi="Times New Roman"/>
          <w:sz w:val="24"/>
          <w:szCs w:val="24"/>
        </w:rPr>
      </w:pPr>
    </w:p>
    <w:p w:rsidR="008469EC" w:rsidRPr="007A27A5" w:rsidRDefault="008469EC" w:rsidP="008469EC">
      <w:pPr>
        <w:spacing w:after="0" w:line="240" w:lineRule="auto"/>
        <w:jc w:val="center"/>
        <w:rPr>
          <w:rFonts w:ascii="Times New Roman" w:eastAsia="Times New Roman" w:hAnsi="Times New Roman" w:cs="Times New Roman"/>
          <w:b/>
          <w:sz w:val="24"/>
          <w:szCs w:val="24"/>
        </w:rPr>
      </w:pPr>
      <w:r w:rsidRPr="007A27A5">
        <w:rPr>
          <w:rFonts w:ascii="Times New Roman" w:eastAsia="Times New Roman" w:hAnsi="Times New Roman" w:cs="Times New Roman"/>
          <w:b/>
          <w:sz w:val="24"/>
          <w:szCs w:val="24"/>
        </w:rPr>
        <w:t>Diputado Edgar Samuel Ríos Moreno</w:t>
      </w:r>
    </w:p>
    <w:p w:rsidR="008469EC" w:rsidRPr="007A27A5" w:rsidRDefault="008469EC" w:rsidP="008469EC">
      <w:pPr>
        <w:spacing w:after="0" w:line="240" w:lineRule="auto"/>
        <w:jc w:val="center"/>
        <w:rPr>
          <w:rFonts w:ascii="Times New Roman" w:eastAsia="Times New Roman" w:hAnsi="Times New Roman" w:cs="Times New Roman"/>
          <w:b/>
          <w:sz w:val="24"/>
          <w:szCs w:val="24"/>
        </w:rPr>
      </w:pPr>
      <w:r w:rsidRPr="007A27A5">
        <w:rPr>
          <w:rFonts w:ascii="Times New Roman" w:eastAsia="Times New Roman" w:hAnsi="Times New Roman" w:cs="Times New Roman"/>
          <w:b/>
          <w:sz w:val="24"/>
          <w:szCs w:val="24"/>
        </w:rPr>
        <w:t>Presidente de la Comisión de Electoral y de Desarrollo Democrático</w:t>
      </w:r>
    </w:p>
    <w:p w:rsidR="008469EC" w:rsidRPr="007A27A5" w:rsidRDefault="008469EC" w:rsidP="008469EC">
      <w:pPr>
        <w:spacing w:after="0" w:line="240" w:lineRule="auto"/>
        <w:rPr>
          <w:rFonts w:ascii="Times New Roman" w:eastAsia="Arial" w:hAnsi="Times New Roman" w:cs="Times New Roman"/>
          <w:sz w:val="24"/>
          <w:szCs w:val="24"/>
        </w:rPr>
      </w:pPr>
    </w:p>
    <w:p w:rsidR="008469EC" w:rsidRPr="007A27A5" w:rsidRDefault="008469EC" w:rsidP="008469EC">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sz w:val="24"/>
          <w:szCs w:val="24"/>
        </w:rPr>
        <w:t>“2025. Bicentenario de la Vida Municipal en el Estado de México”</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right"/>
        <w:rPr>
          <w:rFonts w:ascii="Times New Roman" w:eastAsia="Arial" w:hAnsi="Times New Roman" w:cs="Times New Roman"/>
          <w:sz w:val="24"/>
          <w:szCs w:val="24"/>
        </w:rPr>
      </w:pPr>
      <w:r w:rsidRPr="007A27A5">
        <w:rPr>
          <w:rFonts w:ascii="Times New Roman" w:eastAsia="Arial" w:hAnsi="Times New Roman" w:cs="Times New Roman"/>
          <w:i/>
          <w:sz w:val="24"/>
          <w:szCs w:val="24"/>
        </w:rPr>
        <w:t>Toluca de Lerdo, Estado de México, a 10 de noviembre de 2025.</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DIP. MARTHA AZUCENA CAMACHO REYNOSO</w:t>
      </w:r>
    </w:p>
    <w:p w:rsidR="008469EC" w:rsidRPr="007A27A5" w:rsidRDefault="008469EC" w:rsidP="008469EC">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PRESIDENTA DE LA DIRECTIVA DE LA H. “LXII” LEGISLATURA</w:t>
      </w: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DEL ESTADO LIBRE Y SOBERANO DE MÉXICO</w:t>
      </w: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PRESENTE</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Con fundamento en lo dispuesto en los artículos 51, fracción II, y 61, fracción I, de la Constitución Política del Estado Libre y Soberano de México; 28, fracción I, y 81, fracciones I, II y III, de la Ley Orgánica del Poder Legislativo del Estado Libre y Soberano de México; y 68 de su Reglamento, el suscrito, Diputado Edgar Samuel Ríos Moreno, integrante del Grupo Parlamentario de </w:t>
      </w:r>
      <w:r w:rsidRPr="007A27A5">
        <w:rPr>
          <w:rFonts w:ascii="Times New Roman" w:eastAsia="Arial" w:hAnsi="Times New Roman" w:cs="Times New Roman"/>
          <w:b/>
          <w:sz w:val="24"/>
          <w:szCs w:val="24"/>
        </w:rPr>
        <w:t>morena</w:t>
      </w:r>
      <w:r w:rsidRPr="007A27A5">
        <w:rPr>
          <w:rFonts w:ascii="Times New Roman" w:eastAsia="Arial" w:hAnsi="Times New Roman" w:cs="Times New Roman"/>
          <w:sz w:val="24"/>
          <w:szCs w:val="24"/>
        </w:rPr>
        <w:t xml:space="preserve">, someto a la consideración de esta LXII Legislatura la siguiente Iniciativa con Proyecto de Decreto por la que se </w:t>
      </w:r>
      <w:r w:rsidRPr="007A27A5">
        <w:rPr>
          <w:rFonts w:ascii="Times New Roman" w:eastAsia="Arial" w:hAnsi="Times New Roman" w:cs="Times New Roman"/>
          <w:b/>
          <w:sz w:val="24"/>
          <w:szCs w:val="24"/>
        </w:rPr>
        <w:t xml:space="preserve">reforma </w:t>
      </w:r>
      <w:r w:rsidRPr="007A27A5">
        <w:rPr>
          <w:rFonts w:ascii="Times New Roman" w:eastAsia="Arial" w:hAnsi="Times New Roman" w:cs="Times New Roman"/>
          <w:sz w:val="24"/>
          <w:szCs w:val="24"/>
        </w:rPr>
        <w:t xml:space="preserve">el párrafo primero del artículo 32; se </w:t>
      </w:r>
      <w:r w:rsidRPr="007A27A5">
        <w:rPr>
          <w:rFonts w:ascii="Times New Roman" w:eastAsia="Arial" w:hAnsi="Times New Roman" w:cs="Times New Roman"/>
          <w:b/>
          <w:sz w:val="24"/>
          <w:szCs w:val="24"/>
        </w:rPr>
        <w:t xml:space="preserve">adicionan </w:t>
      </w:r>
      <w:r w:rsidRPr="007A27A5">
        <w:rPr>
          <w:rFonts w:ascii="Times New Roman" w:eastAsia="Arial" w:hAnsi="Times New Roman" w:cs="Times New Roman"/>
          <w:sz w:val="24"/>
          <w:szCs w:val="24"/>
        </w:rPr>
        <w:t xml:space="preserve">una fracción al artículo 87 y los artículos 96 Septdecies y 96 </w:t>
      </w:r>
      <w:proofErr w:type="spellStart"/>
      <w:r w:rsidRPr="007A27A5">
        <w:rPr>
          <w:rFonts w:ascii="Times New Roman" w:eastAsia="Arial" w:hAnsi="Times New Roman" w:cs="Times New Roman"/>
          <w:sz w:val="24"/>
          <w:szCs w:val="24"/>
        </w:rPr>
        <w:t>Octodecies</w:t>
      </w:r>
      <w:proofErr w:type="spellEnd"/>
      <w:r w:rsidRPr="007A27A5">
        <w:rPr>
          <w:rFonts w:ascii="Times New Roman" w:eastAsia="Arial" w:hAnsi="Times New Roman" w:cs="Times New Roman"/>
          <w:sz w:val="24"/>
          <w:szCs w:val="24"/>
        </w:rPr>
        <w:t>, todos de la Ley Orgánica Municipal del Estado de México, en materia de creación de las oficialías mayores en los municipios, conforme a la siguiente:</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EXPOSICIÓN DE MOTIVOS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La presente iniciativa de reforma a la Ley Orgánica Municipal del Estado de México se cimienta en el entendimiento profundo de la realidad de nuestras comunidades. El gobierno municipal es, por su proximidad, el ente más cercano a la gente, el que resuelve sus necesidades inmediatas, el que construye ciudad y tejido social a través de los servicios públicos esenciales y el que mantiene el orden y la paz social a nivel local. Es la primera trinchera de la administración pública, donde la interacción con la ciudadanía es constante y directa.</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Conscientes de que los recursos con los que cuentan nuestros Ayuntamientos – humanos, financieros y materiales– pueden ser limitados, resulta imperante aplicarlos con inteligencia, estrategia y una visión de Estado para cumplir cabalmente con los objetivos de los planes de desarrollo municipal y programas anuales de gobierno. Esto no solo requiere de voluntad política, sino de una profunda base técnica, una irrestricta sujeción a la legalidad y una legitimidad incuestionable en cada acción. Es la única forma de garantizar que el gobierno local sea un verdadero instrumento al servicio de la ciudadanía, y no una estructura propensa a inercias o, peor aún, a prácticas que desvirtúen el espíritu público y la confianza del pueblo.</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Times New Roman" w:hAnsi="Times New Roman" w:cs="Times New Roman"/>
          <w:sz w:val="24"/>
          <w:szCs w:val="24"/>
        </w:rPr>
      </w:pPr>
      <w:r w:rsidRPr="007A27A5">
        <w:rPr>
          <w:rFonts w:ascii="Times New Roman" w:eastAsia="Arial" w:hAnsi="Times New Roman" w:cs="Times New Roman"/>
          <w:sz w:val="24"/>
          <w:szCs w:val="24"/>
        </w:rPr>
        <w:t>Actualmente, la Ley Orgánica Municipal del Estado de México, que es la base fundamental para sostener la vida de cada comunidad y es, a la vez, la norma rectora de nuestros Ayuntamientos, no mandata de forma expresa la creación de una unidad administrativa centralizada, como una Oficialía Mayor o Dirección de Administración. Si bien esta Ley establece la obligatoriedad de una Tesorería Municipal encargada de la recaudación y el ejercicio del gasto público, las funciones relativas a la administración de personal, los bienes muebles e inmuebles, y los procedimientos de contratación pública, de facto, se llevan a cabo en todos los Ayuntamientos. No obstante, estas responsabilidades esenciales suelen asignarse a diversas áreas o, en muchos casos, recaen por inercia o costumbre en la propia Tesorería o en dependencias que no tienen esta como su función principal.</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Esta situación genera una dispersión de responsabilidades y una falta de claridad en la rendición de cuentas sobre funciones administrativas de vital importancia. En la práctica, muchos municipios </w:t>
      </w:r>
      <w:r w:rsidRPr="007A27A5">
        <w:rPr>
          <w:rFonts w:ascii="Times New Roman" w:eastAsia="Arial" w:hAnsi="Times New Roman" w:cs="Times New Roman"/>
          <w:sz w:val="24"/>
          <w:szCs w:val="24"/>
        </w:rPr>
        <w:lastRenderedPageBreak/>
        <w:t>han suplido esta carencia a través de sus reglamentos orgánicos interiores, manuales de organización y procedimientos, o acuerdos de Cabildo que crean figuras directivas como la "Dirección de Administración" o la "Oficialía Mayor". Sin embargo, la ausencia de un mandato legal expreso en la Ley Orgánica Municipal del Estado de México resta la fuerza normativa y la uniformidad necesaria para una gestión administrativa eficaz y transparente en los ciento veinticinco municipios de la entidad.</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Este estado de cosas actual deja un margen a la discrecionalidad y, lamentablemente, ha abierto la puerta a la ineficiencia y a focos de opacidad que la Cuarta Transformación se ha comprometido a erradicar. La dilución de estas funciones vitales dificulta la supervisión efectiva y el deslinde de responsabilidades, contraviniendo los principios ineludibles de honestidad, transparencia, austeridad y rendición de cuentas que nuestra sociedad demanda y que son el estandarte de nuestro movimiento.</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No podemos permitir que el erario público, que es el fruto del esfuerzo de nuestro pueblo, se maneje con reglas poco claras o que las personas al servicio de la comunidad no cuenten con un marco de derechos y obligaciones nítido y justo, así como con competencias probadas en la materia. Es momento de dotar a nuestros municipios de las herramientas legales que aseguren una administración pública verdaderamente al servicio del pueblo, fortaleciendo la rendición de cuentas y cerrando las puertas a cualquier atisbo de corrupción o despilfarro.</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 por ello que, esta reforma, no es un mero ajuste técnico, sino un paso decisivo hacia una gestión municipal más ética, eficaz y alineada con las demandas de justicia y bienestar de nuestros ciudadanos.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 imperativo que la Ley Orgánica Municipal del Estado de México precise estas responsabilidades en una figura administrativa denominada Oficialía Mayor o su equivalente, con rango legal, por las consideraciones siguientes: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Administración del recurso humano municipal</w:t>
      </w:r>
      <w:r w:rsidRPr="007A27A5">
        <w:rPr>
          <w:rFonts w:ascii="Times New Roman" w:eastAsia="Arial" w:hAnsi="Times New Roman" w:cs="Times New Roman"/>
          <w:sz w:val="24"/>
          <w:szCs w:val="24"/>
        </w:rPr>
        <w:t>: La gestión del personal, el recurso más valioso y delicado de cualquier organización o administración, implica procesos complejos como: reclutamiento, selección, contratación, nómina, capacitación, seguridad social y disciplina. Estas funciones, por su naturaleza, se encuentran reguladas por diversas leyes, incluyendo la Ley del Trabajo de los Servidores Públicos del Estado y Municipios y la Ley de Seguridad Social para  los Servidores Públicos del Estado  de México  y Municipios. Es fundamental que exista una unidad administrativa claramente definida y responsable de la observancia de estas disposiciones legales, asegurando la certeza jurídica de los servidores públicos y la correcta aplicación de sus derechos y obligaciones. Esto incluye la implementación de tabuladores de sueldos austeros y justos, así como el cálculo y entero oportuno y correcto de los impuestos sobre el trabajo y la nómina (Secretaría de Finanzas y Servicio de Administración Tributaria), garantizando el manejo transparente y responsable de los recursos públicos. La asignación formal de esta responsabilidad evita la ambigüedad y fortalece la institucionalidad en la administración de personal.</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Transparencia y legalidad en las adquisiciones y fiscalización</w:t>
      </w:r>
      <w:r w:rsidRPr="007A27A5">
        <w:rPr>
          <w:rFonts w:ascii="Times New Roman" w:eastAsia="Arial" w:hAnsi="Times New Roman" w:cs="Times New Roman"/>
          <w:sz w:val="24"/>
          <w:szCs w:val="24"/>
        </w:rPr>
        <w:t xml:space="preserve">: Las funciones relativas a la planeación, programación, presupuestación, ejecución y control de la adquisición, arrendamiento de bienes, y contratación de servicios son procesos de alta complejidad y de gran trascendencia para el uso eficiente de los recursos públicos. La Ley de Contratación Pública del Estado de México y Municipios establece marcos rigurosos para estos procedimientos, señalando responsabilidades específicas de comités y demás atribuciones que deben ser cumplidas por los ayuntamientos. Es </w:t>
      </w:r>
      <w:r w:rsidRPr="007A27A5">
        <w:rPr>
          <w:rFonts w:ascii="Times New Roman" w:eastAsia="Arial" w:hAnsi="Times New Roman" w:cs="Times New Roman"/>
          <w:sz w:val="24"/>
          <w:szCs w:val="24"/>
        </w:rPr>
        <w:lastRenderedPageBreak/>
        <w:t>precisamente en esta unidad administrativa donde debe recaer la responsabilidad primaria de conducir y garantizar el cumplimiento cabal de estas disposiciones.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La experiencia ha demostrado que una parte significativa de las observaciones de las entidades de fiscalización superior, como el Órgano Superior de Fiscalización del Estado de México, la Auditoría Superior de la Federación y los propios Órganos Internos de Control municipales, emanan de deficiencias o irregularidades en los procedimientos adquisitivos. Además, diversos formatos incluidos en los informes trimestrales que se presentan al Órgano Superior de Fiscalización deben ser generados y validados por estas áreas administrativas, lo que subraya su rol central en la rendición de cuentas y transparencia. Comúnmente, estas observaciones derivan en investigaciones o sanciones dirigidas a Tesoreros Municipales, cuando su rol principal es el pago, no necesariamente la conducción integral y el cumplimiento normativo de la totalidad del proceso adquisitivo.</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Times New Roman" w:hAnsi="Times New Roman" w:cs="Times New Roman"/>
          <w:sz w:val="24"/>
          <w:szCs w:val="24"/>
        </w:rPr>
      </w:pPr>
      <w:r w:rsidRPr="007A27A5">
        <w:rPr>
          <w:rFonts w:ascii="Times New Roman" w:eastAsia="Arial" w:hAnsi="Times New Roman" w:cs="Times New Roman"/>
          <w:sz w:val="24"/>
          <w:szCs w:val="24"/>
        </w:rPr>
        <w:t>Al establecer legalmente una unidad de administración de recursos (Oficialía Mayor) con atribuciones explícitas sobre las adquisiciones, se logrará focalizar la responsabilidad primigenia en la conducción de dichos procedimientos, es decir, en la figura que efectivamente gestiona las contrataciones de bienes y servicios. Esto permitirá una responsabilidad compartida y diferenciada, liberando al Tesorero de una carga de fiscalización que no le corresponde enteramente por la naturaleza de sus funciones y asegurando que la unidad ejecutora de los procesos sea la principal responsable ante los órganos fiscalizadores.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Eficiencia administrativa y desarrollo organizacional</w:t>
      </w:r>
      <w:r w:rsidRPr="007A27A5">
        <w:rPr>
          <w:rFonts w:ascii="Times New Roman" w:eastAsia="Arial" w:hAnsi="Times New Roman" w:cs="Times New Roman"/>
          <w:sz w:val="24"/>
          <w:szCs w:val="24"/>
        </w:rPr>
        <w:t>: La existencia de una unidad administrativa especializada en la gestión de recursos permite la centralización de conocimientos, la estandarización de procesos y la implementación de mejores prácticas. Esto se traduce en una mayor eficiencia, economía y transparencia en el manejo de los recursos públicos municipales. Al tener un mandato legal, esta unidad estará facultada no solo para impulsar el uso de tecnologías, sino también para promover el diseño, elaboración y/o actualización de manuales administrativos, de organización y de procedimientos, que son herramientas fundamentales para la racionalización de las estructuras y funciones municipales. Asimismo, en esta figura debe recaer la promoción e implementación de buenas prácticas de gestión administrativa, de personal y de recursos materiales, elementos clave para una administración moderna, profesional y orientada a resultados.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Para asegurar que la persona titular de la Oficialía Mayor cuente con las capacidades y conocimientos idóneos, se propone reformar el párrafo primero del artículo 32 de la Ley Orgánica Municipal del Estado de México. Dicha reforma establecerá que, además de los requisitos generales, el titular deberá contar con una certificación en competencias laborales pertinentes. Además, su designación será sometida a la aprobación del Cabildo, a propuesta de la o el Presidente Municipal. Esta medida eleva el perfil de la posición, fomenta la profesionalización en la gestión pública y añade un nivel de control democrático. Con ello, se garantiza la idoneidad del servidor público a cargo de la administración de los recursos más valiosos del municipio.</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Lo anterior se detallará con la creación del artículo 96 </w:t>
      </w:r>
      <w:proofErr w:type="spellStart"/>
      <w:r w:rsidRPr="007A27A5">
        <w:rPr>
          <w:rFonts w:ascii="Times New Roman" w:eastAsia="Arial" w:hAnsi="Times New Roman" w:cs="Times New Roman"/>
          <w:sz w:val="24"/>
          <w:szCs w:val="24"/>
        </w:rPr>
        <w:t>Octodecies</w:t>
      </w:r>
      <w:proofErr w:type="spellEnd"/>
      <w:r w:rsidRPr="007A27A5">
        <w:rPr>
          <w:rFonts w:ascii="Times New Roman" w:eastAsia="Arial" w:hAnsi="Times New Roman" w:cs="Times New Roman"/>
          <w:sz w:val="24"/>
          <w:szCs w:val="24"/>
        </w:rPr>
        <w:t>, el cual establecerá los requisitos específicos para el puesto. Asimismo, se busca adicionar el artículo 96 Septdecies para dotar a las Oficialías Mayores de atribuciones formales. En este artículo se delimitarán diecinueve facultades en materia de recursos humanos, gestión de nómina, adquisiciones y arrendamientos, recursos materiales, parque vehicular, servicios generales, así como en fiscalización, cuenta pública y normatividad interna.</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Times New Roman" w:hAnsi="Times New Roman" w:cs="Times New Roman"/>
          <w:sz w:val="24"/>
          <w:szCs w:val="24"/>
        </w:rPr>
      </w:pPr>
      <w:r w:rsidRPr="007A27A5">
        <w:rPr>
          <w:rFonts w:ascii="Times New Roman" w:eastAsia="Arial" w:hAnsi="Times New Roman" w:cs="Times New Roman"/>
          <w:sz w:val="24"/>
          <w:szCs w:val="24"/>
        </w:rPr>
        <w:lastRenderedPageBreak/>
        <w:t>Es relevante destacar que la presente propuesta no generará un impacto presupuestal significativo para los Ayuntamientos. La figura que realiza estas</w:t>
      </w:r>
      <w:r w:rsidRPr="007A27A5">
        <w:rPr>
          <w:rFonts w:ascii="Times New Roman" w:eastAsia="Times New Roman" w:hAnsi="Times New Roman" w:cs="Times New Roman"/>
          <w:sz w:val="24"/>
          <w:szCs w:val="24"/>
        </w:rPr>
        <w:t xml:space="preserve"> </w:t>
      </w:r>
      <w:r w:rsidRPr="007A27A5">
        <w:rPr>
          <w:rFonts w:ascii="Times New Roman" w:eastAsia="Arial" w:hAnsi="Times New Roman" w:cs="Times New Roman"/>
          <w:sz w:val="24"/>
          <w:szCs w:val="24"/>
        </w:rPr>
        <w:t>funciones ya existe en la gran mayoría de los municipios del Estado de México, operando bajo diversas denominaciones. La adición de estos artículos no implicaría la creación de nuevas plazas o una reestructuración masiva, sino la formalización y el reconocimiento legal de una función ya vital.</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En suma, esta iniciativa dota a los Ayuntamientos de una herramienta legal indispensable para una administración pública más eficiente, transparente y responsable, acorde con las exigencias actuales en materia de gestión de recursos y rendición de cuentas, en beneficio directo de la ciudadanía.</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Por todo lo ya expuesto, y con la intención de contar con mayores elementos contextuales para facilitar la comprensión de las modificaciones planteadas en la presente iniciativa, se incluye el estudio comparativo entre el texto de la norma vigente y el que la reforma propone modificar, como se muestra a continuación:</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rPr>
          <w:rFonts w:ascii="Times New Roman" w:eastAsia="Calibri Light" w:hAnsi="Times New Roman" w:cs="Times New Roman"/>
          <w:sz w:val="24"/>
          <w:szCs w:val="24"/>
        </w:rPr>
      </w:pPr>
      <w:r w:rsidRPr="007A27A5">
        <w:rPr>
          <w:rFonts w:ascii="Times New Roman" w:eastAsia="Arial" w:hAnsi="Times New Roman" w:cs="Times New Roman"/>
          <w:b/>
          <w:sz w:val="24"/>
          <w:szCs w:val="24"/>
        </w:rPr>
        <w:t>Ley Orgánica Municipal del Estado de México</w:t>
      </w:r>
    </w:p>
    <w:p w:rsidR="008469EC" w:rsidRPr="007A27A5" w:rsidRDefault="008469EC" w:rsidP="008469EC">
      <w:pPr>
        <w:spacing w:after="0" w:line="240" w:lineRule="auto"/>
        <w:rPr>
          <w:rFonts w:ascii="Times New Roman" w:eastAsia="Times New Roman" w:hAnsi="Times New Roman" w:cs="Times New Roman"/>
          <w:sz w:val="24"/>
          <w:szCs w:val="24"/>
        </w:rPr>
      </w:pPr>
    </w:p>
    <w:tbl>
      <w:tblPr>
        <w:tblW w:w="9498" w:type="dxa"/>
        <w:tblInd w:w="-6" w:type="dxa"/>
        <w:tblLayout w:type="fixed"/>
        <w:tblCellMar>
          <w:left w:w="0" w:type="dxa"/>
          <w:right w:w="0" w:type="dxa"/>
        </w:tblCellMar>
        <w:tblLook w:val="01E0" w:firstRow="1" w:lastRow="1" w:firstColumn="1" w:lastColumn="1" w:noHBand="0" w:noVBand="0"/>
      </w:tblPr>
      <w:tblGrid>
        <w:gridCol w:w="6"/>
        <w:gridCol w:w="5097"/>
        <w:gridCol w:w="4395"/>
      </w:tblGrid>
      <w:tr w:rsidR="008469EC" w:rsidRPr="007A27A5" w:rsidTr="008469EC">
        <w:trPr>
          <w:trHeight w:val="20"/>
        </w:trPr>
        <w:tc>
          <w:tcPr>
            <w:tcW w:w="5103" w:type="dxa"/>
            <w:gridSpan w:val="2"/>
            <w:tcBorders>
              <w:top w:val="single" w:sz="5" w:space="0" w:color="000000"/>
              <w:left w:val="single" w:sz="5" w:space="0" w:color="000000"/>
              <w:bottom w:val="single" w:sz="5" w:space="0" w:color="000000"/>
              <w:right w:val="single" w:sz="5" w:space="0" w:color="000000"/>
            </w:tcBorders>
            <w:shd w:val="clear" w:color="auto" w:fill="D9D9D9"/>
          </w:tcPr>
          <w:p w:rsidR="008469EC" w:rsidRPr="007A27A5" w:rsidRDefault="008469EC" w:rsidP="008469EC">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Dice</w:t>
            </w:r>
          </w:p>
        </w:tc>
        <w:tc>
          <w:tcPr>
            <w:tcW w:w="4395" w:type="dxa"/>
            <w:tcBorders>
              <w:top w:val="single" w:sz="5" w:space="0" w:color="000000"/>
              <w:left w:val="single" w:sz="5" w:space="0" w:color="000000"/>
              <w:bottom w:val="single" w:sz="5" w:space="0" w:color="000000"/>
              <w:right w:val="single" w:sz="5" w:space="0" w:color="000000"/>
            </w:tcBorders>
            <w:shd w:val="clear" w:color="auto" w:fill="D9D9D9"/>
          </w:tcPr>
          <w:p w:rsidR="008469EC" w:rsidRPr="007A27A5" w:rsidRDefault="008469EC" w:rsidP="008469EC">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Debe decir</w:t>
            </w:r>
          </w:p>
        </w:tc>
      </w:tr>
      <w:tr w:rsidR="008469EC" w:rsidRPr="007A27A5" w:rsidTr="008469EC">
        <w:trPr>
          <w:trHeight w:val="20"/>
        </w:trPr>
        <w:tc>
          <w:tcPr>
            <w:tcW w:w="5103" w:type="dxa"/>
            <w:gridSpan w:val="2"/>
            <w:tcBorders>
              <w:top w:val="single" w:sz="5" w:space="0" w:color="000000"/>
              <w:left w:val="single" w:sz="5" w:space="0" w:color="000000"/>
              <w:bottom w:val="single" w:sz="5" w:space="0" w:color="000000"/>
              <w:right w:val="single" w:sz="5" w:space="0" w:color="000000"/>
            </w:tcBorders>
            <w:shd w:val="clear" w:color="auto" w:fill="D9D9D9"/>
          </w:tcPr>
          <w:p w:rsidR="008469EC" w:rsidRPr="007A27A5" w:rsidRDefault="008469EC" w:rsidP="008469EC">
            <w:pPr>
              <w:spacing w:after="0" w:line="240" w:lineRule="auto"/>
              <w:jc w:val="center"/>
              <w:rPr>
                <w:rFonts w:ascii="Times New Roman" w:eastAsia="Arial" w:hAnsi="Times New Roman" w:cs="Times New Roman"/>
                <w:b/>
                <w:sz w:val="24"/>
                <w:szCs w:val="24"/>
              </w:rPr>
            </w:pPr>
          </w:p>
        </w:tc>
        <w:tc>
          <w:tcPr>
            <w:tcW w:w="4395" w:type="dxa"/>
            <w:tcBorders>
              <w:top w:val="single" w:sz="5" w:space="0" w:color="000000"/>
              <w:left w:val="single" w:sz="5" w:space="0" w:color="000000"/>
              <w:bottom w:val="single" w:sz="5" w:space="0" w:color="000000"/>
              <w:right w:val="single" w:sz="5" w:space="0" w:color="000000"/>
            </w:tcBorders>
            <w:shd w:val="clear" w:color="auto" w:fill="D9D9D9"/>
          </w:tcPr>
          <w:p w:rsidR="008469EC" w:rsidRPr="007A27A5" w:rsidRDefault="008469EC" w:rsidP="008469EC">
            <w:pPr>
              <w:spacing w:after="0" w:line="240" w:lineRule="auto"/>
              <w:jc w:val="center"/>
              <w:rPr>
                <w:rFonts w:ascii="Times New Roman" w:eastAsia="Arial" w:hAnsi="Times New Roman" w:cs="Times New Roman"/>
                <w:b/>
                <w:sz w:val="24"/>
                <w:szCs w:val="24"/>
              </w:rPr>
            </w:pPr>
          </w:p>
        </w:tc>
      </w:tr>
      <w:tr w:rsidR="008469EC" w:rsidRPr="007A27A5" w:rsidTr="008469EC">
        <w:trPr>
          <w:trHeight w:val="555"/>
        </w:trPr>
        <w:tc>
          <w:tcPr>
            <w:tcW w:w="5103" w:type="dxa"/>
            <w:gridSpan w:val="2"/>
            <w:tcBorders>
              <w:top w:val="single" w:sz="5" w:space="0" w:color="000000"/>
              <w:left w:val="single" w:sz="5" w:space="0" w:color="000000"/>
              <w:bottom w:val="nil"/>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32.- </w:t>
            </w:r>
            <w:r w:rsidRPr="007A27A5">
              <w:rPr>
                <w:rFonts w:ascii="Times New Roman" w:eastAsia="Arial" w:hAnsi="Times New Roman" w:cs="Times New Roman"/>
                <w:sz w:val="24"/>
                <w:szCs w:val="24"/>
              </w:rPr>
              <w:t>Para ocupar los cargos de Secretario; Tesorero; Director de Obras Públicas, de Desarrollo Económico, Director de Turismo, Coordinador General Municipal de Mejora Regulatoria, Ecología, Desarrollo Urbano, de Desarrollo Social, de las Mujeres, del Campo o equivalentes, titulares de las unidades administrativas, de Protección Civil y   de los organismos auxiliares se deberán satisfacer los siguientes requisitos:</w:t>
            </w:r>
          </w:p>
          <w:p w:rsidR="008469EC" w:rsidRPr="007A27A5" w:rsidRDefault="008469EC" w:rsidP="008469EC">
            <w:pPr>
              <w:spacing w:after="0" w:line="240" w:lineRule="auto"/>
              <w:jc w:val="both"/>
              <w:rPr>
                <w:rFonts w:ascii="Times New Roman" w:eastAsia="Arial"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p>
        </w:tc>
        <w:tc>
          <w:tcPr>
            <w:tcW w:w="4395" w:type="dxa"/>
            <w:tcBorders>
              <w:top w:val="single" w:sz="5" w:space="0" w:color="000000"/>
              <w:left w:val="single" w:sz="5" w:space="0" w:color="000000"/>
              <w:bottom w:val="nil"/>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32.- </w:t>
            </w:r>
            <w:r w:rsidRPr="007A27A5">
              <w:rPr>
                <w:rFonts w:ascii="Times New Roman" w:eastAsia="Arial" w:hAnsi="Times New Roman" w:cs="Times New Roman"/>
                <w:sz w:val="24"/>
                <w:szCs w:val="24"/>
              </w:rPr>
              <w:t xml:space="preserve">Para ocupar los cargos de titular de la </w:t>
            </w:r>
            <w:r w:rsidRPr="007A27A5">
              <w:rPr>
                <w:rFonts w:ascii="Times New Roman" w:eastAsia="Arial" w:hAnsi="Times New Roman" w:cs="Times New Roman"/>
                <w:b/>
                <w:sz w:val="24"/>
                <w:szCs w:val="24"/>
              </w:rPr>
              <w:t>Secretaría del Ayuntamiento, Tesorería Municipal, Coordinación General de Mejora Regulatoria, Protección Civil, Oficialía Mayor o su equivalente, así como de las Direcciones de Obras Públicas, Desarrollo Económico, Turismo, Ecología, Desarrollo Urbano, Desarrollo Social, de las Mujeres, del Campo o sus equivalentes, y de los titulares de los organismos públicos descentralizados y sus unidades administrativas</w:t>
            </w:r>
            <w:r w:rsidRPr="007A27A5">
              <w:rPr>
                <w:rFonts w:ascii="Times New Roman" w:eastAsia="Arial" w:hAnsi="Times New Roman" w:cs="Times New Roman"/>
                <w:sz w:val="24"/>
                <w:szCs w:val="24"/>
              </w:rPr>
              <w:t>, se deberán satisfacer los requisitos siguientes:</w:t>
            </w:r>
          </w:p>
        </w:tc>
      </w:tr>
      <w:tr w:rsidR="008469EC" w:rsidRPr="007A27A5" w:rsidTr="008469EC">
        <w:trPr>
          <w:trHeight w:val="20"/>
        </w:trPr>
        <w:tc>
          <w:tcPr>
            <w:tcW w:w="5103" w:type="dxa"/>
            <w:gridSpan w:val="2"/>
            <w:tcBorders>
              <w:top w:val="nil"/>
              <w:left w:val="single" w:sz="5" w:space="0" w:color="000000"/>
              <w:bottom w:val="single" w:sz="5" w:space="0" w:color="000000"/>
              <w:right w:val="single" w:sz="5" w:space="0" w:color="000000"/>
            </w:tcBorders>
          </w:tcPr>
          <w:p w:rsidR="008469EC" w:rsidRPr="007A27A5" w:rsidRDefault="008469EC" w:rsidP="008469EC">
            <w:pPr>
              <w:spacing w:after="0" w:line="240" w:lineRule="auto"/>
              <w:rPr>
                <w:rFonts w:ascii="Times New Roman" w:eastAsia="Times New Roman" w:hAnsi="Times New Roman" w:cs="Times New Roman"/>
                <w:sz w:val="24"/>
                <w:szCs w:val="24"/>
              </w:rPr>
            </w:pPr>
            <w:r w:rsidRPr="007A27A5">
              <w:rPr>
                <w:rFonts w:ascii="Times New Roman" w:eastAsia="Arial" w:hAnsi="Times New Roman" w:cs="Times New Roman"/>
                <w:sz w:val="24"/>
                <w:szCs w:val="24"/>
              </w:rPr>
              <w:t>…</w:t>
            </w:r>
          </w:p>
        </w:tc>
        <w:tc>
          <w:tcPr>
            <w:tcW w:w="4395" w:type="dxa"/>
            <w:tcBorders>
              <w:top w:val="nil"/>
              <w:left w:val="single" w:sz="5" w:space="0" w:color="000000"/>
              <w:bottom w:val="single" w:sz="5" w:space="0" w:color="000000"/>
              <w:right w:val="single" w:sz="5" w:space="0" w:color="000000"/>
            </w:tcBorders>
          </w:tcPr>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w:t>
            </w:r>
          </w:p>
        </w:tc>
      </w:tr>
      <w:tr w:rsidR="008469EC" w:rsidRPr="007A27A5" w:rsidTr="008469EC">
        <w:trPr>
          <w:trHeight w:val="840"/>
        </w:trPr>
        <w:tc>
          <w:tcPr>
            <w:tcW w:w="5103" w:type="dxa"/>
            <w:gridSpan w:val="2"/>
            <w:tcBorders>
              <w:top w:val="single" w:sz="5" w:space="0" w:color="000000"/>
              <w:left w:val="single" w:sz="5" w:space="0" w:color="000000"/>
              <w:bottom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87.- </w:t>
            </w:r>
            <w:r w:rsidRPr="007A27A5">
              <w:rPr>
                <w:rFonts w:ascii="Times New Roman" w:eastAsia="Arial" w:hAnsi="Times New Roman" w:cs="Times New Roman"/>
                <w:sz w:val="24"/>
                <w:szCs w:val="24"/>
              </w:rPr>
              <w:t>Para el despacho, estudio y planeación de los diversos asuntos de la administración municipal, el ayuntamiento contará por lo menos con las siguientes Dependencias:</w:t>
            </w:r>
          </w:p>
          <w:p w:rsidR="008469EC" w:rsidRPr="007A27A5" w:rsidRDefault="008469EC" w:rsidP="008469EC">
            <w:pPr>
              <w:spacing w:after="0" w:line="240" w:lineRule="auto"/>
              <w:jc w:val="both"/>
              <w:rPr>
                <w:rFonts w:ascii="Times New Roman" w:eastAsia="Arial"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X. …</w:t>
            </w:r>
          </w:p>
        </w:tc>
        <w:tc>
          <w:tcPr>
            <w:tcW w:w="4395" w:type="dxa"/>
            <w:tcBorders>
              <w:top w:val="single" w:sz="5" w:space="0" w:color="000000"/>
              <w:left w:val="single" w:sz="5" w:space="0" w:color="000000"/>
              <w:bottom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87.- </w:t>
            </w:r>
            <w:r w:rsidRPr="007A27A5">
              <w:rPr>
                <w:rFonts w:ascii="Times New Roman" w:eastAsia="Arial" w:hAnsi="Times New Roman" w:cs="Times New Roman"/>
                <w:sz w:val="24"/>
                <w:szCs w:val="24"/>
              </w:rPr>
              <w:t>Para el despacho, estudio y planeación de los diversos asuntos de la administración municipal, el ayuntamiento contará por lo menos con las siguientes Dependencias:</w:t>
            </w:r>
          </w:p>
          <w:p w:rsidR="008469EC" w:rsidRPr="007A27A5" w:rsidRDefault="008469EC" w:rsidP="008469EC">
            <w:pPr>
              <w:spacing w:after="0" w:line="240" w:lineRule="auto"/>
              <w:jc w:val="both"/>
              <w:rPr>
                <w:rFonts w:ascii="Times New Roman" w:eastAsia="Arial"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X. …</w:t>
            </w:r>
          </w:p>
          <w:p w:rsidR="008469EC" w:rsidRPr="007A27A5" w:rsidRDefault="008469EC" w:rsidP="008469EC">
            <w:pPr>
              <w:spacing w:after="0" w:line="240" w:lineRule="auto"/>
              <w:jc w:val="both"/>
              <w:rPr>
                <w:rFonts w:ascii="Times New Roman" w:eastAsia="Arial"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b/>
                <w:sz w:val="24"/>
                <w:szCs w:val="24"/>
              </w:rPr>
              <w:t>XI. Oficialía Mayor o equivalente.</w:t>
            </w:r>
          </w:p>
          <w:p w:rsidR="008469EC" w:rsidRPr="007A27A5" w:rsidRDefault="008469EC" w:rsidP="008469EC">
            <w:pPr>
              <w:spacing w:after="0" w:line="240" w:lineRule="auto"/>
              <w:jc w:val="both"/>
              <w:rPr>
                <w:rFonts w:ascii="Times New Roman" w:eastAsia="Arial" w:hAnsi="Times New Roman" w:cs="Times New Roman"/>
                <w:sz w:val="24"/>
                <w:szCs w:val="24"/>
              </w:rPr>
            </w:pPr>
          </w:p>
        </w:tc>
      </w:tr>
      <w:tr w:rsidR="008469EC" w:rsidRPr="007A27A5" w:rsidTr="008469EC">
        <w:trPr>
          <w:gridBefore w:val="1"/>
          <w:wBefore w:w="6" w:type="dxa"/>
          <w:trHeight w:val="840"/>
        </w:trPr>
        <w:tc>
          <w:tcPr>
            <w:tcW w:w="5097" w:type="dxa"/>
            <w:tcBorders>
              <w:top w:val="single" w:sz="5" w:space="0" w:color="000000"/>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p>
        </w:tc>
        <w:tc>
          <w:tcPr>
            <w:tcW w:w="4395" w:type="dxa"/>
            <w:vMerge w:val="restart"/>
            <w:tcBorders>
              <w:top w:val="single" w:sz="5" w:space="0" w:color="000000"/>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b/>
                <w:sz w:val="24"/>
                <w:szCs w:val="24"/>
              </w:rPr>
              <w:t>Artículo 96 Septdecies.- La persona titular de la Oficialía Mayor o equivalente, tiene las atribuciones siguientes:</w:t>
            </w:r>
          </w:p>
          <w:p w:rsidR="008469EC" w:rsidRPr="007A27A5" w:rsidRDefault="008469EC" w:rsidP="008469EC">
            <w:pPr>
              <w:spacing w:after="0" w:line="240" w:lineRule="auto"/>
              <w:jc w:val="both"/>
              <w:rPr>
                <w:rFonts w:ascii="Times New Roman" w:eastAsia="Arial" w:hAnsi="Times New Roman" w:cs="Times New Roman"/>
                <w:b/>
                <w:sz w:val="24"/>
                <w:szCs w:val="24"/>
              </w:rPr>
            </w:pPr>
          </w:p>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b/>
                <w:sz w:val="24"/>
                <w:szCs w:val="24"/>
              </w:rPr>
              <w:t>I. Dirigir las políticas de gestión integral   del personal, incluyendo reclutamiento, selección, capacitación, evaluación y desvinculación, asegurando el cumplimiento de la normatividad laboral, las condiciones de trabajo y la seguridad e higiene.</w:t>
            </w:r>
          </w:p>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b/>
                <w:sz w:val="24"/>
                <w:szCs w:val="24"/>
              </w:rPr>
              <w:t>II. Supervisar la elaboración y el pago de la nómina, así como la correcta aplicación de tabuladores de sueldos y la retención de impuestos correcta y oportuna.</w:t>
            </w:r>
          </w:p>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b/>
                <w:sz w:val="24"/>
                <w:szCs w:val="24"/>
              </w:rPr>
              <w:t>III. Dirigir los procedimientos de adquisición, arrendamiento, contratación de servicios y enajenación de bienes, conforme a la Ley de Contratación Pública del Estado de México y Municipios.</w:t>
            </w:r>
          </w:p>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b/>
                <w:sz w:val="24"/>
                <w:szCs w:val="24"/>
              </w:rPr>
              <w:t>IV. Establecer las directrices para el programa anual de adquisiciones y dirigir su ejecución.</w:t>
            </w:r>
          </w:p>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b/>
                <w:sz w:val="24"/>
                <w:szCs w:val="24"/>
              </w:rPr>
              <w:t>V. Administrar y controlar los recursos materiales del Ayuntamiento, incluyendo inventarios, almacenes, mantenimiento de bienes muebles e inmuebles, y resguardo de expedientes de contratación.</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VI. Administrar y optimizar el uso del parque vehicular municipal.</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VII. Supervisar la provisión de servicios generales como limpieza, seguridad, correspondencia, archivo, telefonía, internet y mantenimiento de las instalaciones municipales.</w:t>
            </w:r>
          </w:p>
          <w:p w:rsidR="008469EC" w:rsidRPr="007A27A5" w:rsidRDefault="008469EC" w:rsidP="00A4612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VIII. Representar a la Oficialía Mayor o su equivalente en los comités de adquisiciones, arrendamientos y enajenaciones del Ayuntamiento.</w:t>
            </w:r>
          </w:p>
          <w:p w:rsidR="008469EC" w:rsidRPr="007A27A5" w:rsidRDefault="008469EC" w:rsidP="00A4612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IX. Instruir la tramitación de la rescisión de</w:t>
            </w:r>
            <w:r w:rsidRPr="007A27A5">
              <w:rPr>
                <w:rFonts w:ascii="Times New Roman" w:eastAsia="Arial" w:hAnsi="Times New Roman" w:cs="Times New Roman"/>
                <w:sz w:val="24"/>
                <w:szCs w:val="24"/>
              </w:rPr>
              <w:tab/>
              <w:t>contratos o convenios de contratación pública cuando sea procedente.</w:t>
            </w:r>
          </w:p>
          <w:p w:rsidR="008469EC" w:rsidRPr="007A27A5" w:rsidRDefault="008469EC" w:rsidP="00A4612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 Gestionar la aplicación efectiva de las garantías otorgadas por los contratistas.</w:t>
            </w:r>
          </w:p>
          <w:p w:rsidR="008469EC" w:rsidRPr="007A27A5" w:rsidRDefault="008469EC" w:rsidP="00A4612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XI. Mantener actualizado el padrón de proveedores y prestadores de servicios del Ayuntamiento.</w:t>
            </w:r>
          </w:p>
          <w:p w:rsidR="008469EC" w:rsidRPr="007A27A5" w:rsidRDefault="008469EC" w:rsidP="00A4612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XII. Gestionar el aseguramiento de los bienes muebles e inmuebles del patrimonio municipal.</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lastRenderedPageBreak/>
              <w:t>XIII. Dirigir los procesos de baja de bienes muebles e inmuebles del inventario municipal.</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XIV. Participar en la integración y actualización del marco normativo interno, así como en el diseño de manuales de organización y procedimientos.</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XV. Impulsar el uso de tecnologías de la información para la mejora de los procesos administrativos.</w:t>
            </w:r>
          </w:p>
          <w:p w:rsidR="008469EC" w:rsidRPr="007A27A5" w:rsidRDefault="008469EC" w:rsidP="008469EC">
            <w:pPr>
              <w:spacing w:after="0" w:line="240" w:lineRule="exact"/>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XVI. Colaborar en la atención de los requerimientos de instancias</w:t>
            </w:r>
            <w:r w:rsidRPr="007A27A5">
              <w:rPr>
                <w:rFonts w:ascii="Times New Roman" w:eastAsia="Arial" w:hAnsi="Times New Roman" w:cs="Times New Roman"/>
                <w:spacing w:val="3"/>
                <w:sz w:val="24"/>
                <w:szCs w:val="24"/>
              </w:rPr>
              <w:t xml:space="preserve"> f</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s</w:t>
            </w:r>
            <w:r w:rsidRPr="007A27A5">
              <w:rPr>
                <w:rFonts w:ascii="Times New Roman" w:eastAsia="Arial" w:hAnsi="Times New Roman" w:cs="Times New Roman"/>
                <w:spacing w:val="-2"/>
                <w:sz w:val="24"/>
                <w:szCs w:val="24"/>
              </w:rPr>
              <w:t>c</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li</w:t>
            </w:r>
            <w:r w:rsidRPr="007A27A5">
              <w:rPr>
                <w:rFonts w:ascii="Times New Roman" w:eastAsia="Arial" w:hAnsi="Times New Roman" w:cs="Times New Roman"/>
                <w:spacing w:val="-2"/>
                <w:sz w:val="24"/>
                <w:szCs w:val="24"/>
              </w:rPr>
              <w:t>z</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d</w:t>
            </w:r>
            <w:r w:rsidRPr="007A27A5">
              <w:rPr>
                <w:rFonts w:ascii="Times New Roman" w:eastAsia="Arial" w:hAnsi="Times New Roman" w:cs="Times New Roman"/>
                <w:sz w:val="24"/>
                <w:szCs w:val="24"/>
              </w:rPr>
              <w:t xml:space="preserve">oras </w:t>
            </w:r>
            <w:r w:rsidRPr="007A27A5">
              <w:rPr>
                <w:rFonts w:ascii="Times New Roman" w:eastAsia="Arial" w:hAnsi="Times New Roman" w:cs="Times New Roman"/>
                <w:spacing w:val="3"/>
                <w:sz w:val="24"/>
                <w:szCs w:val="24"/>
              </w:rPr>
              <w:t>f</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d</w:t>
            </w:r>
            <w:r w:rsidRPr="007A27A5">
              <w:rPr>
                <w:rFonts w:ascii="Times New Roman" w:eastAsia="Arial" w:hAnsi="Times New Roman" w:cs="Times New Roman"/>
                <w:sz w:val="24"/>
                <w:szCs w:val="24"/>
              </w:rPr>
              <w:t>era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es</w:t>
            </w:r>
            <w:r w:rsidRPr="007A27A5">
              <w:rPr>
                <w:rFonts w:ascii="Times New Roman" w:eastAsia="Arial" w:hAnsi="Times New Roman" w:cs="Times New Roman"/>
                <w:spacing w:val="-6"/>
                <w:sz w:val="24"/>
                <w:szCs w:val="24"/>
              </w:rPr>
              <w:t xml:space="preserve"> </w:t>
            </w:r>
            <w:r w:rsidRPr="007A27A5">
              <w:rPr>
                <w:rFonts w:ascii="Times New Roman" w:eastAsia="Arial" w:hAnsi="Times New Roman" w:cs="Times New Roman"/>
                <w:sz w:val="24"/>
                <w:szCs w:val="24"/>
              </w:rPr>
              <w:t>y</w:t>
            </w:r>
            <w:r w:rsidRPr="007A27A5">
              <w:rPr>
                <w:rFonts w:ascii="Times New Roman" w:eastAsia="Arial" w:hAnsi="Times New Roman" w:cs="Times New Roman"/>
                <w:spacing w:val="-6"/>
                <w:sz w:val="24"/>
                <w:szCs w:val="24"/>
              </w:rPr>
              <w:t xml:space="preserve"> </w:t>
            </w:r>
            <w:r w:rsidRPr="007A27A5">
              <w:rPr>
                <w:rFonts w:ascii="Times New Roman" w:eastAsia="Arial" w:hAnsi="Times New Roman" w:cs="Times New Roman"/>
                <w:sz w:val="24"/>
                <w:szCs w:val="24"/>
              </w:rPr>
              <w:t>d</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l</w:t>
            </w:r>
            <w:r w:rsidRPr="007A27A5">
              <w:rPr>
                <w:rFonts w:ascii="Times New Roman" w:eastAsia="Arial" w:hAnsi="Times New Roman" w:cs="Times New Roman"/>
                <w:spacing w:val="-4"/>
                <w:sz w:val="24"/>
                <w:szCs w:val="24"/>
              </w:rPr>
              <w:t xml:space="preserve"> </w:t>
            </w:r>
            <w:r w:rsidRPr="007A27A5">
              <w:rPr>
                <w:rFonts w:ascii="Times New Roman" w:eastAsia="Arial" w:hAnsi="Times New Roman" w:cs="Times New Roman"/>
                <w:sz w:val="24"/>
                <w:szCs w:val="24"/>
              </w:rPr>
              <w:t>ámb</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o esta</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pacing w:val="1"/>
                <w:sz w:val="24"/>
                <w:szCs w:val="24"/>
              </w:rPr>
              <w:t>X</w:t>
            </w:r>
            <w:r w:rsidRPr="007A27A5">
              <w:rPr>
                <w:rFonts w:ascii="Times New Roman" w:eastAsia="Arial" w:hAnsi="Times New Roman" w:cs="Times New Roman"/>
                <w:spacing w:val="-1"/>
                <w:sz w:val="24"/>
                <w:szCs w:val="24"/>
              </w:rPr>
              <w:t>VI</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w:t>
            </w:r>
            <w:r w:rsidRPr="007A27A5">
              <w:rPr>
                <w:rFonts w:ascii="Times New Roman" w:eastAsia="Arial" w:hAnsi="Times New Roman" w:cs="Times New Roman"/>
                <w:spacing w:val="22"/>
                <w:sz w:val="24"/>
                <w:szCs w:val="24"/>
              </w:rPr>
              <w:t xml:space="preserve"> </w:t>
            </w:r>
            <w:r w:rsidRPr="007A27A5">
              <w:rPr>
                <w:rFonts w:ascii="Times New Roman" w:eastAsia="Arial" w:hAnsi="Times New Roman" w:cs="Times New Roman"/>
                <w:spacing w:val="-1"/>
                <w:sz w:val="24"/>
                <w:szCs w:val="24"/>
              </w:rPr>
              <w:t>C</w:t>
            </w:r>
            <w:r w:rsidRPr="007A27A5">
              <w:rPr>
                <w:rFonts w:ascii="Times New Roman" w:eastAsia="Arial" w:hAnsi="Times New Roman" w:cs="Times New Roman"/>
                <w:sz w:val="24"/>
                <w:szCs w:val="24"/>
              </w:rPr>
              <w:t>o</w:t>
            </w:r>
            <w:r w:rsidRPr="007A27A5">
              <w:rPr>
                <w:rFonts w:ascii="Times New Roman" w:eastAsia="Arial" w:hAnsi="Times New Roman" w:cs="Times New Roman"/>
                <w:spacing w:val="-1"/>
                <w:sz w:val="24"/>
                <w:szCs w:val="24"/>
              </w:rPr>
              <w:t>a</w:t>
            </w:r>
            <w:r w:rsidRPr="007A27A5">
              <w:rPr>
                <w:rFonts w:ascii="Times New Roman" w:eastAsia="Arial" w:hAnsi="Times New Roman" w:cs="Times New Roman"/>
                <w:sz w:val="24"/>
                <w:szCs w:val="24"/>
              </w:rPr>
              <w:t>d</w:t>
            </w:r>
            <w:r w:rsidRPr="007A27A5">
              <w:rPr>
                <w:rFonts w:ascii="Times New Roman" w:eastAsia="Arial" w:hAnsi="Times New Roman" w:cs="Times New Roman"/>
                <w:spacing w:val="-3"/>
                <w:sz w:val="24"/>
                <w:szCs w:val="24"/>
              </w:rPr>
              <w:t>y</w:t>
            </w:r>
            <w:r w:rsidRPr="007A27A5">
              <w:rPr>
                <w:rFonts w:ascii="Times New Roman" w:eastAsia="Arial" w:hAnsi="Times New Roman" w:cs="Times New Roman"/>
                <w:spacing w:val="2"/>
                <w:sz w:val="24"/>
                <w:szCs w:val="24"/>
              </w:rPr>
              <w:t>u</w:t>
            </w:r>
            <w:r w:rsidRPr="007A27A5">
              <w:rPr>
                <w:rFonts w:ascii="Times New Roman" w:eastAsia="Arial" w:hAnsi="Times New Roman" w:cs="Times New Roman"/>
                <w:spacing w:val="-2"/>
                <w:sz w:val="24"/>
                <w:szCs w:val="24"/>
              </w:rPr>
              <w:t>v</w:t>
            </w:r>
            <w:r w:rsidRPr="007A27A5">
              <w:rPr>
                <w:rFonts w:ascii="Times New Roman" w:eastAsia="Arial" w:hAnsi="Times New Roman" w:cs="Times New Roman"/>
                <w:sz w:val="24"/>
                <w:szCs w:val="24"/>
              </w:rPr>
              <w:t>ar</w:t>
            </w:r>
            <w:r w:rsidRPr="007A27A5">
              <w:rPr>
                <w:rFonts w:ascii="Times New Roman" w:eastAsia="Arial" w:hAnsi="Times New Roman" w:cs="Times New Roman"/>
                <w:spacing w:val="31"/>
                <w:sz w:val="24"/>
                <w:szCs w:val="24"/>
              </w:rPr>
              <w:t xml:space="preserve"> </w:t>
            </w:r>
            <w:r w:rsidRPr="007A27A5">
              <w:rPr>
                <w:rFonts w:ascii="Times New Roman" w:eastAsia="Arial" w:hAnsi="Times New Roman" w:cs="Times New Roman"/>
                <w:sz w:val="24"/>
                <w:szCs w:val="24"/>
              </w:rPr>
              <w:t>en</w:t>
            </w:r>
            <w:r w:rsidRPr="007A27A5">
              <w:rPr>
                <w:rFonts w:ascii="Times New Roman" w:eastAsia="Arial" w:hAnsi="Times New Roman" w:cs="Times New Roman"/>
                <w:spacing w:val="29"/>
                <w:sz w:val="24"/>
                <w:szCs w:val="24"/>
              </w:rPr>
              <w:t xml:space="preserv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w:t>
            </w:r>
            <w:r w:rsidRPr="007A27A5">
              <w:rPr>
                <w:rFonts w:ascii="Times New Roman" w:eastAsia="Arial" w:hAnsi="Times New Roman" w:cs="Times New Roman"/>
                <w:spacing w:val="27"/>
                <w:sz w:val="24"/>
                <w:szCs w:val="24"/>
              </w:rPr>
              <w:t xml:space="preserve"> </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nt</w:t>
            </w:r>
            <w:r w:rsidRPr="007A27A5">
              <w:rPr>
                <w:rFonts w:ascii="Times New Roman" w:eastAsia="Arial" w:hAnsi="Times New Roman" w:cs="Times New Roman"/>
                <w:spacing w:val="-2"/>
                <w:sz w:val="24"/>
                <w:szCs w:val="24"/>
              </w:rPr>
              <w:t>e</w:t>
            </w:r>
            <w:r w:rsidRPr="007A27A5">
              <w:rPr>
                <w:rFonts w:ascii="Times New Roman" w:eastAsia="Arial" w:hAnsi="Times New Roman" w:cs="Times New Roman"/>
                <w:sz w:val="24"/>
                <w:szCs w:val="24"/>
              </w:rPr>
              <w:t>gr</w:t>
            </w:r>
            <w:r w:rsidRPr="007A27A5">
              <w:rPr>
                <w:rFonts w:ascii="Times New Roman" w:eastAsia="Arial" w:hAnsi="Times New Roman" w:cs="Times New Roman"/>
                <w:spacing w:val="-2"/>
                <w:sz w:val="24"/>
                <w:szCs w:val="24"/>
              </w:rPr>
              <w:t>a</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ón</w:t>
            </w:r>
            <w:r w:rsidRPr="007A27A5">
              <w:rPr>
                <w:rFonts w:ascii="Times New Roman" w:eastAsia="Arial" w:hAnsi="Times New Roman" w:cs="Times New Roman"/>
                <w:spacing w:val="29"/>
                <w:sz w:val="24"/>
                <w:szCs w:val="24"/>
              </w:rPr>
              <w:t xml:space="preserve"> </w:t>
            </w:r>
            <w:r w:rsidRPr="007A27A5">
              <w:rPr>
                <w:rFonts w:ascii="Times New Roman" w:eastAsia="Arial" w:hAnsi="Times New Roman" w:cs="Times New Roman"/>
                <w:sz w:val="24"/>
                <w:szCs w:val="24"/>
              </w:rPr>
              <w:t>de</w:t>
            </w:r>
            <w:r w:rsidRPr="007A27A5">
              <w:rPr>
                <w:rFonts w:ascii="Times New Roman" w:eastAsia="Arial" w:hAnsi="Times New Roman" w:cs="Times New Roman"/>
                <w:spacing w:val="27"/>
                <w:sz w:val="24"/>
                <w:szCs w:val="24"/>
              </w:rPr>
              <w:t xml:space="preserv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 xml:space="preserve">os </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w:t>
            </w:r>
            <w:r w:rsidRPr="007A27A5">
              <w:rPr>
                <w:rFonts w:ascii="Times New Roman" w:eastAsia="Arial" w:hAnsi="Times New Roman" w:cs="Times New Roman"/>
                <w:spacing w:val="3"/>
                <w:sz w:val="24"/>
                <w:szCs w:val="24"/>
              </w:rPr>
              <w:t>f</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pacing w:val="1"/>
                <w:sz w:val="24"/>
                <w:szCs w:val="24"/>
              </w:rPr>
              <w:t>rm</w:t>
            </w:r>
            <w:r w:rsidRPr="007A27A5">
              <w:rPr>
                <w:rFonts w:ascii="Times New Roman" w:eastAsia="Arial" w:hAnsi="Times New Roman" w:cs="Times New Roman"/>
                <w:sz w:val="24"/>
                <w:szCs w:val="24"/>
              </w:rPr>
              <w:t xml:space="preserve">es </w:t>
            </w:r>
            <w:r w:rsidRPr="007A27A5">
              <w:rPr>
                <w:rFonts w:ascii="Times New Roman" w:eastAsia="Arial" w:hAnsi="Times New Roman" w:cs="Times New Roman"/>
                <w:spacing w:val="1"/>
                <w:sz w:val="24"/>
                <w:szCs w:val="24"/>
              </w:rPr>
              <w:t>tr</w:t>
            </w:r>
            <w:r w:rsidRPr="007A27A5">
              <w:rPr>
                <w:rFonts w:ascii="Times New Roman" w:eastAsia="Arial" w:hAnsi="Times New Roman" w:cs="Times New Roman"/>
                <w:spacing w:val="-3"/>
                <w:sz w:val="24"/>
                <w:szCs w:val="24"/>
              </w:rPr>
              <w:t>i</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es</w:t>
            </w:r>
            <w:r w:rsidRPr="007A27A5">
              <w:rPr>
                <w:rFonts w:ascii="Times New Roman" w:eastAsia="Arial" w:hAnsi="Times New Roman" w:cs="Times New Roman"/>
                <w:spacing w:val="-2"/>
                <w:sz w:val="24"/>
                <w:szCs w:val="24"/>
              </w:rPr>
              <w:t>t</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 xml:space="preserve">es y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 cu</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nta p</w:t>
            </w:r>
            <w:r w:rsidRPr="007A27A5">
              <w:rPr>
                <w:rFonts w:ascii="Times New Roman" w:eastAsia="Arial" w:hAnsi="Times New Roman" w:cs="Times New Roman"/>
                <w:spacing w:val="-1"/>
                <w:sz w:val="24"/>
                <w:szCs w:val="24"/>
              </w:rPr>
              <w:t>ú</w:t>
            </w:r>
            <w:r w:rsidRPr="007A27A5">
              <w:rPr>
                <w:rFonts w:ascii="Times New Roman" w:eastAsia="Arial" w:hAnsi="Times New Roman" w:cs="Times New Roman"/>
                <w:sz w:val="24"/>
                <w:szCs w:val="24"/>
              </w:rPr>
              <w:t>b</w:t>
            </w:r>
            <w:r w:rsidRPr="007A27A5">
              <w:rPr>
                <w:rFonts w:ascii="Times New Roman" w:eastAsia="Arial" w:hAnsi="Times New Roman" w:cs="Times New Roman"/>
                <w:spacing w:val="-1"/>
                <w:sz w:val="24"/>
                <w:szCs w:val="24"/>
              </w:rPr>
              <w:t>li</w:t>
            </w:r>
            <w:r w:rsidRPr="007A27A5">
              <w:rPr>
                <w:rFonts w:ascii="Times New Roman" w:eastAsia="Arial" w:hAnsi="Times New Roman" w:cs="Times New Roman"/>
                <w:sz w:val="24"/>
                <w:szCs w:val="24"/>
              </w:rPr>
              <w:t>ca, proporc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o</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pacing w:val="-3"/>
                <w:sz w:val="24"/>
                <w:szCs w:val="24"/>
              </w:rPr>
              <w:t>a</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d</w:t>
            </w:r>
            <w:r w:rsidRPr="007A27A5">
              <w:rPr>
                <w:rFonts w:ascii="Times New Roman" w:eastAsia="Arial" w:hAnsi="Times New Roman" w:cs="Times New Roman"/>
                <w:sz w:val="24"/>
                <w:szCs w:val="24"/>
              </w:rPr>
              <w:t xml:space="preserve">o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 xml:space="preserve">a </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w:t>
            </w:r>
            <w:r w:rsidRPr="007A27A5">
              <w:rPr>
                <w:rFonts w:ascii="Times New Roman" w:eastAsia="Arial" w:hAnsi="Times New Roman" w:cs="Times New Roman"/>
                <w:spacing w:val="3"/>
                <w:sz w:val="24"/>
                <w:szCs w:val="24"/>
              </w:rPr>
              <w:t>f</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pacing w:val="1"/>
                <w:sz w:val="24"/>
                <w:szCs w:val="24"/>
              </w:rPr>
              <w:t>rm</w:t>
            </w:r>
            <w:r w:rsidRPr="007A27A5">
              <w:rPr>
                <w:rFonts w:ascii="Times New Roman" w:eastAsia="Arial" w:hAnsi="Times New Roman" w:cs="Times New Roman"/>
                <w:sz w:val="24"/>
                <w:szCs w:val="24"/>
              </w:rPr>
              <w:t>ac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ón y d</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pacing w:val="-2"/>
                <w:sz w:val="24"/>
                <w:szCs w:val="24"/>
              </w:rPr>
              <w:t>c</w:t>
            </w:r>
            <w:r w:rsidRPr="007A27A5">
              <w:rPr>
                <w:rFonts w:ascii="Times New Roman" w:eastAsia="Arial" w:hAnsi="Times New Roman" w:cs="Times New Roman"/>
                <w:sz w:val="24"/>
                <w:szCs w:val="24"/>
              </w:rPr>
              <w:t>umen</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ac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ón n</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ces</w:t>
            </w:r>
            <w:r w:rsidRPr="007A27A5">
              <w:rPr>
                <w:rFonts w:ascii="Times New Roman" w:eastAsia="Arial" w:hAnsi="Times New Roman" w:cs="Times New Roman"/>
                <w:spacing w:val="-1"/>
                <w:sz w:val="24"/>
                <w:szCs w:val="24"/>
              </w:rPr>
              <w:t>a</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a.</w:t>
            </w:r>
          </w:p>
          <w:p w:rsidR="008469EC" w:rsidRPr="007A27A5" w:rsidRDefault="008469EC" w:rsidP="008469EC">
            <w:pPr>
              <w:spacing w:before="8" w:after="0" w:line="275" w:lineRule="auto"/>
              <w:ind w:right="63"/>
              <w:jc w:val="both"/>
              <w:rPr>
                <w:rFonts w:ascii="Times New Roman" w:eastAsia="Arial" w:hAnsi="Times New Roman" w:cs="Times New Roman"/>
                <w:sz w:val="24"/>
                <w:szCs w:val="24"/>
              </w:rPr>
            </w:pPr>
            <w:r w:rsidRPr="007A27A5">
              <w:rPr>
                <w:rFonts w:ascii="Times New Roman" w:eastAsia="Arial" w:hAnsi="Times New Roman" w:cs="Times New Roman"/>
                <w:spacing w:val="1"/>
                <w:sz w:val="24"/>
                <w:szCs w:val="24"/>
              </w:rPr>
              <w:t>X</w:t>
            </w:r>
            <w:r w:rsidRPr="007A27A5">
              <w:rPr>
                <w:rFonts w:ascii="Times New Roman" w:eastAsia="Arial" w:hAnsi="Times New Roman" w:cs="Times New Roman"/>
                <w:spacing w:val="-1"/>
                <w:sz w:val="24"/>
                <w:szCs w:val="24"/>
              </w:rPr>
              <w:t>VI</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 F</w:t>
            </w:r>
            <w:r w:rsidRPr="007A27A5">
              <w:rPr>
                <w:rFonts w:ascii="Times New Roman" w:eastAsia="Arial" w:hAnsi="Times New Roman" w:cs="Times New Roman"/>
                <w:spacing w:val="-1"/>
                <w:sz w:val="24"/>
                <w:szCs w:val="24"/>
              </w:rPr>
              <w:t>u</w:t>
            </w:r>
            <w:r w:rsidRPr="007A27A5">
              <w:rPr>
                <w:rFonts w:ascii="Times New Roman" w:eastAsia="Arial" w:hAnsi="Times New Roman" w:cs="Times New Roman"/>
                <w:sz w:val="24"/>
                <w:szCs w:val="24"/>
              </w:rPr>
              <w:t>n</w:t>
            </w:r>
            <w:r w:rsidRPr="007A27A5">
              <w:rPr>
                <w:rFonts w:ascii="Times New Roman" w:eastAsia="Arial" w:hAnsi="Times New Roman" w:cs="Times New Roman"/>
                <w:spacing w:val="2"/>
                <w:sz w:val="24"/>
                <w:szCs w:val="24"/>
              </w:rPr>
              <w:t>g</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r</w:t>
            </w:r>
            <w:r w:rsidRPr="007A27A5">
              <w:rPr>
                <w:rFonts w:ascii="Times New Roman" w:eastAsia="Arial" w:hAnsi="Times New Roman" w:cs="Times New Roman"/>
                <w:spacing w:val="38"/>
                <w:sz w:val="24"/>
                <w:szCs w:val="24"/>
              </w:rPr>
              <w:t xml:space="preserve"> </w:t>
            </w:r>
            <w:r w:rsidRPr="007A27A5">
              <w:rPr>
                <w:rFonts w:ascii="Times New Roman" w:eastAsia="Arial" w:hAnsi="Times New Roman" w:cs="Times New Roman"/>
                <w:sz w:val="24"/>
                <w:szCs w:val="24"/>
              </w:rPr>
              <w:t>c</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o</w:t>
            </w:r>
            <w:r w:rsidRPr="007A27A5">
              <w:rPr>
                <w:rFonts w:ascii="Times New Roman" w:eastAsia="Arial" w:hAnsi="Times New Roman" w:cs="Times New Roman"/>
                <w:spacing w:val="36"/>
                <w:sz w:val="24"/>
                <w:szCs w:val="24"/>
              </w:rPr>
              <w:t xml:space="preserve"> </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nl</w:t>
            </w:r>
            <w:r w:rsidRPr="007A27A5">
              <w:rPr>
                <w:rFonts w:ascii="Times New Roman" w:eastAsia="Arial" w:hAnsi="Times New Roman" w:cs="Times New Roman"/>
                <w:sz w:val="24"/>
                <w:szCs w:val="24"/>
              </w:rPr>
              <w:t>ace</w:t>
            </w:r>
            <w:r w:rsidRPr="007A27A5">
              <w:rPr>
                <w:rFonts w:ascii="Times New Roman" w:eastAsia="Arial" w:hAnsi="Times New Roman" w:cs="Times New Roman"/>
                <w:spacing w:val="39"/>
                <w:sz w:val="24"/>
                <w:szCs w:val="24"/>
              </w:rPr>
              <w:t xml:space="preserve"> </w:t>
            </w:r>
            <w:r w:rsidRPr="007A27A5">
              <w:rPr>
                <w:rFonts w:ascii="Times New Roman" w:eastAsia="Arial" w:hAnsi="Times New Roman" w:cs="Times New Roman"/>
                <w:sz w:val="24"/>
                <w:szCs w:val="24"/>
              </w:rPr>
              <w:t>a</w:t>
            </w:r>
            <w:r w:rsidRPr="007A27A5">
              <w:rPr>
                <w:rFonts w:ascii="Times New Roman" w:eastAsia="Arial" w:hAnsi="Times New Roman" w:cs="Times New Roman"/>
                <w:spacing w:val="-3"/>
                <w:sz w:val="24"/>
                <w:szCs w:val="24"/>
              </w:rPr>
              <w:t>d</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s</w:t>
            </w:r>
            <w:r w:rsidRPr="007A27A5">
              <w:rPr>
                <w:rFonts w:ascii="Times New Roman" w:eastAsia="Arial" w:hAnsi="Times New Roman" w:cs="Times New Roman"/>
                <w:spacing w:val="1"/>
                <w:sz w:val="24"/>
                <w:szCs w:val="24"/>
              </w:rPr>
              <w:t>tr</w:t>
            </w:r>
            <w:r w:rsidRPr="007A27A5">
              <w:rPr>
                <w:rFonts w:ascii="Times New Roman" w:eastAsia="Arial" w:hAnsi="Times New Roman" w:cs="Times New Roman"/>
                <w:spacing w:val="-3"/>
                <w:sz w:val="24"/>
                <w:szCs w:val="24"/>
              </w:rPr>
              <w:t>a</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2"/>
                <w:sz w:val="24"/>
                <w:szCs w:val="24"/>
              </w:rPr>
              <w:t>v</w:t>
            </w:r>
            <w:r w:rsidRPr="007A27A5">
              <w:rPr>
                <w:rFonts w:ascii="Times New Roman" w:eastAsia="Arial" w:hAnsi="Times New Roman" w:cs="Times New Roman"/>
                <w:sz w:val="24"/>
                <w:szCs w:val="24"/>
              </w:rPr>
              <w:t>o con</w:t>
            </w:r>
            <w:r w:rsidRPr="007A27A5">
              <w:rPr>
                <w:rFonts w:ascii="Times New Roman" w:eastAsia="Arial" w:hAnsi="Times New Roman" w:cs="Times New Roman"/>
                <w:spacing w:val="5"/>
                <w:sz w:val="24"/>
                <w:szCs w:val="24"/>
              </w:rPr>
              <w:t xml:space="preserve"> </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pacing w:val="1"/>
                <w:sz w:val="24"/>
                <w:szCs w:val="24"/>
              </w:rPr>
              <w:t>tr</w:t>
            </w:r>
            <w:r w:rsidRPr="007A27A5">
              <w:rPr>
                <w:rFonts w:ascii="Times New Roman" w:eastAsia="Arial" w:hAnsi="Times New Roman" w:cs="Times New Roman"/>
                <w:sz w:val="24"/>
                <w:szCs w:val="24"/>
              </w:rPr>
              <w:t>as</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in</w:t>
            </w:r>
            <w:r w:rsidRPr="007A27A5">
              <w:rPr>
                <w:rFonts w:ascii="Times New Roman" w:eastAsia="Arial" w:hAnsi="Times New Roman" w:cs="Times New Roman"/>
                <w:spacing w:val="-3"/>
                <w:sz w:val="24"/>
                <w:szCs w:val="24"/>
              </w:rPr>
              <w:t>s</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as</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 xml:space="preserve">de </w:t>
            </w:r>
            <w:r w:rsidRPr="007A27A5">
              <w:rPr>
                <w:rFonts w:ascii="Times New Roman" w:eastAsia="Arial" w:hAnsi="Times New Roman" w:cs="Times New Roman"/>
                <w:spacing w:val="2"/>
                <w:sz w:val="24"/>
                <w:szCs w:val="24"/>
              </w:rPr>
              <w:t>g</w:t>
            </w:r>
            <w:r w:rsidRPr="007A27A5">
              <w:rPr>
                <w:rFonts w:ascii="Times New Roman" w:eastAsia="Arial" w:hAnsi="Times New Roman" w:cs="Times New Roman"/>
                <w:sz w:val="24"/>
                <w:szCs w:val="24"/>
              </w:rPr>
              <w:t>o</w:t>
            </w:r>
            <w:r w:rsidRPr="007A27A5">
              <w:rPr>
                <w:rFonts w:ascii="Times New Roman" w:eastAsia="Arial" w:hAnsi="Times New Roman" w:cs="Times New Roman"/>
                <w:spacing w:val="-1"/>
                <w:sz w:val="24"/>
                <w:szCs w:val="24"/>
              </w:rPr>
              <w:t>bi</w:t>
            </w:r>
            <w:r w:rsidRPr="007A27A5">
              <w:rPr>
                <w:rFonts w:ascii="Times New Roman" w:eastAsia="Arial" w:hAnsi="Times New Roman" w:cs="Times New Roman"/>
                <w:sz w:val="24"/>
                <w:szCs w:val="24"/>
              </w:rPr>
              <w:t>erno</w:t>
            </w:r>
            <w:r w:rsidRPr="007A27A5">
              <w:rPr>
                <w:rFonts w:ascii="Times New Roman" w:eastAsia="Arial" w:hAnsi="Times New Roman" w:cs="Times New Roman"/>
                <w:spacing w:val="3"/>
                <w:sz w:val="24"/>
                <w:szCs w:val="24"/>
              </w:rPr>
              <w:t xml:space="preserve"> </w:t>
            </w:r>
            <w:r w:rsidRPr="007A27A5">
              <w:rPr>
                <w:rFonts w:ascii="Times New Roman" w:eastAsia="Arial" w:hAnsi="Times New Roman" w:cs="Times New Roman"/>
                <w:sz w:val="24"/>
                <w:szCs w:val="24"/>
              </w:rPr>
              <w:t>en as</w:t>
            </w:r>
            <w:r w:rsidRPr="007A27A5">
              <w:rPr>
                <w:rFonts w:ascii="Times New Roman" w:eastAsia="Arial" w:hAnsi="Times New Roman" w:cs="Times New Roman"/>
                <w:spacing w:val="-1"/>
                <w:sz w:val="24"/>
                <w:szCs w:val="24"/>
              </w:rPr>
              <w:t>u</w:t>
            </w:r>
            <w:r w:rsidRPr="007A27A5">
              <w:rPr>
                <w:rFonts w:ascii="Times New Roman" w:eastAsia="Arial" w:hAnsi="Times New Roman" w:cs="Times New Roman"/>
                <w:sz w:val="24"/>
                <w:szCs w:val="24"/>
              </w:rPr>
              <w:t>ntos</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de</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su</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c</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p</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e</w:t>
            </w:r>
            <w:r w:rsidRPr="007A27A5">
              <w:rPr>
                <w:rFonts w:ascii="Times New Roman" w:eastAsia="Arial" w:hAnsi="Times New Roman" w:cs="Times New Roman"/>
                <w:spacing w:val="-3"/>
                <w:sz w:val="24"/>
                <w:szCs w:val="24"/>
              </w:rPr>
              <w:t>n</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a.</w:t>
            </w:r>
          </w:p>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spacing w:val="1"/>
                <w:sz w:val="24"/>
                <w:szCs w:val="24"/>
              </w:rPr>
              <w:t>X</w:t>
            </w:r>
            <w:r w:rsidRPr="007A27A5">
              <w:rPr>
                <w:rFonts w:ascii="Times New Roman" w:eastAsia="Arial" w:hAnsi="Times New Roman" w:cs="Times New Roman"/>
                <w:spacing w:val="-1"/>
                <w:sz w:val="24"/>
                <w:szCs w:val="24"/>
              </w:rPr>
              <w:t>IX</w:t>
            </w:r>
            <w:r w:rsidRPr="007A27A5">
              <w:rPr>
                <w:rFonts w:ascii="Times New Roman" w:eastAsia="Arial" w:hAnsi="Times New Roman" w:cs="Times New Roman"/>
                <w:sz w:val="24"/>
                <w:szCs w:val="24"/>
              </w:rPr>
              <w:t>.</w:t>
            </w:r>
            <w:r w:rsidRPr="007A27A5">
              <w:rPr>
                <w:rFonts w:ascii="Times New Roman" w:eastAsia="Arial" w:hAnsi="Times New Roman" w:cs="Times New Roman"/>
                <w:spacing w:val="22"/>
                <w:sz w:val="24"/>
                <w:szCs w:val="24"/>
              </w:rPr>
              <w:t xml:space="preserve"> </w:t>
            </w:r>
            <w:r w:rsidRPr="007A27A5">
              <w:rPr>
                <w:rFonts w:ascii="Times New Roman" w:eastAsia="Arial" w:hAnsi="Times New Roman" w:cs="Times New Roman"/>
                <w:sz w:val="24"/>
                <w:szCs w:val="24"/>
              </w:rPr>
              <w:t>L</w:t>
            </w:r>
            <w:r w:rsidRPr="007A27A5">
              <w:rPr>
                <w:rFonts w:ascii="Times New Roman" w:eastAsia="Arial" w:hAnsi="Times New Roman" w:cs="Times New Roman"/>
                <w:spacing w:val="-1"/>
                <w:sz w:val="24"/>
                <w:szCs w:val="24"/>
              </w:rPr>
              <w:t>a</w:t>
            </w:r>
            <w:r w:rsidRPr="007A27A5">
              <w:rPr>
                <w:rFonts w:ascii="Times New Roman" w:eastAsia="Arial" w:hAnsi="Times New Roman" w:cs="Times New Roman"/>
                <w:sz w:val="24"/>
                <w:szCs w:val="24"/>
              </w:rPr>
              <w:t>s</w:t>
            </w:r>
            <w:r w:rsidRPr="007A27A5">
              <w:rPr>
                <w:rFonts w:ascii="Times New Roman" w:eastAsia="Arial" w:hAnsi="Times New Roman" w:cs="Times New Roman"/>
                <w:spacing w:val="41"/>
                <w:sz w:val="24"/>
                <w:szCs w:val="24"/>
              </w:rPr>
              <w:t xml:space="preserve"> </w:t>
            </w:r>
            <w:r w:rsidRPr="007A27A5">
              <w:rPr>
                <w:rFonts w:ascii="Times New Roman" w:eastAsia="Arial" w:hAnsi="Times New Roman" w:cs="Times New Roman"/>
                <w:sz w:val="24"/>
                <w:szCs w:val="24"/>
              </w:rPr>
              <w:t>d</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 xml:space="preserve">ás </w:t>
            </w:r>
            <w:r w:rsidRPr="007A27A5">
              <w:rPr>
                <w:rFonts w:ascii="Times New Roman" w:eastAsia="Arial" w:hAnsi="Times New Roman" w:cs="Times New Roman"/>
                <w:spacing w:val="2"/>
                <w:sz w:val="24"/>
                <w:szCs w:val="24"/>
              </w:rPr>
              <w:t>q</w:t>
            </w:r>
            <w:r w:rsidRPr="007A27A5">
              <w:rPr>
                <w:rFonts w:ascii="Times New Roman" w:eastAsia="Arial" w:hAnsi="Times New Roman" w:cs="Times New Roman"/>
                <w:sz w:val="24"/>
                <w:szCs w:val="24"/>
              </w:rPr>
              <w:t xml:space="preserve">ue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 xml:space="preserve">es </w:t>
            </w:r>
            <w:r w:rsidRPr="007A27A5">
              <w:rPr>
                <w:rFonts w:ascii="Times New Roman" w:eastAsia="Arial" w:hAnsi="Times New Roman" w:cs="Times New Roman"/>
                <w:spacing w:val="-2"/>
                <w:sz w:val="24"/>
                <w:szCs w:val="24"/>
              </w:rPr>
              <w:t>s</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ñ</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en</w:t>
            </w:r>
            <w:r w:rsidRPr="007A27A5">
              <w:rPr>
                <w:rFonts w:ascii="Times New Roman" w:eastAsia="Arial" w:hAnsi="Times New Roman" w:cs="Times New Roman"/>
                <w:spacing w:val="40"/>
                <w:sz w:val="24"/>
                <w:szCs w:val="24"/>
              </w:rPr>
              <w:t xml:space="preserv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as d</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sp</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z w:val="24"/>
                <w:szCs w:val="24"/>
              </w:rPr>
              <w:t>s</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o</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es ap</w:t>
            </w:r>
            <w:r w:rsidRPr="007A27A5">
              <w:rPr>
                <w:rFonts w:ascii="Times New Roman" w:eastAsia="Arial" w:hAnsi="Times New Roman" w:cs="Times New Roman"/>
                <w:spacing w:val="-1"/>
                <w:sz w:val="24"/>
                <w:szCs w:val="24"/>
              </w:rPr>
              <w:t>li</w:t>
            </w:r>
            <w:r w:rsidRPr="007A27A5">
              <w:rPr>
                <w:rFonts w:ascii="Times New Roman" w:eastAsia="Arial" w:hAnsi="Times New Roman" w:cs="Times New Roman"/>
                <w:sz w:val="24"/>
                <w:szCs w:val="24"/>
              </w:rPr>
              <w:t>ca</w:t>
            </w:r>
            <w:r w:rsidRPr="007A27A5">
              <w:rPr>
                <w:rFonts w:ascii="Times New Roman" w:eastAsia="Arial" w:hAnsi="Times New Roman" w:cs="Times New Roman"/>
                <w:spacing w:val="-1"/>
                <w:sz w:val="24"/>
                <w:szCs w:val="24"/>
              </w:rPr>
              <w:t>bl</w:t>
            </w:r>
            <w:r w:rsidRPr="007A27A5">
              <w:rPr>
                <w:rFonts w:ascii="Times New Roman" w:eastAsia="Arial" w:hAnsi="Times New Roman" w:cs="Times New Roman"/>
                <w:sz w:val="24"/>
                <w:szCs w:val="24"/>
              </w:rPr>
              <w:t>es.</w:t>
            </w:r>
          </w:p>
        </w:tc>
      </w:tr>
      <w:tr w:rsidR="008469EC" w:rsidRPr="007A27A5" w:rsidTr="008469EC">
        <w:trPr>
          <w:gridBefore w:val="1"/>
          <w:wBefore w:w="6" w:type="dxa"/>
          <w:trHeight w:val="840"/>
        </w:trPr>
        <w:tc>
          <w:tcPr>
            <w:tcW w:w="5097" w:type="dxa"/>
            <w:tcBorders>
              <w:top w:val="single" w:sz="5" w:space="0" w:color="000000"/>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p>
        </w:tc>
        <w:tc>
          <w:tcPr>
            <w:tcW w:w="4395" w:type="dxa"/>
            <w:vMerge/>
            <w:tcBorders>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p>
        </w:tc>
      </w:tr>
      <w:tr w:rsidR="008469EC" w:rsidRPr="007A27A5" w:rsidTr="008469EC">
        <w:trPr>
          <w:gridBefore w:val="1"/>
          <w:wBefore w:w="6" w:type="dxa"/>
          <w:trHeight w:val="840"/>
        </w:trPr>
        <w:tc>
          <w:tcPr>
            <w:tcW w:w="5097" w:type="dxa"/>
            <w:tcBorders>
              <w:top w:val="single" w:sz="5" w:space="0" w:color="000000"/>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p>
        </w:tc>
        <w:tc>
          <w:tcPr>
            <w:tcW w:w="4395" w:type="dxa"/>
            <w:vMerge/>
            <w:tcBorders>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p>
        </w:tc>
      </w:tr>
      <w:tr w:rsidR="008469EC" w:rsidRPr="007A27A5" w:rsidTr="008469EC">
        <w:trPr>
          <w:gridBefore w:val="1"/>
          <w:wBefore w:w="6" w:type="dxa"/>
          <w:trHeight w:val="840"/>
        </w:trPr>
        <w:tc>
          <w:tcPr>
            <w:tcW w:w="5097" w:type="dxa"/>
            <w:tcBorders>
              <w:top w:val="single" w:sz="5" w:space="0" w:color="000000"/>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p>
        </w:tc>
        <w:tc>
          <w:tcPr>
            <w:tcW w:w="4395" w:type="dxa"/>
            <w:vMerge/>
            <w:tcBorders>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p>
        </w:tc>
      </w:tr>
      <w:tr w:rsidR="008469EC" w:rsidRPr="007A27A5" w:rsidTr="008469EC">
        <w:trPr>
          <w:gridBefore w:val="1"/>
          <w:wBefore w:w="6" w:type="dxa"/>
          <w:trHeight w:val="840"/>
        </w:trPr>
        <w:tc>
          <w:tcPr>
            <w:tcW w:w="5097" w:type="dxa"/>
            <w:tcBorders>
              <w:top w:val="single" w:sz="5" w:space="0" w:color="000000"/>
              <w:left w:val="single" w:sz="5" w:space="0" w:color="000000"/>
              <w:right w:val="single" w:sz="5" w:space="0" w:color="000000"/>
            </w:tcBorders>
          </w:tcPr>
          <w:p w:rsidR="008469EC" w:rsidRPr="007A27A5" w:rsidRDefault="008469EC" w:rsidP="008469EC">
            <w:pPr>
              <w:spacing w:after="0" w:line="240" w:lineRule="auto"/>
              <w:jc w:val="both"/>
              <w:rPr>
                <w:rFonts w:ascii="Times New Roman" w:eastAsia="Arial" w:hAnsi="Times New Roman" w:cs="Times New Roman"/>
                <w:b/>
                <w:sz w:val="24"/>
                <w:szCs w:val="24"/>
              </w:rPr>
            </w:pPr>
          </w:p>
        </w:tc>
        <w:tc>
          <w:tcPr>
            <w:tcW w:w="4395" w:type="dxa"/>
            <w:tcBorders>
              <w:top w:val="single" w:sz="5" w:space="0" w:color="000000"/>
              <w:left w:val="single" w:sz="5" w:space="0" w:color="000000"/>
              <w:right w:val="single" w:sz="5" w:space="0" w:color="000000"/>
            </w:tcBorders>
          </w:tcPr>
          <w:p w:rsidR="008469EC" w:rsidRPr="007A27A5" w:rsidRDefault="008469EC" w:rsidP="008469EC">
            <w:pPr>
              <w:spacing w:after="0" w:line="240" w:lineRule="exact"/>
              <w:jc w:val="both"/>
              <w:rPr>
                <w:rFonts w:ascii="Times New Roman" w:eastAsia="Arial" w:hAnsi="Times New Roman" w:cs="Times New Roman"/>
                <w:sz w:val="24"/>
                <w:szCs w:val="24"/>
              </w:rPr>
            </w:pPr>
            <w:r w:rsidRPr="007A27A5">
              <w:rPr>
                <w:rFonts w:ascii="Times New Roman" w:eastAsia="Arial" w:hAnsi="Times New Roman" w:cs="Times New Roman"/>
                <w:b/>
                <w:spacing w:val="-6"/>
                <w:sz w:val="24"/>
                <w:szCs w:val="24"/>
              </w:rPr>
              <w:t>A</w:t>
            </w:r>
            <w:r w:rsidRPr="007A27A5">
              <w:rPr>
                <w:rFonts w:ascii="Times New Roman" w:eastAsia="Arial" w:hAnsi="Times New Roman" w:cs="Times New Roman"/>
                <w:b/>
                <w:sz w:val="24"/>
                <w:szCs w:val="24"/>
              </w:rPr>
              <w:t>r</w:t>
            </w:r>
            <w:r w:rsidRPr="007A27A5">
              <w:rPr>
                <w:rFonts w:ascii="Times New Roman" w:eastAsia="Arial" w:hAnsi="Times New Roman" w:cs="Times New Roman"/>
                <w:b/>
                <w:spacing w:val="1"/>
                <w:sz w:val="24"/>
                <w:szCs w:val="24"/>
              </w:rPr>
              <w:t>tí</w:t>
            </w:r>
            <w:r w:rsidRPr="007A27A5">
              <w:rPr>
                <w:rFonts w:ascii="Times New Roman" w:eastAsia="Arial" w:hAnsi="Times New Roman" w:cs="Times New Roman"/>
                <w:b/>
                <w:sz w:val="24"/>
                <w:szCs w:val="24"/>
              </w:rPr>
              <w:t>c</w:t>
            </w:r>
            <w:r w:rsidRPr="007A27A5">
              <w:rPr>
                <w:rFonts w:ascii="Times New Roman" w:eastAsia="Arial" w:hAnsi="Times New Roman" w:cs="Times New Roman"/>
                <w:b/>
                <w:spacing w:val="-1"/>
                <w:sz w:val="24"/>
                <w:szCs w:val="24"/>
              </w:rPr>
              <w:t>u</w:t>
            </w:r>
            <w:r w:rsidRPr="007A27A5">
              <w:rPr>
                <w:rFonts w:ascii="Times New Roman" w:eastAsia="Arial" w:hAnsi="Times New Roman" w:cs="Times New Roman"/>
                <w:b/>
                <w:spacing w:val="1"/>
                <w:sz w:val="24"/>
                <w:szCs w:val="24"/>
              </w:rPr>
              <w:t>l</w:t>
            </w:r>
            <w:r w:rsidRPr="007A27A5">
              <w:rPr>
                <w:rFonts w:ascii="Times New Roman" w:eastAsia="Arial" w:hAnsi="Times New Roman" w:cs="Times New Roman"/>
                <w:b/>
                <w:sz w:val="24"/>
                <w:szCs w:val="24"/>
              </w:rPr>
              <w:t>o</w:t>
            </w:r>
            <w:r w:rsidRPr="007A27A5">
              <w:rPr>
                <w:rFonts w:ascii="Times New Roman" w:eastAsia="Arial" w:hAnsi="Times New Roman" w:cs="Times New Roman"/>
                <w:b/>
                <w:spacing w:val="15"/>
                <w:sz w:val="24"/>
                <w:szCs w:val="24"/>
              </w:rPr>
              <w:t xml:space="preserve"> </w:t>
            </w:r>
            <w:r w:rsidRPr="007A27A5">
              <w:rPr>
                <w:rFonts w:ascii="Times New Roman" w:eastAsia="Arial" w:hAnsi="Times New Roman" w:cs="Times New Roman"/>
                <w:b/>
                <w:sz w:val="24"/>
                <w:szCs w:val="24"/>
              </w:rPr>
              <w:t>96</w:t>
            </w:r>
            <w:r w:rsidRPr="007A27A5">
              <w:rPr>
                <w:rFonts w:ascii="Times New Roman" w:eastAsia="Arial" w:hAnsi="Times New Roman" w:cs="Times New Roman"/>
                <w:b/>
                <w:spacing w:val="13"/>
                <w:sz w:val="24"/>
                <w:szCs w:val="24"/>
              </w:rPr>
              <w:t xml:space="preserve"> </w:t>
            </w:r>
            <w:proofErr w:type="spellStart"/>
            <w:r w:rsidRPr="007A27A5">
              <w:rPr>
                <w:rFonts w:ascii="Times New Roman" w:eastAsia="Arial" w:hAnsi="Times New Roman" w:cs="Times New Roman"/>
                <w:b/>
                <w:spacing w:val="1"/>
                <w:sz w:val="24"/>
                <w:szCs w:val="24"/>
              </w:rPr>
              <w:t>O</w:t>
            </w:r>
            <w:r w:rsidRPr="007A27A5">
              <w:rPr>
                <w:rFonts w:ascii="Times New Roman" w:eastAsia="Arial" w:hAnsi="Times New Roman" w:cs="Times New Roman"/>
                <w:b/>
                <w:sz w:val="24"/>
                <w:szCs w:val="24"/>
              </w:rPr>
              <w:t>ctod</w:t>
            </w:r>
            <w:r w:rsidRPr="007A27A5">
              <w:rPr>
                <w:rFonts w:ascii="Times New Roman" w:eastAsia="Arial" w:hAnsi="Times New Roman" w:cs="Times New Roman"/>
                <w:b/>
                <w:spacing w:val="-1"/>
                <w:sz w:val="24"/>
                <w:szCs w:val="24"/>
              </w:rPr>
              <w:t>e</w:t>
            </w:r>
            <w:r w:rsidRPr="007A27A5">
              <w:rPr>
                <w:rFonts w:ascii="Times New Roman" w:eastAsia="Arial" w:hAnsi="Times New Roman" w:cs="Times New Roman"/>
                <w:b/>
                <w:spacing w:val="-3"/>
                <w:sz w:val="24"/>
                <w:szCs w:val="24"/>
              </w:rPr>
              <w:t>c</w:t>
            </w:r>
            <w:r w:rsidRPr="007A27A5">
              <w:rPr>
                <w:rFonts w:ascii="Times New Roman" w:eastAsia="Arial" w:hAnsi="Times New Roman" w:cs="Times New Roman"/>
                <w:b/>
                <w:spacing w:val="1"/>
                <w:sz w:val="24"/>
                <w:szCs w:val="24"/>
              </w:rPr>
              <w:t>i</w:t>
            </w:r>
            <w:r w:rsidRPr="007A27A5">
              <w:rPr>
                <w:rFonts w:ascii="Times New Roman" w:eastAsia="Arial" w:hAnsi="Times New Roman" w:cs="Times New Roman"/>
                <w:b/>
                <w:sz w:val="24"/>
                <w:szCs w:val="24"/>
              </w:rPr>
              <w:t>e</w:t>
            </w:r>
            <w:r w:rsidRPr="007A27A5">
              <w:rPr>
                <w:rFonts w:ascii="Times New Roman" w:eastAsia="Arial" w:hAnsi="Times New Roman" w:cs="Times New Roman"/>
                <w:b/>
                <w:spacing w:val="-2"/>
                <w:sz w:val="24"/>
                <w:szCs w:val="24"/>
              </w:rPr>
              <w:t>s</w:t>
            </w:r>
            <w:proofErr w:type="spellEnd"/>
            <w:r w:rsidRPr="007A27A5">
              <w:rPr>
                <w:rFonts w:ascii="Times New Roman" w:eastAsia="Arial" w:hAnsi="Times New Roman" w:cs="Times New Roman"/>
                <w:spacing w:val="1"/>
                <w:sz w:val="24"/>
                <w:szCs w:val="24"/>
              </w:rPr>
              <w:t>.</w:t>
            </w:r>
            <w:r w:rsidRPr="007A27A5">
              <w:rPr>
                <w:rFonts w:ascii="Times New Roman" w:eastAsia="Arial" w:hAnsi="Times New Roman" w:cs="Times New Roman"/>
                <w:sz w:val="24"/>
                <w:szCs w:val="24"/>
              </w:rPr>
              <w:t>-</w:t>
            </w:r>
            <w:r w:rsidRPr="007A27A5">
              <w:rPr>
                <w:rFonts w:ascii="Times New Roman" w:eastAsia="Arial" w:hAnsi="Times New Roman" w:cs="Times New Roman"/>
                <w:spacing w:val="14"/>
                <w:sz w:val="24"/>
                <w:szCs w:val="24"/>
              </w:rPr>
              <w:t xml:space="preserve"> </w:t>
            </w:r>
            <w:r w:rsidRPr="007A27A5">
              <w:rPr>
                <w:rFonts w:ascii="Times New Roman" w:eastAsia="Arial" w:hAnsi="Times New Roman" w:cs="Times New Roman"/>
                <w:spacing w:val="-1"/>
                <w:sz w:val="24"/>
                <w:szCs w:val="24"/>
              </w:rPr>
              <w:t>P</w:t>
            </w:r>
            <w:r w:rsidRPr="007A27A5">
              <w:rPr>
                <w:rFonts w:ascii="Times New Roman" w:eastAsia="Arial" w:hAnsi="Times New Roman" w:cs="Times New Roman"/>
                <w:sz w:val="24"/>
                <w:szCs w:val="24"/>
              </w:rPr>
              <w:t>ara</w:t>
            </w:r>
            <w:r w:rsidRPr="007A27A5">
              <w:rPr>
                <w:rFonts w:ascii="Times New Roman" w:eastAsia="Arial" w:hAnsi="Times New Roman" w:cs="Times New Roman"/>
                <w:spacing w:val="13"/>
                <w:sz w:val="24"/>
                <w:szCs w:val="24"/>
              </w:rPr>
              <w:t xml:space="preserve"> </w:t>
            </w:r>
            <w:r w:rsidRPr="007A27A5">
              <w:rPr>
                <w:rFonts w:ascii="Times New Roman" w:eastAsia="Arial" w:hAnsi="Times New Roman" w:cs="Times New Roman"/>
                <w:sz w:val="24"/>
                <w:szCs w:val="24"/>
              </w:rPr>
              <w:t>ser</w:t>
            </w:r>
            <w:r w:rsidRPr="007A27A5">
              <w:rPr>
                <w:rFonts w:ascii="Times New Roman" w:eastAsia="Arial" w:hAnsi="Times New Roman" w:cs="Times New Roman"/>
                <w:spacing w:val="11"/>
                <w:sz w:val="24"/>
                <w:szCs w:val="24"/>
              </w:rPr>
              <w:t xml:space="preserve"> </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ar de</w:t>
            </w:r>
            <w:r w:rsidRPr="007A27A5">
              <w:rPr>
                <w:rFonts w:ascii="Times New Roman" w:eastAsia="Arial" w:hAnsi="Times New Roman" w:cs="Times New Roman"/>
                <w:spacing w:val="17"/>
                <w:sz w:val="24"/>
                <w:szCs w:val="24"/>
              </w:rPr>
              <w:t xml:space="preserv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8"/>
                <w:sz w:val="24"/>
                <w:szCs w:val="24"/>
              </w:rPr>
              <w:t xml:space="preserve"> </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pacing w:val="1"/>
                <w:sz w:val="24"/>
                <w:szCs w:val="24"/>
              </w:rPr>
              <w:t>f</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pacing w:val="-4"/>
                <w:sz w:val="24"/>
                <w:szCs w:val="24"/>
              </w:rPr>
              <w:t>í</w:t>
            </w:r>
            <w:r w:rsidRPr="007A27A5">
              <w:rPr>
                <w:rFonts w:ascii="Times New Roman" w:eastAsia="Arial" w:hAnsi="Times New Roman" w:cs="Times New Roman"/>
                <w:sz w:val="24"/>
                <w:szCs w:val="24"/>
              </w:rPr>
              <w:t>a</w:t>
            </w:r>
            <w:r w:rsidRPr="007A27A5">
              <w:rPr>
                <w:rFonts w:ascii="Times New Roman" w:eastAsia="Arial" w:hAnsi="Times New Roman" w:cs="Times New Roman"/>
                <w:spacing w:val="20"/>
                <w:sz w:val="24"/>
                <w:szCs w:val="24"/>
              </w:rPr>
              <w:t xml:space="preserve"> </w:t>
            </w:r>
            <w:r w:rsidRPr="007A27A5">
              <w:rPr>
                <w:rFonts w:ascii="Times New Roman" w:eastAsia="Arial" w:hAnsi="Times New Roman" w:cs="Times New Roman"/>
                <w:spacing w:val="-4"/>
                <w:sz w:val="24"/>
                <w:szCs w:val="24"/>
              </w:rPr>
              <w:t>M</w:t>
            </w:r>
            <w:r w:rsidRPr="007A27A5">
              <w:rPr>
                <w:rFonts w:ascii="Times New Roman" w:eastAsia="Arial" w:hAnsi="Times New Roman" w:cs="Times New Roman"/>
                <w:spacing w:val="2"/>
                <w:sz w:val="24"/>
                <w:szCs w:val="24"/>
              </w:rPr>
              <w:t>a</w:t>
            </w:r>
            <w:r w:rsidRPr="007A27A5">
              <w:rPr>
                <w:rFonts w:ascii="Times New Roman" w:eastAsia="Arial" w:hAnsi="Times New Roman" w:cs="Times New Roman"/>
                <w:spacing w:val="-2"/>
                <w:sz w:val="24"/>
                <w:szCs w:val="24"/>
              </w:rPr>
              <w:t>y</w:t>
            </w:r>
            <w:r w:rsidRPr="007A27A5">
              <w:rPr>
                <w:rFonts w:ascii="Times New Roman" w:eastAsia="Arial" w:hAnsi="Times New Roman" w:cs="Times New Roman"/>
                <w:sz w:val="24"/>
                <w:szCs w:val="24"/>
              </w:rPr>
              <w:t>or</w:t>
            </w:r>
            <w:r w:rsidRPr="007A27A5">
              <w:rPr>
                <w:rFonts w:ascii="Times New Roman" w:eastAsia="Arial" w:hAnsi="Times New Roman" w:cs="Times New Roman"/>
                <w:spacing w:val="19"/>
                <w:sz w:val="24"/>
                <w:szCs w:val="24"/>
              </w:rPr>
              <w:t xml:space="preserve"> </w:t>
            </w:r>
            <w:r w:rsidRPr="007A27A5">
              <w:rPr>
                <w:rFonts w:ascii="Times New Roman" w:eastAsia="Arial" w:hAnsi="Times New Roman" w:cs="Times New Roman"/>
                <w:sz w:val="24"/>
                <w:szCs w:val="24"/>
              </w:rPr>
              <w:t>o</w:t>
            </w:r>
            <w:r w:rsidRPr="007A27A5">
              <w:rPr>
                <w:rFonts w:ascii="Times New Roman" w:eastAsia="Arial" w:hAnsi="Times New Roman" w:cs="Times New Roman"/>
                <w:spacing w:val="18"/>
                <w:sz w:val="24"/>
                <w:szCs w:val="24"/>
              </w:rPr>
              <w:t xml:space="preserve"> </w:t>
            </w:r>
            <w:r w:rsidRPr="007A27A5">
              <w:rPr>
                <w:rFonts w:ascii="Times New Roman" w:eastAsia="Arial" w:hAnsi="Times New Roman" w:cs="Times New Roman"/>
                <w:spacing w:val="-2"/>
                <w:sz w:val="24"/>
                <w:szCs w:val="24"/>
              </w:rPr>
              <w:t>s</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8"/>
                <w:sz w:val="24"/>
                <w:szCs w:val="24"/>
              </w:rPr>
              <w:t xml:space="preserve"> </w:t>
            </w:r>
            <w:r w:rsidRPr="007A27A5">
              <w:rPr>
                <w:rFonts w:ascii="Times New Roman" w:eastAsia="Arial" w:hAnsi="Times New Roman" w:cs="Times New Roman"/>
                <w:spacing w:val="-3"/>
                <w:sz w:val="24"/>
                <w:szCs w:val="24"/>
              </w:rPr>
              <w:t>e</w:t>
            </w:r>
            <w:r w:rsidRPr="007A27A5">
              <w:rPr>
                <w:rFonts w:ascii="Times New Roman" w:eastAsia="Arial" w:hAnsi="Times New Roman" w:cs="Times New Roman"/>
                <w:spacing w:val="2"/>
                <w:sz w:val="24"/>
                <w:szCs w:val="24"/>
              </w:rPr>
              <w:t>q</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2"/>
                <w:sz w:val="24"/>
                <w:szCs w:val="24"/>
              </w:rPr>
              <w:t>v</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8"/>
                <w:sz w:val="24"/>
                <w:szCs w:val="24"/>
              </w:rPr>
              <w:t xml:space="preserve"> </w:t>
            </w:r>
            <w:r w:rsidRPr="007A27A5">
              <w:rPr>
                <w:rFonts w:ascii="Times New Roman" w:eastAsia="Arial" w:hAnsi="Times New Roman" w:cs="Times New Roman"/>
                <w:sz w:val="24"/>
                <w:szCs w:val="24"/>
              </w:rPr>
              <w:t>se d</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b</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án sati</w:t>
            </w:r>
            <w:r w:rsidRPr="007A27A5">
              <w:rPr>
                <w:rFonts w:ascii="Times New Roman" w:eastAsia="Arial" w:hAnsi="Times New Roman" w:cs="Times New Roman"/>
                <w:spacing w:val="-3"/>
                <w:sz w:val="24"/>
                <w:szCs w:val="24"/>
              </w:rPr>
              <w:t>s</w:t>
            </w:r>
            <w:r w:rsidRPr="007A27A5">
              <w:rPr>
                <w:rFonts w:ascii="Times New Roman" w:eastAsia="Arial" w:hAnsi="Times New Roman" w:cs="Times New Roman"/>
                <w:spacing w:val="3"/>
                <w:sz w:val="24"/>
                <w:szCs w:val="24"/>
              </w:rPr>
              <w:t>f</w:t>
            </w:r>
            <w:r w:rsidRPr="007A27A5">
              <w:rPr>
                <w:rFonts w:ascii="Times New Roman" w:eastAsia="Arial" w:hAnsi="Times New Roman" w:cs="Times New Roman"/>
                <w:spacing w:val="-3"/>
                <w:sz w:val="24"/>
                <w:szCs w:val="24"/>
              </w:rPr>
              <w:t>a</w:t>
            </w:r>
            <w:r w:rsidRPr="007A27A5">
              <w:rPr>
                <w:rFonts w:ascii="Times New Roman" w:eastAsia="Arial" w:hAnsi="Times New Roman" w:cs="Times New Roman"/>
                <w:sz w:val="24"/>
                <w:szCs w:val="24"/>
              </w:rPr>
              <w:t>ce</w:t>
            </w:r>
            <w:r w:rsidRPr="007A27A5">
              <w:rPr>
                <w:rFonts w:ascii="Times New Roman" w:eastAsia="Arial" w:hAnsi="Times New Roman" w:cs="Times New Roman"/>
                <w:spacing w:val="-2"/>
                <w:sz w:val="24"/>
                <w:szCs w:val="24"/>
              </w:rPr>
              <w:t>r</w:t>
            </w:r>
            <w:r w:rsidRPr="007A27A5">
              <w:rPr>
                <w:rFonts w:ascii="Times New Roman" w:eastAsia="Arial" w:hAnsi="Times New Roman" w:cs="Times New Roman"/>
                <w:sz w:val="24"/>
                <w:szCs w:val="24"/>
              </w:rPr>
              <w:t xml:space="preserve">, </w:t>
            </w:r>
            <w:r w:rsidRPr="007A27A5">
              <w:rPr>
                <w:rFonts w:ascii="Times New Roman" w:eastAsia="Arial" w:hAnsi="Times New Roman" w:cs="Times New Roman"/>
                <w:spacing w:val="-3"/>
                <w:sz w:val="24"/>
                <w:szCs w:val="24"/>
              </w:rPr>
              <w:t>a</w:t>
            </w:r>
            <w:r w:rsidRPr="007A27A5">
              <w:rPr>
                <w:rFonts w:ascii="Times New Roman" w:eastAsia="Arial" w:hAnsi="Times New Roman" w:cs="Times New Roman"/>
                <w:sz w:val="24"/>
                <w:szCs w:val="24"/>
              </w:rPr>
              <w:t>d</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 xml:space="preserve">ás de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 xml:space="preserve">os </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pacing w:val="-3"/>
                <w:sz w:val="24"/>
                <w:szCs w:val="24"/>
              </w:rPr>
              <w:t>e</w:t>
            </w:r>
            <w:r w:rsidRPr="007A27A5">
              <w:rPr>
                <w:rFonts w:ascii="Times New Roman" w:eastAsia="Arial" w:hAnsi="Times New Roman" w:cs="Times New Roman"/>
                <w:spacing w:val="2"/>
                <w:sz w:val="24"/>
                <w:szCs w:val="24"/>
              </w:rPr>
              <w:t>q</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s</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os</w:t>
            </w:r>
            <w:r w:rsidRPr="007A27A5">
              <w:rPr>
                <w:rFonts w:ascii="Times New Roman" w:eastAsia="Arial" w:hAnsi="Times New Roman" w:cs="Times New Roman"/>
                <w:spacing w:val="-13"/>
                <w:sz w:val="24"/>
                <w:szCs w:val="24"/>
              </w:rPr>
              <w:t xml:space="preserve"> </w:t>
            </w:r>
            <w:r w:rsidRPr="007A27A5">
              <w:rPr>
                <w:rFonts w:ascii="Times New Roman" w:eastAsia="Arial" w:hAnsi="Times New Roman" w:cs="Times New Roman"/>
                <w:sz w:val="24"/>
                <w:szCs w:val="24"/>
              </w:rPr>
              <w:t>estab</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ec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d</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z w:val="24"/>
                <w:szCs w:val="24"/>
              </w:rPr>
              <w:t>s</w:t>
            </w:r>
            <w:r w:rsidRPr="007A27A5">
              <w:rPr>
                <w:rFonts w:ascii="Times New Roman" w:eastAsia="Arial" w:hAnsi="Times New Roman" w:cs="Times New Roman"/>
                <w:spacing w:val="-13"/>
                <w:sz w:val="24"/>
                <w:szCs w:val="24"/>
              </w:rPr>
              <w:t xml:space="preserve"> </w:t>
            </w:r>
            <w:r w:rsidRPr="007A27A5">
              <w:rPr>
                <w:rFonts w:ascii="Times New Roman" w:eastAsia="Arial" w:hAnsi="Times New Roman" w:cs="Times New Roman"/>
                <w:spacing w:val="-3"/>
                <w:sz w:val="24"/>
                <w:szCs w:val="24"/>
              </w:rPr>
              <w:t>e</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0"/>
                <w:sz w:val="24"/>
                <w:szCs w:val="24"/>
              </w:rPr>
              <w:t xml:space="preserve"> </w:t>
            </w:r>
            <w:r w:rsidRPr="007A27A5">
              <w:rPr>
                <w:rFonts w:ascii="Times New Roman" w:eastAsia="Arial" w:hAnsi="Times New Roman" w:cs="Times New Roman"/>
                <w:sz w:val="24"/>
                <w:szCs w:val="24"/>
              </w:rPr>
              <w:t>el</w:t>
            </w:r>
            <w:r w:rsidRPr="007A27A5">
              <w:rPr>
                <w:rFonts w:ascii="Times New Roman" w:eastAsia="Arial" w:hAnsi="Times New Roman" w:cs="Times New Roman"/>
                <w:spacing w:val="-14"/>
                <w:sz w:val="24"/>
                <w:szCs w:val="24"/>
              </w:rPr>
              <w:t xml:space="preserve"> </w:t>
            </w:r>
            <w:r w:rsidRPr="007A27A5">
              <w:rPr>
                <w:rFonts w:ascii="Times New Roman" w:eastAsia="Arial" w:hAnsi="Times New Roman" w:cs="Times New Roman"/>
                <w:sz w:val="24"/>
                <w:szCs w:val="24"/>
              </w:rPr>
              <w:t>a</w:t>
            </w:r>
            <w:r w:rsidRPr="007A27A5">
              <w:rPr>
                <w:rFonts w:ascii="Times New Roman" w:eastAsia="Arial" w:hAnsi="Times New Roman" w:cs="Times New Roman"/>
                <w:spacing w:val="-2"/>
                <w:sz w:val="24"/>
                <w:szCs w:val="24"/>
              </w:rPr>
              <w:t>r</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4"/>
                <w:sz w:val="24"/>
                <w:szCs w:val="24"/>
              </w:rPr>
              <w:t>í</w:t>
            </w:r>
            <w:r w:rsidRPr="007A27A5">
              <w:rPr>
                <w:rFonts w:ascii="Times New Roman" w:eastAsia="Arial" w:hAnsi="Times New Roman" w:cs="Times New Roman"/>
                <w:sz w:val="24"/>
                <w:szCs w:val="24"/>
              </w:rPr>
              <w:t>cu</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o</w:t>
            </w:r>
            <w:r w:rsidRPr="007A27A5">
              <w:rPr>
                <w:rFonts w:ascii="Times New Roman" w:eastAsia="Arial" w:hAnsi="Times New Roman" w:cs="Times New Roman"/>
                <w:spacing w:val="-11"/>
                <w:sz w:val="24"/>
                <w:szCs w:val="24"/>
              </w:rPr>
              <w:t xml:space="preserve"> </w:t>
            </w:r>
            <w:r w:rsidRPr="007A27A5">
              <w:rPr>
                <w:rFonts w:ascii="Times New Roman" w:eastAsia="Arial" w:hAnsi="Times New Roman" w:cs="Times New Roman"/>
                <w:sz w:val="24"/>
                <w:szCs w:val="24"/>
              </w:rPr>
              <w:t>32</w:t>
            </w:r>
            <w:r w:rsidRPr="007A27A5">
              <w:rPr>
                <w:rFonts w:ascii="Times New Roman" w:eastAsia="Arial" w:hAnsi="Times New Roman" w:cs="Times New Roman"/>
                <w:spacing w:val="-11"/>
                <w:sz w:val="24"/>
                <w:szCs w:val="24"/>
              </w:rPr>
              <w:t xml:space="preserve"> </w:t>
            </w:r>
            <w:r w:rsidRPr="007A27A5">
              <w:rPr>
                <w:rFonts w:ascii="Times New Roman" w:eastAsia="Arial" w:hAnsi="Times New Roman" w:cs="Times New Roman"/>
                <w:sz w:val="24"/>
                <w:szCs w:val="24"/>
              </w:rPr>
              <w:t>de esta</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L</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pacing w:val="-2"/>
                <w:sz w:val="24"/>
                <w:szCs w:val="24"/>
              </w:rPr>
              <w:t>y</w:t>
            </w:r>
            <w:r w:rsidRPr="007A27A5">
              <w:rPr>
                <w:rFonts w:ascii="Times New Roman" w:eastAsia="Arial" w:hAnsi="Times New Roman" w:cs="Times New Roman"/>
                <w:sz w:val="24"/>
                <w:szCs w:val="24"/>
              </w:rPr>
              <w:t xml:space="preserv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os s</w:t>
            </w:r>
            <w:r w:rsidRPr="007A27A5">
              <w:rPr>
                <w:rFonts w:ascii="Times New Roman" w:eastAsia="Arial" w:hAnsi="Times New Roman" w:cs="Times New Roman"/>
                <w:spacing w:val="-3"/>
                <w:sz w:val="24"/>
                <w:szCs w:val="24"/>
              </w:rPr>
              <w:t>i</w:t>
            </w:r>
            <w:r w:rsidRPr="007A27A5">
              <w:rPr>
                <w:rFonts w:ascii="Times New Roman" w:eastAsia="Arial" w:hAnsi="Times New Roman" w:cs="Times New Roman"/>
                <w:spacing w:val="2"/>
                <w:sz w:val="24"/>
                <w:szCs w:val="24"/>
              </w:rPr>
              <w:t>g</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e</w:t>
            </w:r>
            <w:r w:rsidRPr="007A27A5">
              <w:rPr>
                <w:rFonts w:ascii="Times New Roman" w:eastAsia="Arial" w:hAnsi="Times New Roman" w:cs="Times New Roman"/>
                <w:spacing w:val="-3"/>
                <w:sz w:val="24"/>
                <w:szCs w:val="24"/>
              </w:rPr>
              <w:t>s</w:t>
            </w:r>
            <w:r w:rsidRPr="007A27A5">
              <w:rPr>
                <w:rFonts w:ascii="Times New Roman" w:eastAsia="Arial" w:hAnsi="Times New Roman" w:cs="Times New Roman"/>
                <w:sz w:val="24"/>
                <w:szCs w:val="24"/>
              </w:rPr>
              <w:t>:</w:t>
            </w:r>
          </w:p>
          <w:p w:rsidR="008469EC" w:rsidRPr="007A27A5" w:rsidRDefault="008469EC" w:rsidP="008469EC">
            <w:pPr>
              <w:spacing w:after="0" w:line="240" w:lineRule="exact"/>
              <w:jc w:val="both"/>
              <w:rPr>
                <w:rFonts w:ascii="Times New Roman" w:eastAsia="Arial" w:hAnsi="Times New Roman" w:cs="Times New Roman"/>
                <w:sz w:val="24"/>
                <w:szCs w:val="24"/>
              </w:rPr>
            </w:pPr>
            <w:r w:rsidRPr="007A27A5">
              <w:rPr>
                <w:rFonts w:ascii="Times New Roman" w:eastAsia="Arial" w:hAnsi="Times New Roman" w:cs="Times New Roman"/>
                <w:b/>
                <w:spacing w:val="1"/>
                <w:sz w:val="24"/>
                <w:szCs w:val="24"/>
              </w:rPr>
              <w:t>I</w:t>
            </w:r>
            <w:r w:rsidRPr="007A27A5">
              <w:rPr>
                <w:rFonts w:ascii="Times New Roman" w:eastAsia="Arial" w:hAnsi="Times New Roman" w:cs="Times New Roman"/>
                <w:b/>
                <w:sz w:val="24"/>
                <w:szCs w:val="24"/>
              </w:rPr>
              <w:t>.</w:t>
            </w:r>
            <w:r w:rsidRPr="007A27A5">
              <w:rPr>
                <w:rFonts w:ascii="Times New Roman" w:eastAsia="Arial" w:hAnsi="Times New Roman" w:cs="Times New Roman"/>
                <w:b/>
                <w:spacing w:val="27"/>
                <w:sz w:val="24"/>
                <w:szCs w:val="24"/>
              </w:rPr>
              <w:t xml:space="preserve"> </w:t>
            </w:r>
            <w:r w:rsidRPr="007A27A5">
              <w:rPr>
                <w:rFonts w:ascii="Times New Roman" w:eastAsia="Arial" w:hAnsi="Times New Roman" w:cs="Times New Roman"/>
                <w:spacing w:val="-1"/>
                <w:sz w:val="24"/>
                <w:szCs w:val="24"/>
              </w:rPr>
              <w:t>P</w:t>
            </w:r>
            <w:r w:rsidRPr="007A27A5">
              <w:rPr>
                <w:rFonts w:ascii="Times New Roman" w:eastAsia="Arial" w:hAnsi="Times New Roman" w:cs="Times New Roman"/>
                <w:sz w:val="24"/>
                <w:szCs w:val="24"/>
              </w:rPr>
              <w:t>os</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er</w:t>
            </w:r>
            <w:r w:rsidRPr="007A27A5">
              <w:rPr>
                <w:rFonts w:ascii="Times New Roman" w:eastAsia="Arial" w:hAnsi="Times New Roman" w:cs="Times New Roman"/>
                <w:spacing w:val="23"/>
                <w:sz w:val="24"/>
                <w:szCs w:val="24"/>
              </w:rPr>
              <w:t xml:space="preserve"> </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4"/>
                <w:sz w:val="24"/>
                <w:szCs w:val="24"/>
              </w:rPr>
              <w:t>í</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o</w:t>
            </w:r>
            <w:r w:rsidRPr="007A27A5">
              <w:rPr>
                <w:rFonts w:ascii="Times New Roman" w:eastAsia="Arial" w:hAnsi="Times New Roman" w:cs="Times New Roman"/>
                <w:spacing w:val="27"/>
                <w:sz w:val="24"/>
                <w:szCs w:val="24"/>
              </w:rPr>
              <w:t xml:space="preserve"> </w:t>
            </w:r>
            <w:r w:rsidRPr="007A27A5">
              <w:rPr>
                <w:rFonts w:ascii="Times New Roman" w:eastAsia="Arial" w:hAnsi="Times New Roman" w:cs="Times New Roman"/>
                <w:sz w:val="24"/>
                <w:szCs w:val="24"/>
              </w:rPr>
              <w:t>pr</w:t>
            </w:r>
            <w:r w:rsidRPr="007A27A5">
              <w:rPr>
                <w:rFonts w:ascii="Times New Roman" w:eastAsia="Arial" w:hAnsi="Times New Roman" w:cs="Times New Roman"/>
                <w:spacing w:val="-2"/>
                <w:sz w:val="24"/>
                <w:szCs w:val="24"/>
              </w:rPr>
              <w:t>o</w:t>
            </w:r>
            <w:r w:rsidRPr="007A27A5">
              <w:rPr>
                <w:rFonts w:ascii="Times New Roman" w:eastAsia="Arial" w:hAnsi="Times New Roman" w:cs="Times New Roman"/>
                <w:spacing w:val="1"/>
                <w:sz w:val="24"/>
                <w:szCs w:val="24"/>
              </w:rPr>
              <w:t>f</w:t>
            </w:r>
            <w:r w:rsidRPr="007A27A5">
              <w:rPr>
                <w:rFonts w:ascii="Times New Roman" w:eastAsia="Arial" w:hAnsi="Times New Roman" w:cs="Times New Roman"/>
                <w:sz w:val="24"/>
                <w:szCs w:val="24"/>
              </w:rPr>
              <w:t>es</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o</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al</w:t>
            </w:r>
            <w:r w:rsidRPr="007A27A5">
              <w:rPr>
                <w:rFonts w:ascii="Times New Roman" w:eastAsia="Arial" w:hAnsi="Times New Roman" w:cs="Times New Roman"/>
                <w:spacing w:val="26"/>
                <w:sz w:val="24"/>
                <w:szCs w:val="24"/>
              </w:rPr>
              <w:t xml:space="preserve"> </w:t>
            </w:r>
            <w:r w:rsidRPr="007A27A5">
              <w:rPr>
                <w:rFonts w:ascii="Times New Roman" w:eastAsia="Arial" w:hAnsi="Times New Roman" w:cs="Times New Roman"/>
                <w:sz w:val="24"/>
                <w:szCs w:val="24"/>
              </w:rPr>
              <w:t>en</w:t>
            </w:r>
            <w:r w:rsidRPr="007A27A5">
              <w:rPr>
                <w:rFonts w:ascii="Times New Roman" w:eastAsia="Arial" w:hAnsi="Times New Roman" w:cs="Times New Roman"/>
                <w:spacing w:val="27"/>
                <w:sz w:val="24"/>
                <w:szCs w:val="24"/>
              </w:rPr>
              <w:t xml:space="preserve"> </w:t>
            </w:r>
            <w:r w:rsidRPr="007A27A5">
              <w:rPr>
                <w:rFonts w:ascii="Times New Roman" w:eastAsia="Arial" w:hAnsi="Times New Roman" w:cs="Times New Roman"/>
                <w:sz w:val="24"/>
                <w:szCs w:val="24"/>
              </w:rPr>
              <w:t>el</w:t>
            </w:r>
            <w:r w:rsidRPr="007A27A5">
              <w:rPr>
                <w:rFonts w:ascii="Times New Roman" w:eastAsia="Arial" w:hAnsi="Times New Roman" w:cs="Times New Roman"/>
                <w:spacing w:val="24"/>
                <w:sz w:val="24"/>
                <w:szCs w:val="24"/>
              </w:rPr>
              <w:t xml:space="preserve"> </w:t>
            </w:r>
            <w:r w:rsidRPr="007A27A5">
              <w:rPr>
                <w:rFonts w:ascii="Times New Roman" w:eastAsia="Arial" w:hAnsi="Times New Roman" w:cs="Times New Roman"/>
                <w:spacing w:val="-3"/>
                <w:sz w:val="24"/>
                <w:szCs w:val="24"/>
              </w:rPr>
              <w:t>á</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ea</w:t>
            </w:r>
            <w:r w:rsidRPr="007A27A5">
              <w:rPr>
                <w:rFonts w:ascii="Times New Roman" w:eastAsia="Arial" w:hAnsi="Times New Roman" w:cs="Times New Roman"/>
                <w:spacing w:val="27"/>
                <w:sz w:val="24"/>
                <w:szCs w:val="24"/>
              </w:rPr>
              <w:t xml:space="preserve"> </w:t>
            </w:r>
            <w:r w:rsidRPr="007A27A5">
              <w:rPr>
                <w:rFonts w:ascii="Times New Roman" w:eastAsia="Arial" w:hAnsi="Times New Roman" w:cs="Times New Roman"/>
                <w:sz w:val="24"/>
                <w:szCs w:val="24"/>
              </w:rPr>
              <w:t xml:space="preserve">de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as 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as soc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es, ec</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ó</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cas o a</w:t>
            </w:r>
            <w:r w:rsidRPr="007A27A5">
              <w:rPr>
                <w:rFonts w:ascii="Times New Roman" w:eastAsia="Arial" w:hAnsi="Times New Roman" w:cs="Times New Roman"/>
                <w:spacing w:val="-1"/>
                <w:sz w:val="24"/>
                <w:szCs w:val="24"/>
              </w:rPr>
              <w:t>d</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s</w:t>
            </w:r>
            <w:r w:rsidRPr="007A27A5">
              <w:rPr>
                <w:rFonts w:ascii="Times New Roman" w:eastAsia="Arial" w:hAnsi="Times New Roman" w:cs="Times New Roman"/>
                <w:spacing w:val="1"/>
                <w:sz w:val="24"/>
                <w:szCs w:val="24"/>
              </w:rPr>
              <w:t>tr</w:t>
            </w:r>
            <w:r w:rsidRPr="007A27A5">
              <w:rPr>
                <w:rFonts w:ascii="Times New Roman" w:eastAsia="Arial" w:hAnsi="Times New Roman" w:cs="Times New Roman"/>
                <w:spacing w:val="-3"/>
                <w:sz w:val="24"/>
                <w:szCs w:val="24"/>
              </w:rPr>
              <w:t>a</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2"/>
                <w:sz w:val="24"/>
                <w:szCs w:val="24"/>
              </w:rPr>
              <w:t>v</w:t>
            </w:r>
            <w:r w:rsidRPr="007A27A5">
              <w:rPr>
                <w:rFonts w:ascii="Times New Roman" w:eastAsia="Arial" w:hAnsi="Times New Roman" w:cs="Times New Roman"/>
                <w:sz w:val="24"/>
                <w:szCs w:val="24"/>
              </w:rPr>
              <w:t>as, o b</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 a</w:t>
            </w:r>
            <w:r w:rsidRPr="007A27A5">
              <w:rPr>
                <w:rFonts w:ascii="Times New Roman" w:eastAsia="Arial" w:hAnsi="Times New Roman" w:cs="Times New Roman"/>
                <w:spacing w:val="-3"/>
                <w:sz w:val="24"/>
                <w:szCs w:val="24"/>
              </w:rPr>
              <w:t>c</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di</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ar co</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oc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os</w:t>
            </w:r>
            <w:r w:rsidRPr="007A27A5">
              <w:rPr>
                <w:rFonts w:ascii="Times New Roman" w:eastAsia="Arial" w:hAnsi="Times New Roman" w:cs="Times New Roman"/>
                <w:spacing w:val="56"/>
                <w:sz w:val="24"/>
                <w:szCs w:val="24"/>
              </w:rPr>
              <w:t xml:space="preserve"> </w:t>
            </w:r>
            <w:r w:rsidRPr="007A27A5">
              <w:rPr>
                <w:rFonts w:ascii="Times New Roman" w:eastAsia="Arial" w:hAnsi="Times New Roman" w:cs="Times New Roman"/>
                <w:sz w:val="24"/>
                <w:szCs w:val="24"/>
              </w:rPr>
              <w:t>y</w:t>
            </w:r>
            <w:r w:rsidRPr="007A27A5">
              <w:rPr>
                <w:rFonts w:ascii="Times New Roman" w:eastAsia="Arial" w:hAnsi="Times New Roman" w:cs="Times New Roman"/>
                <w:spacing w:val="56"/>
                <w:sz w:val="24"/>
                <w:szCs w:val="24"/>
              </w:rPr>
              <w:t xml:space="preserve"> </w:t>
            </w:r>
            <w:r w:rsidRPr="007A27A5">
              <w:rPr>
                <w:rFonts w:ascii="Times New Roman" w:eastAsia="Arial" w:hAnsi="Times New Roman" w:cs="Times New Roman"/>
                <w:sz w:val="24"/>
                <w:szCs w:val="24"/>
              </w:rPr>
              <w:t>e</w:t>
            </w:r>
            <w:r w:rsidRPr="007A27A5">
              <w:rPr>
                <w:rFonts w:ascii="Times New Roman" w:eastAsia="Arial" w:hAnsi="Times New Roman" w:cs="Times New Roman"/>
                <w:spacing w:val="-3"/>
                <w:sz w:val="24"/>
                <w:szCs w:val="24"/>
              </w:rPr>
              <w:t>x</w:t>
            </w:r>
            <w:r w:rsidRPr="007A27A5">
              <w:rPr>
                <w:rFonts w:ascii="Times New Roman" w:eastAsia="Arial" w:hAnsi="Times New Roman" w:cs="Times New Roman"/>
                <w:sz w:val="24"/>
                <w:szCs w:val="24"/>
              </w:rPr>
              <w:t>p</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a</w:t>
            </w:r>
            <w:r w:rsidRPr="007A27A5">
              <w:rPr>
                <w:rFonts w:ascii="Times New Roman" w:eastAsia="Arial" w:hAnsi="Times New Roman" w:cs="Times New Roman"/>
                <w:spacing w:val="59"/>
                <w:sz w:val="24"/>
                <w:szCs w:val="24"/>
              </w:rPr>
              <w:t xml:space="preserve"> </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4"/>
                <w:sz w:val="24"/>
                <w:szCs w:val="24"/>
              </w:rPr>
              <w:t>í</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a</w:t>
            </w:r>
            <w:r w:rsidRPr="007A27A5">
              <w:rPr>
                <w:rFonts w:ascii="Times New Roman" w:eastAsia="Arial" w:hAnsi="Times New Roman" w:cs="Times New Roman"/>
                <w:spacing w:val="59"/>
                <w:sz w:val="24"/>
                <w:szCs w:val="24"/>
              </w:rPr>
              <w:t xml:space="preserve"> </w:t>
            </w:r>
            <w:r w:rsidRPr="007A27A5">
              <w:rPr>
                <w:rFonts w:ascii="Times New Roman" w:eastAsia="Arial" w:hAnsi="Times New Roman" w:cs="Times New Roman"/>
                <w:sz w:val="24"/>
                <w:szCs w:val="24"/>
              </w:rPr>
              <w:t>de un a</w:t>
            </w:r>
            <w:r w:rsidRPr="007A27A5">
              <w:rPr>
                <w:rFonts w:ascii="Times New Roman" w:eastAsia="Arial" w:hAnsi="Times New Roman" w:cs="Times New Roman"/>
                <w:spacing w:val="-1"/>
                <w:sz w:val="24"/>
                <w:szCs w:val="24"/>
              </w:rPr>
              <w:t>ñ</w:t>
            </w:r>
            <w:r w:rsidRPr="007A27A5">
              <w:rPr>
                <w:rFonts w:ascii="Times New Roman" w:eastAsia="Arial" w:hAnsi="Times New Roman" w:cs="Times New Roman"/>
                <w:sz w:val="24"/>
                <w:szCs w:val="24"/>
              </w:rPr>
              <w:t>o</w:t>
            </w:r>
            <w:r w:rsidRPr="007A27A5">
              <w:rPr>
                <w:rFonts w:ascii="Times New Roman" w:eastAsia="Arial" w:hAnsi="Times New Roman" w:cs="Times New Roman"/>
                <w:spacing w:val="1"/>
                <w:sz w:val="24"/>
                <w:szCs w:val="24"/>
              </w:rPr>
              <w:t xml:space="preserve"> </w:t>
            </w:r>
            <w:r w:rsidRPr="007A27A5">
              <w:rPr>
                <w:rFonts w:ascii="Times New Roman" w:eastAsia="Arial" w:hAnsi="Times New Roman" w:cs="Times New Roman"/>
                <w:sz w:val="24"/>
                <w:szCs w:val="24"/>
              </w:rPr>
              <w:t xml:space="preserve">en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 xml:space="preserve"> </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d</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s</w:t>
            </w:r>
            <w:r w:rsidRPr="007A27A5">
              <w:rPr>
                <w:rFonts w:ascii="Times New Roman" w:eastAsia="Arial" w:hAnsi="Times New Roman" w:cs="Times New Roman"/>
                <w:spacing w:val="1"/>
                <w:sz w:val="24"/>
                <w:szCs w:val="24"/>
              </w:rPr>
              <w:t>tr</w:t>
            </w:r>
            <w:r w:rsidRPr="007A27A5">
              <w:rPr>
                <w:rFonts w:ascii="Times New Roman" w:eastAsia="Arial" w:hAnsi="Times New Roman" w:cs="Times New Roman"/>
                <w:spacing w:val="-3"/>
                <w:sz w:val="24"/>
                <w:szCs w:val="24"/>
              </w:rPr>
              <w:t>a</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ón</w:t>
            </w:r>
            <w:r w:rsidRPr="007A27A5">
              <w:rPr>
                <w:rFonts w:ascii="Times New Roman" w:eastAsia="Arial" w:hAnsi="Times New Roman" w:cs="Times New Roman"/>
                <w:spacing w:val="3"/>
                <w:sz w:val="24"/>
                <w:szCs w:val="24"/>
              </w:rPr>
              <w:t xml:space="preserve"> </w:t>
            </w:r>
            <w:r w:rsidRPr="007A27A5">
              <w:rPr>
                <w:rFonts w:ascii="Times New Roman" w:eastAsia="Arial" w:hAnsi="Times New Roman" w:cs="Times New Roman"/>
                <w:sz w:val="24"/>
                <w:szCs w:val="24"/>
              </w:rPr>
              <w:t xml:space="preserve">de </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ec</w:t>
            </w:r>
            <w:r w:rsidRPr="007A27A5">
              <w:rPr>
                <w:rFonts w:ascii="Times New Roman" w:eastAsia="Arial" w:hAnsi="Times New Roman" w:cs="Times New Roman"/>
                <w:spacing w:val="-1"/>
                <w:sz w:val="24"/>
                <w:szCs w:val="24"/>
              </w:rPr>
              <w:t>u</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s</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z w:val="24"/>
                <w:szCs w:val="24"/>
              </w:rPr>
              <w:t>s p</w:t>
            </w:r>
            <w:r w:rsidRPr="007A27A5">
              <w:rPr>
                <w:rFonts w:ascii="Times New Roman" w:eastAsia="Arial" w:hAnsi="Times New Roman" w:cs="Times New Roman"/>
                <w:spacing w:val="-1"/>
                <w:sz w:val="24"/>
                <w:szCs w:val="24"/>
              </w:rPr>
              <w:t>ú</w:t>
            </w:r>
            <w:r w:rsidRPr="007A27A5">
              <w:rPr>
                <w:rFonts w:ascii="Times New Roman" w:eastAsia="Arial" w:hAnsi="Times New Roman" w:cs="Times New Roman"/>
                <w:sz w:val="24"/>
                <w:szCs w:val="24"/>
              </w:rPr>
              <w:t>b</w:t>
            </w:r>
            <w:r w:rsidRPr="007A27A5">
              <w:rPr>
                <w:rFonts w:ascii="Times New Roman" w:eastAsia="Arial" w:hAnsi="Times New Roman" w:cs="Times New Roman"/>
                <w:spacing w:val="-1"/>
                <w:sz w:val="24"/>
                <w:szCs w:val="24"/>
              </w:rPr>
              <w:t>li</w:t>
            </w:r>
            <w:r w:rsidRPr="007A27A5">
              <w:rPr>
                <w:rFonts w:ascii="Times New Roman" w:eastAsia="Arial" w:hAnsi="Times New Roman" w:cs="Times New Roman"/>
                <w:sz w:val="24"/>
                <w:szCs w:val="24"/>
              </w:rPr>
              <w:t>cos.</w:t>
            </w:r>
          </w:p>
          <w:p w:rsidR="008469EC" w:rsidRPr="007A27A5" w:rsidRDefault="008469EC" w:rsidP="008469EC">
            <w:pPr>
              <w:spacing w:after="0" w:line="240" w:lineRule="auto"/>
              <w:jc w:val="both"/>
              <w:rPr>
                <w:rFonts w:ascii="Times New Roman" w:eastAsia="Arial" w:hAnsi="Times New Roman" w:cs="Times New Roman"/>
                <w:b/>
                <w:sz w:val="24"/>
                <w:szCs w:val="24"/>
              </w:rPr>
            </w:pPr>
            <w:r w:rsidRPr="007A27A5">
              <w:rPr>
                <w:rFonts w:ascii="Times New Roman" w:eastAsia="Arial" w:hAnsi="Times New Roman" w:cs="Times New Roman"/>
                <w:b/>
                <w:spacing w:val="1"/>
                <w:sz w:val="24"/>
                <w:szCs w:val="24"/>
              </w:rPr>
              <w:t>I</w:t>
            </w:r>
            <w:r w:rsidRPr="007A27A5">
              <w:rPr>
                <w:rFonts w:ascii="Times New Roman" w:eastAsia="Arial" w:hAnsi="Times New Roman" w:cs="Times New Roman"/>
                <w:b/>
                <w:spacing w:val="-1"/>
                <w:sz w:val="24"/>
                <w:szCs w:val="24"/>
              </w:rPr>
              <w:t>I</w:t>
            </w:r>
            <w:r w:rsidRPr="007A27A5">
              <w:rPr>
                <w:rFonts w:ascii="Times New Roman" w:eastAsia="Arial" w:hAnsi="Times New Roman" w:cs="Times New Roman"/>
                <w:b/>
                <w:sz w:val="24"/>
                <w:szCs w:val="24"/>
              </w:rPr>
              <w:t>.</w:t>
            </w:r>
            <w:r w:rsidRPr="007A27A5">
              <w:rPr>
                <w:rFonts w:ascii="Times New Roman" w:eastAsia="Arial" w:hAnsi="Times New Roman" w:cs="Times New Roman"/>
                <w:b/>
                <w:spacing w:val="21"/>
                <w:sz w:val="24"/>
                <w:szCs w:val="24"/>
              </w:rPr>
              <w:t xml:space="preserve"> </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pacing w:val="-3"/>
                <w:sz w:val="24"/>
                <w:szCs w:val="24"/>
              </w:rPr>
              <w:t>b</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e</w:t>
            </w:r>
            <w:r w:rsidRPr="007A27A5">
              <w:rPr>
                <w:rFonts w:ascii="Times New Roman" w:eastAsia="Arial" w:hAnsi="Times New Roman" w:cs="Times New Roman"/>
                <w:spacing w:val="-2"/>
                <w:sz w:val="24"/>
                <w:szCs w:val="24"/>
              </w:rPr>
              <w:t>r</w:t>
            </w:r>
            <w:r w:rsidRPr="007A27A5">
              <w:rPr>
                <w:rFonts w:ascii="Times New Roman" w:eastAsia="Arial" w:hAnsi="Times New Roman" w:cs="Times New Roman"/>
                <w:sz w:val="24"/>
                <w:szCs w:val="24"/>
              </w:rPr>
              <w:t>, d</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n</w:t>
            </w:r>
            <w:r w:rsidRPr="007A27A5">
              <w:rPr>
                <w:rFonts w:ascii="Times New Roman" w:eastAsia="Arial" w:hAnsi="Times New Roman" w:cs="Times New Roman"/>
                <w:spacing w:val="-2"/>
                <w:sz w:val="24"/>
                <w:szCs w:val="24"/>
              </w:rPr>
              <w:t>t</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 xml:space="preserve">o de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os se</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 xml:space="preserve">s </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es</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s s</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2"/>
                <w:sz w:val="24"/>
                <w:szCs w:val="24"/>
              </w:rPr>
              <w:t>g</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 xml:space="preserve">es a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w:t>
            </w:r>
            <w:r w:rsidRPr="007A27A5">
              <w:rPr>
                <w:rFonts w:ascii="Times New Roman" w:eastAsia="Arial" w:hAnsi="Times New Roman" w:cs="Times New Roman"/>
                <w:spacing w:val="3"/>
                <w:sz w:val="24"/>
                <w:szCs w:val="24"/>
              </w:rPr>
              <w:t xml:space="preserve"> </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 xml:space="preserve">a </w:t>
            </w:r>
            <w:r w:rsidRPr="007A27A5">
              <w:rPr>
                <w:rFonts w:ascii="Times New Roman" w:eastAsia="Arial" w:hAnsi="Times New Roman" w:cs="Times New Roman"/>
                <w:spacing w:val="-3"/>
                <w:sz w:val="24"/>
                <w:szCs w:val="24"/>
              </w:rPr>
              <w:t>d</w:t>
            </w:r>
            <w:r w:rsidRPr="007A27A5">
              <w:rPr>
                <w:rFonts w:ascii="Times New Roman" w:eastAsia="Arial" w:hAnsi="Times New Roman" w:cs="Times New Roman"/>
                <w:sz w:val="24"/>
                <w:szCs w:val="24"/>
              </w:rPr>
              <w:t>e</w:t>
            </w:r>
            <w:r w:rsidRPr="007A27A5">
              <w:rPr>
                <w:rFonts w:ascii="Times New Roman" w:eastAsia="Arial" w:hAnsi="Times New Roman" w:cs="Times New Roman"/>
                <w:spacing w:val="3"/>
                <w:sz w:val="24"/>
                <w:szCs w:val="24"/>
              </w:rPr>
              <w:t xml:space="preserve"> </w:t>
            </w:r>
            <w:r w:rsidRPr="007A27A5">
              <w:rPr>
                <w:rFonts w:ascii="Times New Roman" w:eastAsia="Arial" w:hAnsi="Times New Roman" w:cs="Times New Roman"/>
                <w:sz w:val="24"/>
                <w:szCs w:val="24"/>
              </w:rPr>
              <w:t>p</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z w:val="24"/>
                <w:szCs w:val="24"/>
              </w:rPr>
              <w:t>ses</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ó</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a cer</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3"/>
                <w:sz w:val="24"/>
                <w:szCs w:val="24"/>
              </w:rPr>
              <w:t>i</w:t>
            </w:r>
            <w:r w:rsidRPr="007A27A5">
              <w:rPr>
                <w:rFonts w:ascii="Times New Roman" w:eastAsia="Arial" w:hAnsi="Times New Roman" w:cs="Times New Roman"/>
                <w:spacing w:val="3"/>
                <w:sz w:val="24"/>
                <w:szCs w:val="24"/>
              </w:rPr>
              <w:t>f</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cac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ón de comp</w:t>
            </w:r>
            <w:r w:rsidRPr="007A27A5">
              <w:rPr>
                <w:rFonts w:ascii="Times New Roman" w:eastAsia="Arial" w:hAnsi="Times New Roman" w:cs="Times New Roman"/>
                <w:spacing w:val="-3"/>
                <w:sz w:val="24"/>
                <w:szCs w:val="24"/>
              </w:rPr>
              <w:t>e</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 xml:space="preserve">a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b</w:t>
            </w:r>
            <w:r w:rsidRPr="007A27A5">
              <w:rPr>
                <w:rFonts w:ascii="Times New Roman" w:eastAsia="Arial" w:hAnsi="Times New Roman" w:cs="Times New Roman"/>
                <w:sz w:val="24"/>
                <w:szCs w:val="24"/>
              </w:rPr>
              <w:t xml:space="preserve">oral en </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emas</w:t>
            </w:r>
            <w:r w:rsidRPr="007A27A5">
              <w:rPr>
                <w:rFonts w:ascii="Times New Roman" w:eastAsia="Arial" w:hAnsi="Times New Roman" w:cs="Times New Roman"/>
                <w:spacing w:val="4"/>
                <w:sz w:val="24"/>
                <w:szCs w:val="24"/>
              </w:rPr>
              <w:t xml:space="preserve"> </w:t>
            </w:r>
            <w:r w:rsidRPr="007A27A5">
              <w:rPr>
                <w:rFonts w:ascii="Times New Roman" w:eastAsia="Arial" w:hAnsi="Times New Roman" w:cs="Times New Roman"/>
                <w:sz w:val="24"/>
                <w:szCs w:val="24"/>
              </w:rPr>
              <w:t>de</w:t>
            </w:r>
            <w:r w:rsidRPr="007A27A5">
              <w:rPr>
                <w:rFonts w:ascii="Times New Roman" w:eastAsia="Arial" w:hAnsi="Times New Roman" w:cs="Times New Roman"/>
                <w:spacing w:val="3"/>
                <w:sz w:val="24"/>
                <w:szCs w:val="24"/>
              </w:rPr>
              <w:t xml:space="preserve"> </w:t>
            </w:r>
            <w:r w:rsidRPr="007A27A5">
              <w:rPr>
                <w:rFonts w:ascii="Times New Roman" w:eastAsia="Arial" w:hAnsi="Times New Roman" w:cs="Times New Roman"/>
                <w:sz w:val="24"/>
                <w:szCs w:val="24"/>
              </w:rPr>
              <w:t>a</w:t>
            </w:r>
            <w:r w:rsidRPr="007A27A5">
              <w:rPr>
                <w:rFonts w:ascii="Times New Roman" w:eastAsia="Arial" w:hAnsi="Times New Roman" w:cs="Times New Roman"/>
                <w:spacing w:val="-3"/>
                <w:sz w:val="24"/>
                <w:szCs w:val="24"/>
              </w:rPr>
              <w:t>d</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s</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ac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ón</w:t>
            </w:r>
            <w:r w:rsidRPr="007A27A5">
              <w:rPr>
                <w:rFonts w:ascii="Times New Roman" w:eastAsia="Arial" w:hAnsi="Times New Roman" w:cs="Times New Roman"/>
                <w:spacing w:val="5"/>
                <w:sz w:val="24"/>
                <w:szCs w:val="24"/>
              </w:rPr>
              <w:t xml:space="preserve"> </w:t>
            </w:r>
            <w:r w:rsidRPr="007A27A5">
              <w:rPr>
                <w:rFonts w:ascii="Times New Roman" w:eastAsia="Arial" w:hAnsi="Times New Roman" w:cs="Times New Roman"/>
                <w:sz w:val="24"/>
                <w:szCs w:val="24"/>
              </w:rPr>
              <w:t xml:space="preserve">de </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ec</w:t>
            </w:r>
            <w:r w:rsidRPr="007A27A5">
              <w:rPr>
                <w:rFonts w:ascii="Times New Roman" w:eastAsia="Arial" w:hAnsi="Times New Roman" w:cs="Times New Roman"/>
                <w:spacing w:val="-1"/>
                <w:sz w:val="24"/>
                <w:szCs w:val="24"/>
              </w:rPr>
              <w:t>u</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s</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z w:val="24"/>
                <w:szCs w:val="24"/>
              </w:rPr>
              <w:t>s h</w:t>
            </w:r>
            <w:r w:rsidRPr="007A27A5">
              <w:rPr>
                <w:rFonts w:ascii="Times New Roman" w:eastAsia="Arial" w:hAnsi="Times New Roman" w:cs="Times New Roman"/>
                <w:spacing w:val="-1"/>
                <w:sz w:val="24"/>
                <w:szCs w:val="24"/>
              </w:rPr>
              <w:t>u</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os,</w:t>
            </w:r>
            <w:r w:rsidRPr="007A27A5">
              <w:rPr>
                <w:rFonts w:ascii="Times New Roman" w:eastAsia="Arial" w:hAnsi="Times New Roman" w:cs="Times New Roman"/>
                <w:spacing w:val="3"/>
                <w:sz w:val="24"/>
                <w:szCs w:val="24"/>
              </w:rPr>
              <w:t xml:space="preserve"> </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3"/>
                <w:sz w:val="24"/>
                <w:szCs w:val="24"/>
              </w:rPr>
              <w:t>a</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eri</w:t>
            </w:r>
            <w:r w:rsidRPr="007A27A5">
              <w:rPr>
                <w:rFonts w:ascii="Times New Roman" w:eastAsia="Arial" w:hAnsi="Times New Roman" w:cs="Times New Roman"/>
                <w:spacing w:val="-1"/>
                <w:sz w:val="24"/>
                <w:szCs w:val="24"/>
              </w:rPr>
              <w:t>al</w:t>
            </w:r>
            <w:r w:rsidRPr="007A27A5">
              <w:rPr>
                <w:rFonts w:ascii="Times New Roman" w:eastAsia="Arial" w:hAnsi="Times New Roman" w:cs="Times New Roman"/>
                <w:sz w:val="24"/>
                <w:szCs w:val="24"/>
              </w:rPr>
              <w:t>es</w:t>
            </w:r>
            <w:r w:rsidRPr="007A27A5">
              <w:rPr>
                <w:rFonts w:ascii="Times New Roman" w:eastAsia="Arial" w:hAnsi="Times New Roman" w:cs="Times New Roman"/>
                <w:spacing w:val="5"/>
                <w:sz w:val="24"/>
                <w:szCs w:val="24"/>
              </w:rPr>
              <w:t xml:space="preserve"> </w:t>
            </w:r>
            <w:r w:rsidRPr="007A27A5">
              <w:rPr>
                <w:rFonts w:ascii="Times New Roman" w:eastAsia="Arial" w:hAnsi="Times New Roman" w:cs="Times New Roman"/>
                <w:sz w:val="24"/>
                <w:szCs w:val="24"/>
              </w:rPr>
              <w:t xml:space="preserve">o </w:t>
            </w:r>
            <w:r w:rsidRPr="007A27A5">
              <w:rPr>
                <w:rFonts w:ascii="Times New Roman" w:eastAsia="Arial" w:hAnsi="Times New Roman" w:cs="Times New Roman"/>
                <w:spacing w:val="3"/>
                <w:sz w:val="24"/>
                <w:szCs w:val="24"/>
              </w:rPr>
              <w:t>f</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a</w:t>
            </w:r>
            <w:r w:rsidRPr="007A27A5">
              <w:rPr>
                <w:rFonts w:ascii="Times New Roman" w:eastAsia="Arial" w:hAnsi="Times New Roman" w:cs="Times New Roman"/>
                <w:sz w:val="24"/>
                <w:szCs w:val="24"/>
              </w:rPr>
              <w:t>nc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eros</w:t>
            </w:r>
            <w:r w:rsidRPr="007A27A5">
              <w:rPr>
                <w:rFonts w:ascii="Times New Roman" w:eastAsia="Arial" w:hAnsi="Times New Roman" w:cs="Times New Roman"/>
                <w:spacing w:val="5"/>
                <w:sz w:val="24"/>
                <w:szCs w:val="24"/>
              </w:rPr>
              <w:t xml:space="preserve"> </w:t>
            </w:r>
            <w:r w:rsidRPr="007A27A5">
              <w:rPr>
                <w:rFonts w:ascii="Times New Roman" w:eastAsia="Arial" w:hAnsi="Times New Roman" w:cs="Times New Roman"/>
                <w:spacing w:val="-3"/>
                <w:sz w:val="24"/>
                <w:szCs w:val="24"/>
              </w:rPr>
              <w:t>d</w:t>
            </w:r>
            <w:r w:rsidRPr="007A27A5">
              <w:rPr>
                <w:rFonts w:ascii="Times New Roman" w:eastAsia="Arial" w:hAnsi="Times New Roman" w:cs="Times New Roman"/>
                <w:sz w:val="24"/>
                <w:szCs w:val="24"/>
              </w:rPr>
              <w:t>e n</w:t>
            </w:r>
            <w:r w:rsidRPr="007A27A5">
              <w:rPr>
                <w:rFonts w:ascii="Times New Roman" w:eastAsia="Arial" w:hAnsi="Times New Roman" w:cs="Times New Roman"/>
                <w:spacing w:val="-1"/>
                <w:sz w:val="24"/>
                <w:szCs w:val="24"/>
              </w:rPr>
              <w:t>a</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ura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e</w:t>
            </w:r>
            <w:r w:rsidRPr="007A27A5">
              <w:rPr>
                <w:rFonts w:ascii="Times New Roman" w:eastAsia="Arial" w:hAnsi="Times New Roman" w:cs="Times New Roman"/>
                <w:spacing w:val="-3"/>
                <w:sz w:val="24"/>
                <w:szCs w:val="24"/>
              </w:rPr>
              <w:t>z</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 xml:space="preserve"> </w:t>
            </w:r>
            <w:r w:rsidRPr="007A27A5">
              <w:rPr>
                <w:rFonts w:ascii="Times New Roman" w:eastAsia="Arial" w:hAnsi="Times New Roman" w:cs="Times New Roman"/>
                <w:sz w:val="24"/>
                <w:szCs w:val="24"/>
              </w:rPr>
              <w:t>p</w:t>
            </w:r>
            <w:r w:rsidRPr="007A27A5">
              <w:rPr>
                <w:rFonts w:ascii="Times New Roman" w:eastAsia="Arial" w:hAnsi="Times New Roman" w:cs="Times New Roman"/>
                <w:spacing w:val="-1"/>
                <w:sz w:val="24"/>
                <w:szCs w:val="24"/>
              </w:rPr>
              <w:t>ú</w:t>
            </w:r>
            <w:r w:rsidRPr="007A27A5">
              <w:rPr>
                <w:rFonts w:ascii="Times New Roman" w:eastAsia="Arial" w:hAnsi="Times New Roman" w:cs="Times New Roman"/>
                <w:sz w:val="24"/>
                <w:szCs w:val="24"/>
              </w:rPr>
              <w:t>b</w:t>
            </w:r>
            <w:r w:rsidRPr="007A27A5">
              <w:rPr>
                <w:rFonts w:ascii="Times New Roman" w:eastAsia="Arial" w:hAnsi="Times New Roman" w:cs="Times New Roman"/>
                <w:spacing w:val="-1"/>
                <w:sz w:val="24"/>
                <w:szCs w:val="24"/>
              </w:rPr>
              <w:t>li</w:t>
            </w:r>
            <w:r w:rsidRPr="007A27A5">
              <w:rPr>
                <w:rFonts w:ascii="Times New Roman" w:eastAsia="Arial" w:hAnsi="Times New Roman" w:cs="Times New Roman"/>
                <w:sz w:val="24"/>
                <w:szCs w:val="24"/>
              </w:rPr>
              <w:t>ca,</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e</w:t>
            </w:r>
            <w:r w:rsidRPr="007A27A5">
              <w:rPr>
                <w:rFonts w:ascii="Times New Roman" w:eastAsia="Arial" w:hAnsi="Times New Roman" w:cs="Times New Roman"/>
                <w:spacing w:val="-3"/>
                <w:sz w:val="24"/>
                <w:szCs w:val="24"/>
              </w:rPr>
              <w:t>x</w:t>
            </w:r>
            <w:r w:rsidRPr="007A27A5">
              <w:rPr>
                <w:rFonts w:ascii="Times New Roman" w:eastAsia="Arial" w:hAnsi="Times New Roman" w:cs="Times New Roman"/>
                <w:sz w:val="24"/>
                <w:szCs w:val="24"/>
              </w:rPr>
              <w:t>p</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d</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da p</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z w:val="24"/>
                <w:szCs w:val="24"/>
              </w:rPr>
              <w:t>r</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u</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 xml:space="preserve">a </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nstituc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 xml:space="preserve">ón </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ec</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z w:val="24"/>
                <w:szCs w:val="24"/>
              </w:rPr>
              <w:t>n</w:t>
            </w:r>
            <w:r w:rsidRPr="007A27A5">
              <w:rPr>
                <w:rFonts w:ascii="Times New Roman" w:eastAsia="Arial" w:hAnsi="Times New Roman" w:cs="Times New Roman"/>
                <w:spacing w:val="-1"/>
                <w:sz w:val="24"/>
                <w:szCs w:val="24"/>
              </w:rPr>
              <w:t>o</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 xml:space="preserve">da </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pacing w:val="3"/>
                <w:sz w:val="24"/>
                <w:szCs w:val="24"/>
              </w:rPr>
              <w:t>f</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e</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 xml:space="preserve">e, </w:t>
            </w:r>
            <w:r w:rsidRPr="007A27A5">
              <w:rPr>
                <w:rFonts w:ascii="Times New Roman" w:eastAsia="Arial" w:hAnsi="Times New Roman" w:cs="Times New Roman"/>
                <w:spacing w:val="2"/>
                <w:sz w:val="24"/>
                <w:szCs w:val="24"/>
              </w:rPr>
              <w:t>q</w:t>
            </w:r>
            <w:r w:rsidRPr="007A27A5">
              <w:rPr>
                <w:rFonts w:ascii="Times New Roman" w:eastAsia="Arial" w:hAnsi="Times New Roman" w:cs="Times New Roman"/>
                <w:sz w:val="24"/>
                <w:szCs w:val="24"/>
              </w:rPr>
              <w:t xml:space="preserve">ue </w:t>
            </w:r>
            <w:r w:rsidRPr="007A27A5">
              <w:rPr>
                <w:rFonts w:ascii="Times New Roman" w:eastAsia="Arial" w:hAnsi="Times New Roman" w:cs="Times New Roman"/>
                <w:spacing w:val="2"/>
                <w:sz w:val="24"/>
                <w:szCs w:val="24"/>
              </w:rPr>
              <w:t>g</w:t>
            </w:r>
            <w:r w:rsidRPr="007A27A5">
              <w:rPr>
                <w:rFonts w:ascii="Times New Roman" w:eastAsia="Arial" w:hAnsi="Times New Roman" w:cs="Times New Roman"/>
                <w:spacing w:val="-3"/>
                <w:sz w:val="24"/>
                <w:szCs w:val="24"/>
              </w:rPr>
              <w:t>a</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a</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ce</w:t>
            </w:r>
            <w:r w:rsidRPr="007A27A5">
              <w:rPr>
                <w:rFonts w:ascii="Times New Roman" w:eastAsia="Arial" w:hAnsi="Times New Roman" w:cs="Times New Roman"/>
                <w:spacing w:val="6"/>
                <w:sz w:val="24"/>
                <w:szCs w:val="24"/>
              </w:rPr>
              <w:t xml:space="preserve"> </w:t>
            </w:r>
            <w:r w:rsidRPr="007A27A5">
              <w:rPr>
                <w:rFonts w:ascii="Times New Roman" w:eastAsia="Arial" w:hAnsi="Times New Roman" w:cs="Times New Roman"/>
                <w:spacing w:val="-1"/>
                <w:sz w:val="24"/>
                <w:szCs w:val="24"/>
              </w:rPr>
              <w:t>l</w:t>
            </w:r>
            <w:r w:rsidRPr="007A27A5">
              <w:rPr>
                <w:rFonts w:ascii="Times New Roman" w:eastAsia="Arial" w:hAnsi="Times New Roman" w:cs="Times New Roman"/>
                <w:sz w:val="24"/>
                <w:szCs w:val="24"/>
              </w:rPr>
              <w:t>os</w:t>
            </w:r>
            <w:r w:rsidRPr="007A27A5">
              <w:rPr>
                <w:rFonts w:ascii="Times New Roman" w:eastAsia="Arial" w:hAnsi="Times New Roman" w:cs="Times New Roman"/>
                <w:spacing w:val="3"/>
                <w:sz w:val="24"/>
                <w:szCs w:val="24"/>
              </w:rPr>
              <w:t xml:space="preserve"> </w:t>
            </w:r>
            <w:r w:rsidRPr="007A27A5">
              <w:rPr>
                <w:rFonts w:ascii="Times New Roman" w:eastAsia="Arial" w:hAnsi="Times New Roman" w:cs="Times New Roman"/>
                <w:sz w:val="24"/>
                <w:szCs w:val="24"/>
              </w:rPr>
              <w:t>co</w:t>
            </w:r>
            <w:r w:rsidRPr="007A27A5">
              <w:rPr>
                <w:rFonts w:ascii="Times New Roman" w:eastAsia="Arial" w:hAnsi="Times New Roman" w:cs="Times New Roman"/>
                <w:spacing w:val="-1"/>
                <w:sz w:val="24"/>
                <w:szCs w:val="24"/>
              </w:rPr>
              <w:t>n</w:t>
            </w:r>
            <w:r w:rsidRPr="007A27A5">
              <w:rPr>
                <w:rFonts w:ascii="Times New Roman" w:eastAsia="Arial" w:hAnsi="Times New Roman" w:cs="Times New Roman"/>
                <w:sz w:val="24"/>
                <w:szCs w:val="24"/>
              </w:rPr>
              <w:t>oc</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e</w:t>
            </w:r>
            <w:r w:rsidRPr="007A27A5">
              <w:rPr>
                <w:rFonts w:ascii="Times New Roman" w:eastAsia="Arial" w:hAnsi="Times New Roman" w:cs="Times New Roman"/>
                <w:spacing w:val="-3"/>
                <w:sz w:val="24"/>
                <w:szCs w:val="24"/>
              </w:rPr>
              <w:t>n</w:t>
            </w:r>
            <w:r w:rsidRPr="007A27A5">
              <w:rPr>
                <w:rFonts w:ascii="Times New Roman" w:eastAsia="Arial" w:hAnsi="Times New Roman" w:cs="Times New Roman"/>
                <w:spacing w:val="1"/>
                <w:sz w:val="24"/>
                <w:szCs w:val="24"/>
              </w:rPr>
              <w:t>t</w:t>
            </w:r>
            <w:r w:rsidRPr="007A27A5">
              <w:rPr>
                <w:rFonts w:ascii="Times New Roman" w:eastAsia="Arial" w:hAnsi="Times New Roman" w:cs="Times New Roman"/>
                <w:sz w:val="24"/>
                <w:szCs w:val="24"/>
              </w:rPr>
              <w:t>os</w:t>
            </w:r>
            <w:r w:rsidRPr="007A27A5">
              <w:rPr>
                <w:rFonts w:ascii="Times New Roman" w:eastAsia="Arial" w:hAnsi="Times New Roman" w:cs="Times New Roman"/>
                <w:spacing w:val="6"/>
                <w:sz w:val="24"/>
                <w:szCs w:val="24"/>
              </w:rPr>
              <w:t xml:space="preserve"> </w:t>
            </w:r>
            <w:r w:rsidRPr="007A27A5">
              <w:rPr>
                <w:rFonts w:ascii="Times New Roman" w:eastAsia="Arial" w:hAnsi="Times New Roman" w:cs="Times New Roman"/>
                <w:sz w:val="24"/>
                <w:szCs w:val="24"/>
              </w:rPr>
              <w:t>y</w:t>
            </w:r>
            <w:r w:rsidRPr="007A27A5">
              <w:rPr>
                <w:rFonts w:ascii="Times New Roman" w:eastAsia="Arial" w:hAnsi="Times New Roman" w:cs="Times New Roman"/>
                <w:spacing w:val="4"/>
                <w:sz w:val="24"/>
                <w:szCs w:val="24"/>
              </w:rPr>
              <w:t xml:space="preserve"> </w:t>
            </w:r>
            <w:r w:rsidRPr="007A27A5">
              <w:rPr>
                <w:rFonts w:ascii="Times New Roman" w:eastAsia="Arial" w:hAnsi="Times New Roman" w:cs="Times New Roman"/>
                <w:sz w:val="24"/>
                <w:szCs w:val="24"/>
              </w:rPr>
              <w:t>h</w:t>
            </w:r>
            <w:r w:rsidRPr="007A27A5">
              <w:rPr>
                <w:rFonts w:ascii="Times New Roman" w:eastAsia="Arial" w:hAnsi="Times New Roman" w:cs="Times New Roman"/>
                <w:spacing w:val="-1"/>
                <w:sz w:val="24"/>
                <w:szCs w:val="24"/>
              </w:rPr>
              <w:t>a</w:t>
            </w:r>
            <w:r w:rsidRPr="007A27A5">
              <w:rPr>
                <w:rFonts w:ascii="Times New Roman" w:eastAsia="Arial" w:hAnsi="Times New Roman" w:cs="Times New Roman"/>
                <w:sz w:val="24"/>
                <w:szCs w:val="24"/>
              </w:rPr>
              <w:t>b</w:t>
            </w:r>
            <w:r w:rsidRPr="007A27A5">
              <w:rPr>
                <w:rFonts w:ascii="Times New Roman" w:eastAsia="Arial" w:hAnsi="Times New Roman" w:cs="Times New Roman"/>
                <w:spacing w:val="-1"/>
                <w:sz w:val="24"/>
                <w:szCs w:val="24"/>
              </w:rPr>
              <w:t>ili</w:t>
            </w:r>
            <w:r w:rsidRPr="007A27A5">
              <w:rPr>
                <w:rFonts w:ascii="Times New Roman" w:eastAsia="Arial" w:hAnsi="Times New Roman" w:cs="Times New Roman"/>
                <w:sz w:val="24"/>
                <w:szCs w:val="24"/>
              </w:rPr>
              <w:t>d</w:t>
            </w:r>
            <w:r w:rsidRPr="007A27A5">
              <w:rPr>
                <w:rFonts w:ascii="Times New Roman" w:eastAsia="Arial" w:hAnsi="Times New Roman" w:cs="Times New Roman"/>
                <w:spacing w:val="-1"/>
                <w:sz w:val="24"/>
                <w:szCs w:val="24"/>
              </w:rPr>
              <w:t>a</w:t>
            </w:r>
            <w:r w:rsidRPr="007A27A5">
              <w:rPr>
                <w:rFonts w:ascii="Times New Roman" w:eastAsia="Arial" w:hAnsi="Times New Roman" w:cs="Times New Roman"/>
                <w:sz w:val="24"/>
                <w:szCs w:val="24"/>
              </w:rPr>
              <w:t>d</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s n</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ces</w:t>
            </w:r>
            <w:r w:rsidRPr="007A27A5">
              <w:rPr>
                <w:rFonts w:ascii="Times New Roman" w:eastAsia="Arial" w:hAnsi="Times New Roman" w:cs="Times New Roman"/>
                <w:spacing w:val="-1"/>
                <w:sz w:val="24"/>
                <w:szCs w:val="24"/>
              </w:rPr>
              <w:t>a</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pacing w:val="-1"/>
                <w:sz w:val="24"/>
                <w:szCs w:val="24"/>
              </w:rPr>
              <w:t>i</w:t>
            </w:r>
            <w:r w:rsidRPr="007A27A5">
              <w:rPr>
                <w:rFonts w:ascii="Times New Roman" w:eastAsia="Arial" w:hAnsi="Times New Roman" w:cs="Times New Roman"/>
                <w:sz w:val="24"/>
                <w:szCs w:val="24"/>
              </w:rPr>
              <w:t>os p</w:t>
            </w:r>
            <w:r w:rsidRPr="007A27A5">
              <w:rPr>
                <w:rFonts w:ascii="Times New Roman" w:eastAsia="Arial" w:hAnsi="Times New Roman" w:cs="Times New Roman"/>
                <w:spacing w:val="-2"/>
                <w:sz w:val="24"/>
                <w:szCs w:val="24"/>
              </w:rPr>
              <w:t>a</w:t>
            </w:r>
            <w:r w:rsidRPr="007A27A5">
              <w:rPr>
                <w:rFonts w:ascii="Times New Roman" w:eastAsia="Arial" w:hAnsi="Times New Roman" w:cs="Times New Roman"/>
                <w:spacing w:val="1"/>
                <w:sz w:val="24"/>
                <w:szCs w:val="24"/>
              </w:rPr>
              <w:t>r</w:t>
            </w:r>
            <w:r w:rsidRPr="007A27A5">
              <w:rPr>
                <w:rFonts w:ascii="Times New Roman" w:eastAsia="Arial" w:hAnsi="Times New Roman" w:cs="Times New Roman"/>
                <w:sz w:val="24"/>
                <w:szCs w:val="24"/>
              </w:rPr>
              <w:t>a el</w:t>
            </w:r>
            <w:r w:rsidRPr="007A27A5">
              <w:rPr>
                <w:rFonts w:ascii="Times New Roman" w:eastAsia="Arial" w:hAnsi="Times New Roman" w:cs="Times New Roman"/>
                <w:spacing w:val="1"/>
                <w:sz w:val="24"/>
                <w:szCs w:val="24"/>
              </w:rPr>
              <w:t xml:space="preserve"> </w:t>
            </w:r>
            <w:r w:rsidRPr="007A27A5">
              <w:rPr>
                <w:rFonts w:ascii="Times New Roman" w:eastAsia="Arial" w:hAnsi="Times New Roman" w:cs="Times New Roman"/>
                <w:sz w:val="24"/>
                <w:szCs w:val="24"/>
              </w:rPr>
              <w:t>d</w:t>
            </w:r>
            <w:r w:rsidRPr="007A27A5">
              <w:rPr>
                <w:rFonts w:ascii="Times New Roman" w:eastAsia="Arial" w:hAnsi="Times New Roman" w:cs="Times New Roman"/>
                <w:spacing w:val="-3"/>
                <w:sz w:val="24"/>
                <w:szCs w:val="24"/>
              </w:rPr>
              <w:t>e</w:t>
            </w:r>
            <w:r w:rsidRPr="007A27A5">
              <w:rPr>
                <w:rFonts w:ascii="Times New Roman" w:eastAsia="Arial" w:hAnsi="Times New Roman" w:cs="Times New Roman"/>
                <w:sz w:val="24"/>
                <w:szCs w:val="24"/>
              </w:rPr>
              <w:t>s</w:t>
            </w:r>
            <w:r w:rsidRPr="007A27A5">
              <w:rPr>
                <w:rFonts w:ascii="Times New Roman" w:eastAsia="Arial" w:hAnsi="Times New Roman" w:cs="Times New Roman"/>
                <w:spacing w:val="-3"/>
                <w:sz w:val="24"/>
                <w:szCs w:val="24"/>
              </w:rPr>
              <w:t>e</w:t>
            </w:r>
            <w:r w:rsidRPr="007A27A5">
              <w:rPr>
                <w:rFonts w:ascii="Times New Roman" w:eastAsia="Arial" w:hAnsi="Times New Roman" w:cs="Times New Roman"/>
                <w:spacing w:val="1"/>
                <w:sz w:val="24"/>
                <w:szCs w:val="24"/>
              </w:rPr>
              <w:t>m</w:t>
            </w:r>
            <w:r w:rsidRPr="007A27A5">
              <w:rPr>
                <w:rFonts w:ascii="Times New Roman" w:eastAsia="Arial" w:hAnsi="Times New Roman" w:cs="Times New Roman"/>
                <w:sz w:val="24"/>
                <w:szCs w:val="24"/>
              </w:rPr>
              <w:t>p</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ño</w:t>
            </w:r>
            <w:r w:rsidRPr="007A27A5">
              <w:rPr>
                <w:rFonts w:ascii="Times New Roman" w:eastAsia="Arial" w:hAnsi="Times New Roman" w:cs="Times New Roman"/>
                <w:spacing w:val="1"/>
                <w:sz w:val="24"/>
                <w:szCs w:val="24"/>
              </w:rPr>
              <w:t xml:space="preserve"> </w:t>
            </w:r>
            <w:r w:rsidRPr="007A27A5">
              <w:rPr>
                <w:rFonts w:ascii="Times New Roman" w:eastAsia="Arial" w:hAnsi="Times New Roman" w:cs="Times New Roman"/>
                <w:sz w:val="24"/>
                <w:szCs w:val="24"/>
              </w:rPr>
              <w:t>d</w:t>
            </w:r>
            <w:r w:rsidRPr="007A27A5">
              <w:rPr>
                <w:rFonts w:ascii="Times New Roman" w:eastAsia="Arial" w:hAnsi="Times New Roman" w:cs="Times New Roman"/>
                <w:spacing w:val="-1"/>
                <w:sz w:val="24"/>
                <w:szCs w:val="24"/>
              </w:rPr>
              <w:t>e</w:t>
            </w:r>
            <w:r w:rsidRPr="007A27A5">
              <w:rPr>
                <w:rFonts w:ascii="Times New Roman" w:eastAsia="Arial" w:hAnsi="Times New Roman" w:cs="Times New Roman"/>
                <w:sz w:val="24"/>
                <w:szCs w:val="24"/>
              </w:rPr>
              <w:t>l</w:t>
            </w:r>
            <w:r w:rsidRPr="007A27A5">
              <w:rPr>
                <w:rFonts w:ascii="Times New Roman" w:eastAsia="Arial" w:hAnsi="Times New Roman" w:cs="Times New Roman"/>
                <w:spacing w:val="-2"/>
                <w:sz w:val="24"/>
                <w:szCs w:val="24"/>
              </w:rPr>
              <w:t xml:space="preserve"> </w:t>
            </w:r>
            <w:r w:rsidRPr="007A27A5">
              <w:rPr>
                <w:rFonts w:ascii="Times New Roman" w:eastAsia="Arial" w:hAnsi="Times New Roman" w:cs="Times New Roman"/>
                <w:sz w:val="24"/>
                <w:szCs w:val="24"/>
              </w:rPr>
              <w:t>ca</w:t>
            </w:r>
            <w:r w:rsidRPr="007A27A5">
              <w:rPr>
                <w:rFonts w:ascii="Times New Roman" w:eastAsia="Arial" w:hAnsi="Times New Roman" w:cs="Times New Roman"/>
                <w:spacing w:val="-2"/>
                <w:sz w:val="24"/>
                <w:szCs w:val="24"/>
              </w:rPr>
              <w:t>r</w:t>
            </w:r>
            <w:r w:rsidRPr="007A27A5">
              <w:rPr>
                <w:rFonts w:ascii="Times New Roman" w:eastAsia="Arial" w:hAnsi="Times New Roman" w:cs="Times New Roman"/>
                <w:spacing w:val="2"/>
                <w:sz w:val="24"/>
                <w:szCs w:val="24"/>
              </w:rPr>
              <w:t>g</w:t>
            </w:r>
            <w:r w:rsidRPr="007A27A5">
              <w:rPr>
                <w:rFonts w:ascii="Times New Roman" w:eastAsia="Arial" w:hAnsi="Times New Roman" w:cs="Times New Roman"/>
                <w:spacing w:val="-3"/>
                <w:sz w:val="24"/>
                <w:szCs w:val="24"/>
              </w:rPr>
              <w:t>o</w:t>
            </w:r>
            <w:r w:rsidRPr="007A27A5">
              <w:rPr>
                <w:rFonts w:ascii="Times New Roman" w:eastAsia="Arial" w:hAnsi="Times New Roman" w:cs="Times New Roman"/>
                <w:sz w:val="24"/>
                <w:szCs w:val="24"/>
              </w:rPr>
              <w:t>.</w:t>
            </w:r>
          </w:p>
        </w:tc>
      </w:tr>
    </w:tbl>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Por lo anteriormente expuesto, someto a la consideración de esta H. Legislatura, la presente Iniciativa con Proyecto de Decreto, para que, de estimarlo procedente, se turne, estudie, dictamine y se apruebe en sus términos.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Times New Roman" w:hAnsi="Times New Roman" w:cs="Times New Roman"/>
          <w:sz w:val="24"/>
          <w:szCs w:val="24"/>
        </w:rPr>
      </w:pPr>
      <w:r w:rsidRPr="007A27A5">
        <w:rPr>
          <w:rFonts w:ascii="Times New Roman" w:eastAsia="Arial" w:hAnsi="Times New Roman" w:cs="Times New Roman"/>
          <w:sz w:val="24"/>
          <w:szCs w:val="24"/>
        </w:rPr>
        <w:t>Reitero a Usted, la seguridad de mi más elevada y distinguida consideración.</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A T E N T A M E N T E</w:t>
      </w:r>
    </w:p>
    <w:p w:rsidR="008469EC" w:rsidRPr="007A27A5" w:rsidRDefault="008469EC" w:rsidP="008469EC">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EDGAR SAMUEL RÍOS MORENO,</w:t>
      </w:r>
    </w:p>
    <w:p w:rsidR="008469EC" w:rsidRPr="007A27A5" w:rsidRDefault="008469EC" w:rsidP="008469EC">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lastRenderedPageBreak/>
        <w:t>DIPUTADO DE LA “LXII” LEGISLATURA DEL ESTADO DE MÉXICO</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PROYECTO DE DECRETO</w:t>
      </w: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DECRETO NÚMERO__</w:t>
      </w:r>
    </w:p>
    <w:p w:rsidR="008469EC" w:rsidRPr="007A27A5" w:rsidRDefault="008469EC" w:rsidP="008469EC">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LA H. “LXII” LEGISLATURA DEL ESTADO DE MÉXICO</w:t>
      </w: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DECRETA:</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ÚNICO. </w:t>
      </w:r>
      <w:r w:rsidRPr="007A27A5">
        <w:rPr>
          <w:rFonts w:ascii="Times New Roman" w:eastAsia="Arial" w:hAnsi="Times New Roman" w:cs="Times New Roman"/>
          <w:sz w:val="24"/>
          <w:szCs w:val="24"/>
        </w:rPr>
        <w:t xml:space="preserve">Se </w:t>
      </w:r>
      <w:r w:rsidRPr="007A27A5">
        <w:rPr>
          <w:rFonts w:ascii="Times New Roman" w:eastAsia="Arial" w:hAnsi="Times New Roman" w:cs="Times New Roman"/>
          <w:b/>
          <w:sz w:val="24"/>
          <w:szCs w:val="24"/>
        </w:rPr>
        <w:t xml:space="preserve">reforma </w:t>
      </w:r>
      <w:r w:rsidRPr="007A27A5">
        <w:rPr>
          <w:rFonts w:ascii="Times New Roman" w:eastAsia="Arial" w:hAnsi="Times New Roman" w:cs="Times New Roman"/>
          <w:sz w:val="24"/>
          <w:szCs w:val="24"/>
        </w:rPr>
        <w:t xml:space="preserve">el párrafo primero del artículo 32; y se </w:t>
      </w:r>
      <w:r w:rsidRPr="007A27A5">
        <w:rPr>
          <w:rFonts w:ascii="Times New Roman" w:eastAsia="Arial" w:hAnsi="Times New Roman" w:cs="Times New Roman"/>
          <w:b/>
          <w:sz w:val="24"/>
          <w:szCs w:val="24"/>
        </w:rPr>
        <w:t xml:space="preserve">adicionan </w:t>
      </w:r>
      <w:r w:rsidRPr="007A27A5">
        <w:rPr>
          <w:rFonts w:ascii="Times New Roman" w:eastAsia="Arial" w:hAnsi="Times New Roman" w:cs="Times New Roman"/>
          <w:sz w:val="24"/>
          <w:szCs w:val="24"/>
        </w:rPr>
        <w:t xml:space="preserve">la fracción XI al artículo 87 y los artículos 96 Septdecies y 96 </w:t>
      </w:r>
      <w:proofErr w:type="spellStart"/>
      <w:r w:rsidRPr="007A27A5">
        <w:rPr>
          <w:rFonts w:ascii="Times New Roman" w:eastAsia="Arial" w:hAnsi="Times New Roman" w:cs="Times New Roman"/>
          <w:sz w:val="24"/>
          <w:szCs w:val="24"/>
        </w:rPr>
        <w:t>Octodecies</w:t>
      </w:r>
      <w:proofErr w:type="spellEnd"/>
      <w:r w:rsidRPr="007A27A5">
        <w:rPr>
          <w:rFonts w:ascii="Times New Roman" w:eastAsia="Arial" w:hAnsi="Times New Roman" w:cs="Times New Roman"/>
          <w:sz w:val="24"/>
          <w:szCs w:val="24"/>
        </w:rPr>
        <w:t>, todos de la Ley Orgánica Municipal del Estado de México, para quedar como sigue:</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32.- </w:t>
      </w:r>
      <w:r w:rsidRPr="007A27A5">
        <w:rPr>
          <w:rFonts w:ascii="Times New Roman" w:eastAsia="Arial" w:hAnsi="Times New Roman" w:cs="Times New Roman"/>
          <w:sz w:val="24"/>
          <w:szCs w:val="24"/>
        </w:rPr>
        <w:t xml:space="preserve">Para ocupar los cargos de titular de la </w:t>
      </w:r>
      <w:r w:rsidRPr="007A27A5">
        <w:rPr>
          <w:rFonts w:ascii="Times New Roman" w:eastAsia="Arial" w:hAnsi="Times New Roman" w:cs="Times New Roman"/>
          <w:b/>
          <w:sz w:val="24"/>
          <w:szCs w:val="24"/>
        </w:rPr>
        <w:t>Secretaría del Ayuntamiento, Tesorería Municipal, Coordinación General de Mejora Regulatoria, Protección Civil, Oficialía Mayor o su equivalente, así como de las Direcciones de Obras Públicas, Desarrollo Económico, Turismo, Ecología, Desarrollo Urbano, Desarrollo Social, de las Mujeres, del Campo o sus equivalentes, y de los titulares de los organismos públicos descentralizados y sus unidades administrativas</w:t>
      </w:r>
      <w:r w:rsidRPr="007A27A5">
        <w:rPr>
          <w:rFonts w:ascii="Times New Roman" w:eastAsia="Arial" w:hAnsi="Times New Roman" w:cs="Times New Roman"/>
          <w:sz w:val="24"/>
          <w:szCs w:val="24"/>
        </w:rPr>
        <w:t>, se deberán satisfacer los requisitos siguientes:</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87.- </w:t>
      </w:r>
      <w:r w:rsidRPr="007A27A5">
        <w:rPr>
          <w:rFonts w:ascii="Times New Roman" w:eastAsia="Arial" w:hAnsi="Times New Roman" w:cs="Times New Roman"/>
          <w:sz w:val="24"/>
          <w:szCs w:val="24"/>
        </w:rPr>
        <w:t>Para el despacho, estudio y planeación de los diversos asuntos de la administración municipal, el ayuntamiento contará por lo menos con las siguientes Dependencias: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X. …</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XI. Oficialía Mayor o equivalente.</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96 Septdecies.- </w:t>
      </w:r>
      <w:r w:rsidRPr="007A27A5">
        <w:rPr>
          <w:rFonts w:ascii="Times New Roman" w:eastAsia="Arial" w:hAnsi="Times New Roman" w:cs="Times New Roman"/>
          <w:sz w:val="24"/>
          <w:szCs w:val="24"/>
        </w:rPr>
        <w:t>La persona titular de la Oficialía Mayor o equivalente, tiene las atribuciones siguientes:</w:t>
      </w:r>
    </w:p>
    <w:p w:rsidR="008469EC" w:rsidRPr="007A27A5" w:rsidRDefault="008469EC" w:rsidP="008469EC">
      <w:pPr>
        <w:spacing w:after="0" w:line="240" w:lineRule="auto"/>
        <w:jc w:val="both"/>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w:t>
      </w:r>
      <w:r w:rsidRPr="007A27A5">
        <w:rPr>
          <w:rFonts w:ascii="Times New Roman" w:eastAsia="Arial" w:hAnsi="Times New Roman" w:cs="Times New Roman"/>
          <w:sz w:val="24"/>
          <w:szCs w:val="24"/>
        </w:rPr>
        <w:tab/>
        <w:t>Dirigir las políticas de gestión integral del personal, incluyendo reclutamiento, selección, capacitación, evaluación y desvinculación, asegurando el cumplimiento de la normatividad laboral, las condiciones de trabajo y la seguridad e higiene.</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II.</w:t>
      </w:r>
      <w:r w:rsidRPr="007A27A5">
        <w:rPr>
          <w:rFonts w:ascii="Times New Roman" w:eastAsia="Arial" w:hAnsi="Times New Roman" w:cs="Times New Roman"/>
          <w:sz w:val="24"/>
          <w:szCs w:val="24"/>
        </w:rPr>
        <w:tab/>
        <w:t>Supervisar la elaboración y el pago de la nómina, así como la correcta aplicación de tabuladores de sueldos y la retención de impuestos correcta y oportuna.</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III.</w:t>
      </w:r>
      <w:r w:rsidRPr="007A27A5">
        <w:rPr>
          <w:rFonts w:ascii="Times New Roman" w:eastAsia="Arial" w:hAnsi="Times New Roman" w:cs="Times New Roman"/>
          <w:sz w:val="24"/>
          <w:szCs w:val="24"/>
        </w:rPr>
        <w:tab/>
        <w:t>Dirigir los procedimientos de adquisición, arrendamiento, contratación de servicios y enajenación de bienes, conforme a la Ley de Contratación Pública del Estado de México y Municipios.</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IV.</w:t>
      </w:r>
      <w:r w:rsidRPr="007A27A5">
        <w:rPr>
          <w:rFonts w:ascii="Times New Roman" w:eastAsia="Arial" w:hAnsi="Times New Roman" w:cs="Times New Roman"/>
          <w:sz w:val="24"/>
          <w:szCs w:val="24"/>
        </w:rPr>
        <w:tab/>
        <w:t>Establecer las directrices para el programa anual de adquisiciones y dirigir su ejecución.</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w:t>
      </w:r>
      <w:r w:rsidRPr="007A27A5">
        <w:rPr>
          <w:rFonts w:ascii="Times New Roman" w:eastAsia="Arial" w:hAnsi="Times New Roman" w:cs="Times New Roman"/>
          <w:sz w:val="24"/>
          <w:szCs w:val="24"/>
        </w:rPr>
        <w:tab/>
        <w:t>Administrar y controlar los recursos materiales del Ayuntamiento, incluyendo inventarios, almacenes, mantenimiento de bienes muebles e inmuebles, y resguardo de expedientes de contratación.</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VI.</w:t>
      </w:r>
      <w:r w:rsidRPr="007A27A5">
        <w:rPr>
          <w:rFonts w:ascii="Times New Roman" w:eastAsia="Arial" w:hAnsi="Times New Roman" w:cs="Times New Roman"/>
          <w:sz w:val="24"/>
          <w:szCs w:val="24"/>
        </w:rPr>
        <w:tab/>
        <w:t>Administrar y optimizar el uso del parque vehicular municipal.</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VII.</w:t>
      </w:r>
      <w:r w:rsidRPr="007A27A5">
        <w:rPr>
          <w:rFonts w:ascii="Times New Roman" w:eastAsia="Arial" w:hAnsi="Times New Roman" w:cs="Times New Roman"/>
          <w:sz w:val="24"/>
          <w:szCs w:val="24"/>
        </w:rPr>
        <w:tab/>
        <w:t>Supervisar la provisión de servicios generales como limpieza, seguridad, correspondencia, archivo, telefonía, internet y mantenimiento de las instalaciones municipales.</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VIII.</w:t>
      </w:r>
      <w:r w:rsidRPr="007A27A5">
        <w:rPr>
          <w:rFonts w:ascii="Times New Roman" w:eastAsia="Arial" w:hAnsi="Times New Roman" w:cs="Times New Roman"/>
          <w:sz w:val="24"/>
          <w:szCs w:val="24"/>
        </w:rPr>
        <w:tab/>
        <w:t>Representar a la Oficialía Mayor o su equivalente en los comités de adquisiciones, arrendamientos y enajenaciones del Ayuntamiento.</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IX.</w:t>
      </w:r>
      <w:r w:rsidRPr="007A27A5">
        <w:rPr>
          <w:rFonts w:ascii="Times New Roman" w:eastAsia="Arial" w:hAnsi="Times New Roman" w:cs="Times New Roman"/>
          <w:sz w:val="24"/>
          <w:szCs w:val="24"/>
        </w:rPr>
        <w:tab/>
        <w:t>Instruir la tramitación de la rescisión de contratos o convenios de contratación pública cuando sea procedente.</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lastRenderedPageBreak/>
        <w:t>X.</w:t>
      </w:r>
      <w:r w:rsidRPr="007A27A5">
        <w:rPr>
          <w:rFonts w:ascii="Times New Roman" w:eastAsia="Arial" w:hAnsi="Times New Roman" w:cs="Times New Roman"/>
          <w:sz w:val="24"/>
          <w:szCs w:val="24"/>
        </w:rPr>
        <w:tab/>
        <w:t>Gestionar la aplicación efectiva de las garantías otorgadas por los contratistas.</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XI.</w:t>
      </w:r>
      <w:r w:rsidRPr="007A27A5">
        <w:rPr>
          <w:rFonts w:ascii="Times New Roman" w:eastAsia="Arial" w:hAnsi="Times New Roman" w:cs="Times New Roman"/>
          <w:sz w:val="24"/>
          <w:szCs w:val="24"/>
        </w:rPr>
        <w:tab/>
        <w:t>Mantener actualizado el padrón de proveedores y prestadores de servicios del Ayuntamiento.</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XII.</w:t>
      </w:r>
      <w:r w:rsidRPr="007A27A5">
        <w:rPr>
          <w:rFonts w:ascii="Times New Roman" w:eastAsia="Arial" w:hAnsi="Times New Roman" w:cs="Times New Roman"/>
          <w:sz w:val="24"/>
          <w:szCs w:val="24"/>
        </w:rPr>
        <w:tab/>
        <w:t>Gestionar el aseguramiento de los bienes muebles e inmuebles del patrimonio municipal.</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XIII.</w:t>
      </w:r>
      <w:r w:rsidRPr="007A27A5">
        <w:rPr>
          <w:rFonts w:ascii="Times New Roman" w:eastAsia="Arial" w:hAnsi="Times New Roman" w:cs="Times New Roman"/>
          <w:sz w:val="24"/>
          <w:szCs w:val="24"/>
        </w:rPr>
        <w:tab/>
        <w:t>Dirigir los procesos de baja de bienes muebles e inmuebles del inventario municipal.</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XIV.</w:t>
      </w:r>
      <w:r w:rsidRPr="007A27A5">
        <w:rPr>
          <w:rFonts w:ascii="Times New Roman" w:eastAsia="Arial" w:hAnsi="Times New Roman" w:cs="Times New Roman"/>
          <w:sz w:val="24"/>
          <w:szCs w:val="24"/>
        </w:rPr>
        <w:tab/>
        <w:t>Participar en la integración y actualización del marco normativo interno, así como en el diseño de manuales de organización y procedimientos.</w:t>
      </w: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XV.</w:t>
      </w:r>
      <w:r w:rsidRPr="007A27A5">
        <w:rPr>
          <w:rFonts w:ascii="Times New Roman" w:eastAsia="Arial" w:hAnsi="Times New Roman" w:cs="Times New Roman"/>
          <w:sz w:val="24"/>
          <w:szCs w:val="24"/>
        </w:rPr>
        <w:tab/>
        <w:t>Impulsar el uso de tecnologías de la información para la mejora de los procesos administrativos.</w:t>
      </w:r>
    </w:p>
    <w:p w:rsidR="008469EC" w:rsidRPr="007A27A5" w:rsidRDefault="008469EC" w:rsidP="008469EC">
      <w:pPr>
        <w:spacing w:after="0" w:line="240" w:lineRule="auto"/>
        <w:jc w:val="both"/>
        <w:rPr>
          <w:rFonts w:ascii="Times New Roman" w:eastAsia="Times New Roman" w:hAnsi="Times New Roman" w:cs="Times New Roman"/>
          <w:sz w:val="24"/>
          <w:szCs w:val="24"/>
        </w:rPr>
      </w:pPr>
      <w:r w:rsidRPr="007A27A5">
        <w:rPr>
          <w:rFonts w:ascii="Times New Roman" w:eastAsia="Arial" w:hAnsi="Times New Roman" w:cs="Times New Roman"/>
          <w:sz w:val="24"/>
          <w:szCs w:val="24"/>
        </w:rPr>
        <w:t>XVI.</w:t>
      </w:r>
      <w:r w:rsidRPr="007A27A5">
        <w:rPr>
          <w:rFonts w:ascii="Times New Roman" w:eastAsia="Arial" w:hAnsi="Times New Roman" w:cs="Times New Roman"/>
          <w:sz w:val="24"/>
          <w:szCs w:val="24"/>
        </w:rPr>
        <w:tab/>
        <w:t>Colaborar en la atención de los requerimientos de instancias fiscalizadoras federales y del ámbito estatal.</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XVII.</w:t>
      </w:r>
      <w:r w:rsidRPr="007A27A5">
        <w:rPr>
          <w:rFonts w:ascii="Times New Roman" w:eastAsia="Arial" w:hAnsi="Times New Roman" w:cs="Times New Roman"/>
          <w:sz w:val="24"/>
          <w:szCs w:val="24"/>
        </w:rPr>
        <w:tab/>
        <w:t>Coadyuvar en la integración de los informes trimestrales y la cuenta pública, proporcionando la información y documentación necesaria.</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XVIII.</w:t>
      </w:r>
      <w:r w:rsidRPr="007A27A5">
        <w:rPr>
          <w:rFonts w:ascii="Times New Roman" w:eastAsia="Arial" w:hAnsi="Times New Roman" w:cs="Times New Roman"/>
          <w:sz w:val="24"/>
          <w:szCs w:val="24"/>
        </w:rPr>
        <w:tab/>
        <w:t>Fungir como enlace administrativo con otras instancias de gobierno en asuntos de su competencia.</w:t>
      </w:r>
    </w:p>
    <w:p w:rsidR="008469EC" w:rsidRPr="007A27A5" w:rsidRDefault="008469EC" w:rsidP="008469EC">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XIX.</w:t>
      </w:r>
      <w:r w:rsidRPr="007A27A5">
        <w:rPr>
          <w:rFonts w:ascii="Times New Roman" w:eastAsia="Arial" w:hAnsi="Times New Roman" w:cs="Times New Roman"/>
          <w:sz w:val="24"/>
          <w:szCs w:val="24"/>
        </w:rPr>
        <w:tab/>
        <w:t>Las demás que les señalen las disposiciones aplicables.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96 </w:t>
      </w:r>
      <w:proofErr w:type="spellStart"/>
      <w:r w:rsidRPr="007A27A5">
        <w:rPr>
          <w:rFonts w:ascii="Times New Roman" w:eastAsia="Arial" w:hAnsi="Times New Roman" w:cs="Times New Roman"/>
          <w:b/>
          <w:sz w:val="24"/>
          <w:szCs w:val="24"/>
        </w:rPr>
        <w:t>Octodecies</w:t>
      </w:r>
      <w:proofErr w:type="spellEnd"/>
      <w:r w:rsidRPr="007A27A5">
        <w:rPr>
          <w:rFonts w:ascii="Times New Roman" w:eastAsia="Arial" w:hAnsi="Times New Roman" w:cs="Times New Roman"/>
          <w:sz w:val="24"/>
          <w:szCs w:val="24"/>
        </w:rPr>
        <w:t>.- Para ser titular de la Oficialía Mayor o su equivalente se deberán satisfacer, además de los requisitos establecidos en el artículo 32 de esta Ley, los siguientes:</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w:t>
      </w:r>
      <w:r w:rsidRPr="007A27A5">
        <w:rPr>
          <w:rFonts w:ascii="Times New Roman" w:eastAsia="Arial" w:hAnsi="Times New Roman" w:cs="Times New Roman"/>
          <w:sz w:val="24"/>
          <w:szCs w:val="24"/>
        </w:rPr>
        <w:tab/>
        <w:t>Poseer título profesional en el área de las ciencias sociales, económicas o administrativas, o bien, acreditar conocimientos y experiencia mínima de un año en la administración de recursos públicos.</w:t>
      </w: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II.</w:t>
      </w:r>
      <w:r w:rsidRPr="007A27A5">
        <w:rPr>
          <w:rFonts w:ascii="Times New Roman" w:eastAsia="Arial" w:hAnsi="Times New Roman" w:cs="Times New Roman"/>
          <w:sz w:val="24"/>
          <w:szCs w:val="24"/>
        </w:rPr>
        <w:tab/>
        <w:t>Obtener, dentro de los seis meses siguientes a la toma de posesión, una certificación de competencia laboral en temas de administración de recursos humanos, materiales o financieros de naturaleza pública, expedida por una institución reconocida oficialmente, que garantice los conocimientos y habilidades necesarios para el desempeño del cargo.</w:t>
      </w:r>
    </w:p>
    <w:p w:rsidR="008469EC" w:rsidRPr="007A27A5" w:rsidRDefault="008469EC" w:rsidP="008469EC">
      <w:pPr>
        <w:spacing w:after="0" w:line="240" w:lineRule="auto"/>
        <w:rPr>
          <w:rFonts w:ascii="Times New Roman" w:eastAsia="Times New Roman" w:hAnsi="Times New Roman" w:cs="Times New Roman"/>
          <w:sz w:val="24"/>
          <w:szCs w:val="24"/>
        </w:rPr>
      </w:pPr>
    </w:p>
    <w:p w:rsidR="008469EC" w:rsidRPr="007A27A5" w:rsidRDefault="008469EC" w:rsidP="008469EC">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ARTÍCULOS TRANSITORIOS</w:t>
      </w:r>
    </w:p>
    <w:p w:rsidR="008469EC" w:rsidRPr="007A27A5" w:rsidRDefault="008469EC" w:rsidP="008469EC">
      <w:pPr>
        <w:spacing w:after="0" w:line="240" w:lineRule="auto"/>
        <w:jc w:val="both"/>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PRIMERO</w:t>
      </w:r>
      <w:r w:rsidRPr="007A27A5">
        <w:rPr>
          <w:rFonts w:ascii="Times New Roman" w:eastAsia="Arial" w:hAnsi="Times New Roman" w:cs="Times New Roman"/>
          <w:sz w:val="24"/>
          <w:szCs w:val="24"/>
        </w:rPr>
        <w:t>. Publíquese el presente Decreto en el Periódico Oficial “Gaceta del Gobierno”.</w:t>
      </w:r>
    </w:p>
    <w:p w:rsidR="008469EC" w:rsidRPr="007A27A5" w:rsidRDefault="008469EC" w:rsidP="008469EC">
      <w:pPr>
        <w:spacing w:after="0" w:line="240" w:lineRule="auto"/>
        <w:jc w:val="both"/>
        <w:rPr>
          <w:rFonts w:ascii="Times New Roman" w:eastAsia="Arial" w:hAnsi="Times New Roman" w:cs="Times New Roman"/>
          <w:b/>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SEGUNDO</w:t>
      </w:r>
      <w:r w:rsidRPr="007A27A5">
        <w:rPr>
          <w:rFonts w:ascii="Times New Roman" w:eastAsia="Arial" w:hAnsi="Times New Roman" w:cs="Times New Roman"/>
          <w:sz w:val="24"/>
          <w:szCs w:val="24"/>
        </w:rPr>
        <w:t>. El presente Decreto entrará en vigor al día siguiente de su publicación.</w:t>
      </w:r>
    </w:p>
    <w:p w:rsidR="008469EC" w:rsidRPr="007A27A5" w:rsidRDefault="008469EC" w:rsidP="008469EC">
      <w:pPr>
        <w:spacing w:after="0" w:line="240" w:lineRule="auto"/>
        <w:jc w:val="both"/>
        <w:rPr>
          <w:rFonts w:ascii="Times New Roman" w:eastAsia="Arial"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Lo tendrá entendido la Gobernadora del Estado, haciendo que se publique y se cumpla.</w:t>
      </w:r>
    </w:p>
    <w:p w:rsidR="008469EC" w:rsidRPr="007A27A5" w:rsidRDefault="008469EC" w:rsidP="008469EC">
      <w:pPr>
        <w:spacing w:after="0" w:line="240" w:lineRule="auto"/>
        <w:jc w:val="both"/>
        <w:rPr>
          <w:rFonts w:ascii="Times New Roman" w:eastAsia="Times New Roman" w:hAnsi="Times New Roman" w:cs="Times New Roman"/>
          <w:sz w:val="24"/>
          <w:szCs w:val="24"/>
        </w:rPr>
      </w:pPr>
    </w:p>
    <w:p w:rsidR="008469EC" w:rsidRPr="007A27A5" w:rsidRDefault="008469EC" w:rsidP="008469EC">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Dado en el Palacio del Poder Legislativo, en la Ciudad de Toluca, Capital del Estado de México, a los ---- días del mes de ---- del año dos mil veinticinco.</w:t>
      </w:r>
    </w:p>
    <w:p w:rsidR="00D40E31" w:rsidRPr="007A27A5" w:rsidRDefault="00D40E31" w:rsidP="008469EC">
      <w:pPr>
        <w:spacing w:after="0" w:line="240" w:lineRule="auto"/>
        <w:jc w:val="both"/>
        <w:rPr>
          <w:rFonts w:ascii="Times New Roman" w:hAnsi="Times New Roman"/>
          <w:sz w:val="24"/>
          <w:szCs w:val="24"/>
        </w:rPr>
      </w:pPr>
    </w:p>
    <w:p w:rsidR="00D40E31" w:rsidRPr="007A27A5" w:rsidRDefault="00D40E31" w:rsidP="008469EC">
      <w:pPr>
        <w:spacing w:after="0" w:line="240" w:lineRule="auto"/>
        <w:jc w:val="center"/>
        <w:rPr>
          <w:rFonts w:ascii="Times New Roman" w:hAnsi="Times New Roman"/>
          <w:i/>
          <w:sz w:val="24"/>
          <w:szCs w:val="24"/>
        </w:rPr>
      </w:pPr>
      <w:r w:rsidRPr="007A27A5">
        <w:rPr>
          <w:rFonts w:ascii="Times New Roman" w:hAnsi="Times New Roman"/>
          <w:i/>
          <w:sz w:val="24"/>
          <w:szCs w:val="24"/>
        </w:rPr>
        <w:t>(Fin del documento)</w:t>
      </w:r>
    </w:p>
    <w:p w:rsidR="00D40E31" w:rsidRPr="007A27A5" w:rsidRDefault="00D40E31" w:rsidP="008469EC">
      <w:pPr>
        <w:spacing w:after="0" w:line="240" w:lineRule="auto"/>
        <w:jc w:val="center"/>
        <w:rPr>
          <w:rFonts w:ascii="Times New Roman" w:hAnsi="Times New Roman"/>
          <w:sz w:val="24"/>
          <w:szCs w:val="24"/>
        </w:rPr>
      </w:pPr>
    </w:p>
    <w:p w:rsidR="007C2166" w:rsidRPr="007A27A5" w:rsidRDefault="007C2166" w:rsidP="007C2166">
      <w:pPr>
        <w:pStyle w:val="Sinespaciado"/>
      </w:pPr>
      <w:r w:rsidRPr="007A27A5">
        <w:t xml:space="preserve">PRESIDENTA DIP. MARTHA AZUCENA CAMACHO REYNOSO. Gracias diputado Edgar Samuel Ríos Moreno. </w:t>
      </w:r>
    </w:p>
    <w:p w:rsidR="007C2166" w:rsidRPr="007A27A5" w:rsidRDefault="007C2166" w:rsidP="00975CA7">
      <w:pPr>
        <w:pStyle w:val="Sinespaciado"/>
        <w:ind w:firstLine="709"/>
      </w:pPr>
      <w:r w:rsidRPr="007A27A5">
        <w:t>Se registra la iniciativa y se remite a la Comisión Legislativa de Legislación y Administración Municipal para su estudio y dictamen.</w:t>
      </w:r>
    </w:p>
    <w:p w:rsidR="007C2166" w:rsidRPr="007A27A5" w:rsidRDefault="007C2166" w:rsidP="00975CA7">
      <w:pPr>
        <w:pStyle w:val="Sinespaciado"/>
        <w:ind w:firstLine="709"/>
      </w:pPr>
      <w:r w:rsidRPr="007A27A5">
        <w:t xml:space="preserve">Para sustanciar el punto 9, la diputade Luisa Esmeralda Navarro Hernández, presenta en nombre del Grupo Parlamentario del Partido morena, Iniciativa con Proyecto de Decreto, por el cual se reforma el artículo 4 de la Ley de Vivienda del Estado de México, para garantizar el derecho </w:t>
      </w:r>
      <w:r w:rsidRPr="007A27A5">
        <w:lastRenderedPageBreak/>
        <w:t>a la vivienda sin distinción por orientación sexual, identidad o expresión de género ni por la forma de convivencia o composición familiar.</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 xml:space="preserve">DIP. LUISA ESMERALDA NAVARRO HERNÁNDEZ. Buenas tardes tengan todas, todos y </w:t>
      </w:r>
      <w:proofErr w:type="spellStart"/>
      <w:r w:rsidRPr="007A27A5">
        <w:rPr>
          <w:rFonts w:ascii="Times New Roman" w:hAnsi="Times New Roman" w:cs="Times New Roman"/>
          <w:sz w:val="24"/>
          <w:szCs w:val="24"/>
        </w:rPr>
        <w:t>todes</w:t>
      </w:r>
      <w:proofErr w:type="spellEnd"/>
      <w:r w:rsidRPr="007A27A5">
        <w:rPr>
          <w:rFonts w:ascii="Times New Roman" w:hAnsi="Times New Roman" w:cs="Times New Roman"/>
          <w:sz w:val="24"/>
          <w:szCs w:val="24"/>
        </w:rPr>
        <w:t>.</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Antes de empezar, me gustaría felicitar y celebrar el 19 de noviembre que es el “Día del Hombre”, muchas gracias a todos los hombres por ser masculinidades en nuestro querido México, bello y hermoso, muchas gracias.</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Con su venia Presidenta, saludos a la diputada Martha Azucena Camacho Reynoso, Presidenta; asimismo, a las diputadas, diputados que integran la Directiva de la Honorable LXII Legislatura del Estado Libre y Soberano de México, a mis colegas diputadas y diputados; también es un gusto saludar a las, los y les activistas que nos acompañan de manera presencial en esta “Casa del Pueblo Mexiquense”, gracias por su lucha; agradezco la presencia de los medios de comunicación y reconozco su labor y agradezco ser aliados de la lucha por los derechos humanos, gracias a la ciudadanía que sigue nuestros trabajos y a quienes nos ven a través de los diferentes medios electrónicos.</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Porque el hogar no se mide en paredes, sino en respeto, amor, libertad, para habitar sin miedo y sin prejuicios.</w:t>
      </w:r>
    </w:p>
    <w:p w:rsidR="007C2166" w:rsidRPr="007A27A5" w:rsidRDefault="007C2166" w:rsidP="00975CA7">
      <w:pPr>
        <w:spacing w:after="0" w:line="240" w:lineRule="auto"/>
        <w:ind w:firstLine="709"/>
        <w:jc w:val="both"/>
        <w:rPr>
          <w:rFonts w:ascii="Times New Roman" w:hAnsi="Times New Roman" w:cs="Times New Roman"/>
          <w:sz w:val="24"/>
          <w:szCs w:val="24"/>
        </w:rPr>
      </w:pPr>
      <w:r w:rsidRPr="007A27A5">
        <w:rPr>
          <w:rFonts w:ascii="Times New Roman" w:hAnsi="Times New Roman" w:cs="Times New Roman"/>
          <w:sz w:val="24"/>
          <w:szCs w:val="24"/>
        </w:rPr>
        <w:t>Quien suscribe le diputade Luisa Esmeralda Navarro Hernández, en representación del Grupo Parlamentario de morena, en el ejercicio de las facultades que se me confieren, someto a consideración de la Honorable Asamblea, Iniciativa con Proyecto de Decreto por la que se reforma el artículo 4 de la Ley de la Vivienda del Estado de México con el objetivo de garantizar el derecho de la vivienda sin discriminación por cohabitación con infancias, seres sintientes, orientación sexual, identidad de género o expresión de género y de fortalecer en el Marco Normativo Estatal en materia de bienestar, igualdad y protección familiar al tenor:</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 xml:space="preserve">La vivienda digna es un derecho fundamental reconocido en el artículo 4 de la Constitución Política de los Estados Unidos Mexicanos, no se trata sólo de un espacio físico; sino un entorno que garantice bienestar, seguridad y desarrollo integral para todas las personas y familias; sin embargo, en el Estado de México persisten </w:t>
      </w:r>
      <w:r w:rsidR="00180B3F" w:rsidRPr="007A27A5">
        <w:rPr>
          <w:rFonts w:ascii="Times New Roman" w:hAnsi="Times New Roman" w:cs="Times New Roman"/>
          <w:sz w:val="24"/>
          <w:szCs w:val="24"/>
        </w:rPr>
        <w:t>prácticas</w:t>
      </w:r>
      <w:r w:rsidRPr="007A27A5">
        <w:rPr>
          <w:rFonts w:ascii="Times New Roman" w:hAnsi="Times New Roman" w:cs="Times New Roman"/>
          <w:sz w:val="24"/>
          <w:szCs w:val="24"/>
        </w:rPr>
        <w:t xml:space="preserve"> discriminatorias en el acceso de la vivienda, en numerosos casos se restringe o condiciona la posibilidad de habitar un inmueble a familias que viven con niños, niñas y adolescentes o con seres sintientes mediante clausulas o exigencias que vulneran derechos humanos básicos como la igualdad, la no discriminación y la protección familiar.</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Excluir a las infancias del arrendamiento o adquisición de una vivienda equivale a negarle su derecho a un hogar seguro y estable, atentando contra los principios del interés superior de la niñez, de igual forma, limitar el acceso a quienes cohabitan con seres sintientes, desconocen la realidad social contemporánea en la que millones de hogares consideran a los animales como parte esencial de su familia.</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Según datos recientes del INEGI, el Estado de México es la Entidad con mayor número de animales en situación de abandono, con 1.5 millones de perros y gatos en la calle, lo que representa un problema de bienestar, salud pública, estrechamente vinculado con restricciones habitacionales que prohíben su presencia.</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En este contexto, la Gobernadora Constitucional del Estado de México, la Maestra Delfina Gómez Álvarez, ha impulsado políticas pioneras en materia de bienestar animal y justicia social, como la creación de una mesa de trabajo, construyendo el bienestar animal en el Estado de México; así como la propuesta de la policía de protección ciudadana al animal y una fiscalía especializada para sancionar los delitos cometidos contra animales.</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Estas acciones reflejan un compromiso estatal real con un marco jurídico sensible, ético y protector que promueve la corresponsabilidad y el respeto hacia los seres sintientes;</w:t>
      </w:r>
      <w:r w:rsidRPr="007A27A5">
        <w:rPr>
          <w:rFonts w:ascii="Times New Roman" w:eastAsia="Times New Roman" w:hAnsi="Times New Roman" w:cs="Times New Roman"/>
          <w:sz w:val="24"/>
          <w:szCs w:val="24"/>
          <w:lang w:eastAsia="es-MX"/>
        </w:rPr>
        <w:t xml:space="preserve"> asimismo, es importante señalar que muchas personas continúan siendo discriminadas por su orientación sexual, </w:t>
      </w:r>
      <w:r w:rsidRPr="007A27A5">
        <w:rPr>
          <w:rFonts w:ascii="Times New Roman" w:eastAsia="Times New Roman" w:hAnsi="Times New Roman" w:cs="Times New Roman"/>
          <w:sz w:val="24"/>
          <w:szCs w:val="24"/>
          <w:lang w:eastAsia="es-MX"/>
        </w:rPr>
        <w:lastRenderedPageBreak/>
        <w:t xml:space="preserve">identidad de género o expresión de género, enfrentando rechazo y trato desigual a toda imposición de condiciones injustas, al intentar acceder a una vivienda, estas prácticas discriminatorias limitan el ejercicio pleno de los derechos humanos y perpetúan prejuicios que atentan contra la igualdad y la dignidad de la persona. </w:t>
      </w:r>
    </w:p>
    <w:p w:rsidR="007C2166" w:rsidRPr="007A27A5" w:rsidRDefault="007C2166" w:rsidP="00975CA7">
      <w:pPr>
        <w:pStyle w:val="Sinespaciado"/>
        <w:ind w:firstLine="709"/>
        <w:rPr>
          <w:rFonts w:eastAsia="Times New Roman"/>
          <w:lang w:eastAsia="es-MX"/>
        </w:rPr>
      </w:pPr>
      <w:r w:rsidRPr="007A27A5">
        <w:rPr>
          <w:rFonts w:eastAsia="Times New Roman"/>
          <w:lang w:eastAsia="es-MX"/>
        </w:rPr>
        <w:t xml:space="preserve">En congruencia con esta visión de inclusión y de derechos humanos, se propone reformar el artículo 4 de la Ley de la Vivienda del Estado de México, para establecer expresamente que nadie podrá ser discriminada en el acceso, arrendamiento o adquisición o permanencia de una vivienda por razones de cohabitación con infancias, seres sintientes, orientación sexual, identidad de expresión e identidad o expresión de género. </w:t>
      </w:r>
    </w:p>
    <w:p w:rsidR="007C2166" w:rsidRPr="007A27A5" w:rsidRDefault="007C2166" w:rsidP="00975CA7">
      <w:pPr>
        <w:pStyle w:val="Sinespaciado"/>
        <w:ind w:firstLine="709"/>
        <w:rPr>
          <w:rFonts w:eastAsia="Times New Roman"/>
          <w:lang w:eastAsia="es-MX"/>
        </w:rPr>
      </w:pPr>
      <w:r w:rsidRPr="007A27A5">
        <w:rPr>
          <w:rFonts w:eastAsia="Times New Roman"/>
          <w:lang w:eastAsia="es-MX"/>
        </w:rPr>
        <w:t>Esta reforma fortalece la igualdad, la inclusión y el respeto de la diversidad, promoviendo un modelo de vivienda justo, humano y libre de discriminación que refleje el compromiso de los Estados Unidos con la dignidad, la empatía y los derechos de todas las personas y los seres sintientes.</w:t>
      </w:r>
    </w:p>
    <w:p w:rsidR="007C2166" w:rsidRPr="007A27A5" w:rsidRDefault="007C2166" w:rsidP="00975CA7">
      <w:pPr>
        <w:pStyle w:val="Sinespaciado"/>
        <w:ind w:firstLine="709"/>
        <w:rPr>
          <w:rFonts w:eastAsia="Times New Roman"/>
          <w:lang w:eastAsia="es-MX"/>
        </w:rPr>
      </w:pPr>
      <w:r w:rsidRPr="007A27A5">
        <w:rPr>
          <w:rFonts w:eastAsia="Times New Roman"/>
          <w:lang w:eastAsia="es-MX"/>
        </w:rPr>
        <w:t xml:space="preserve">Someto a consideración de la Honorable LXII Legislatura del Estado de México la presente iniciativa con proyecto de decreto, por lo que se reforma el artículo 4 de la Ley de la Vivienda del Estado de México, para efecto de que si se encuentra procedente se admita a trámite para análisis, discusión y en su caso, aprobación. </w:t>
      </w:r>
    </w:p>
    <w:p w:rsidR="007C2166" w:rsidRPr="007A27A5" w:rsidRDefault="007C2166" w:rsidP="00975CA7">
      <w:pPr>
        <w:pStyle w:val="Sinespaciado"/>
        <w:ind w:firstLine="709"/>
        <w:rPr>
          <w:rFonts w:eastAsia="Times New Roman"/>
          <w:lang w:eastAsia="es-MX"/>
        </w:rPr>
      </w:pPr>
      <w:r w:rsidRPr="007A27A5">
        <w:rPr>
          <w:rFonts w:eastAsia="Times New Roman"/>
          <w:lang w:eastAsia="es-MX"/>
        </w:rPr>
        <w:t xml:space="preserve">Por ello, solicito, respetuosamente Presidenta, que se integre de manera completa la presente iniciativa al Diario de Debates a la Gaceta Parlamentaria. </w:t>
      </w:r>
    </w:p>
    <w:p w:rsidR="007C2166" w:rsidRPr="007A27A5" w:rsidRDefault="007C2166" w:rsidP="00975CA7">
      <w:pPr>
        <w:pStyle w:val="Sinespaciado"/>
        <w:ind w:firstLine="709"/>
        <w:rPr>
          <w:rFonts w:eastAsia="Times New Roman"/>
          <w:lang w:eastAsia="es-MX"/>
        </w:rPr>
      </w:pPr>
      <w:r w:rsidRPr="007A27A5">
        <w:rPr>
          <w:rFonts w:eastAsia="Times New Roman"/>
          <w:lang w:eastAsia="es-MX"/>
        </w:rPr>
        <w:t>Dado en el Poder Legislativo en la Ciudad de Toluca, de Lerdo, Capital del Estado de México; a los diecinueve días del mes de noviembre del año dos mil veinticinco.</w:t>
      </w:r>
    </w:p>
    <w:p w:rsidR="007C2166" w:rsidRPr="007A27A5" w:rsidRDefault="007C2166" w:rsidP="007C2166">
      <w:pPr>
        <w:pStyle w:val="Sinespaciado"/>
        <w:rPr>
          <w:rFonts w:eastAsia="Times New Roman"/>
          <w:lang w:eastAsia="es-MX"/>
        </w:rPr>
      </w:pPr>
      <w:r w:rsidRPr="007A27A5">
        <w:rPr>
          <w:rFonts w:eastAsia="Times New Roman"/>
          <w:lang w:eastAsia="es-MX"/>
        </w:rPr>
        <w:t>Es cuanto, muchas gracias.</w:t>
      </w:r>
    </w:p>
    <w:p w:rsidR="00CB18C4" w:rsidRPr="007A27A5" w:rsidRDefault="00CB18C4" w:rsidP="00DC676A">
      <w:pPr>
        <w:pStyle w:val="Sinespaciado"/>
      </w:pPr>
    </w:p>
    <w:p w:rsidR="00CB18C4" w:rsidRPr="007A27A5" w:rsidRDefault="00CB18C4" w:rsidP="00DC676A">
      <w:pPr>
        <w:spacing w:after="0" w:line="240" w:lineRule="auto"/>
        <w:jc w:val="center"/>
        <w:rPr>
          <w:rFonts w:ascii="Times New Roman" w:hAnsi="Times New Roman"/>
          <w:i/>
          <w:sz w:val="24"/>
          <w:szCs w:val="24"/>
        </w:rPr>
      </w:pPr>
      <w:r w:rsidRPr="007A27A5">
        <w:rPr>
          <w:rFonts w:ascii="Times New Roman" w:hAnsi="Times New Roman"/>
          <w:i/>
          <w:sz w:val="24"/>
          <w:szCs w:val="24"/>
        </w:rPr>
        <w:t>(Se inserta documento)</w:t>
      </w:r>
    </w:p>
    <w:p w:rsidR="00CB18C4" w:rsidRPr="007A27A5" w:rsidRDefault="00CB18C4" w:rsidP="00DC676A">
      <w:pPr>
        <w:spacing w:after="0" w:line="240" w:lineRule="auto"/>
        <w:jc w:val="center"/>
        <w:rPr>
          <w:rFonts w:ascii="Times New Roman" w:hAnsi="Times New Roman"/>
          <w:sz w:val="24"/>
          <w:szCs w:val="24"/>
        </w:rPr>
      </w:pPr>
    </w:p>
    <w:p w:rsidR="00CB18C4" w:rsidRPr="007A27A5" w:rsidRDefault="00CB18C4" w:rsidP="00CB18C4">
      <w:pPr>
        <w:widowControl w:val="0"/>
        <w:autoSpaceDE w:val="0"/>
        <w:autoSpaceDN w:val="0"/>
        <w:spacing w:after="0" w:line="240" w:lineRule="auto"/>
        <w:ind w:right="3"/>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Grupo Parlamentario morena</w:t>
      </w:r>
    </w:p>
    <w:p w:rsidR="00CB18C4" w:rsidRPr="007A27A5" w:rsidRDefault="00CB18C4" w:rsidP="00CB18C4">
      <w:pPr>
        <w:widowControl w:val="0"/>
        <w:autoSpaceDE w:val="0"/>
        <w:autoSpaceDN w:val="0"/>
        <w:spacing w:after="0" w:line="240" w:lineRule="auto"/>
        <w:ind w:right="3"/>
        <w:jc w:val="center"/>
        <w:rPr>
          <w:rFonts w:ascii="Times New Roman" w:eastAsia="Verdana" w:hAnsi="Times New Roman" w:cs="Times New Roman"/>
          <w:b/>
          <w:i/>
          <w:sz w:val="24"/>
          <w:szCs w:val="24"/>
        </w:rPr>
      </w:pPr>
      <w:r w:rsidRPr="007A27A5">
        <w:rPr>
          <w:rFonts w:ascii="Times New Roman" w:eastAsia="Verdana" w:hAnsi="Times New Roman" w:cs="Times New Roman"/>
          <w:b/>
          <w:i/>
          <w:sz w:val="24"/>
          <w:szCs w:val="24"/>
        </w:rPr>
        <w:t>Dip. Luisa Esmeralda Navarro Hernández</w:t>
      </w:r>
    </w:p>
    <w:p w:rsidR="00CB18C4" w:rsidRPr="007A27A5" w:rsidRDefault="00CB18C4" w:rsidP="00CB18C4">
      <w:pPr>
        <w:widowControl w:val="0"/>
        <w:autoSpaceDE w:val="0"/>
        <w:autoSpaceDN w:val="0"/>
        <w:spacing w:after="0" w:line="240" w:lineRule="auto"/>
        <w:ind w:right="3"/>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PRESIDENTE PARA LA DEFENSA DE DERECHOS DE LAS POBLACIONES LGBTTTIQ+</w:t>
      </w:r>
    </w:p>
    <w:p w:rsidR="00970A31" w:rsidRPr="007A27A5" w:rsidRDefault="00970A31" w:rsidP="00CB18C4">
      <w:pPr>
        <w:widowControl w:val="0"/>
        <w:autoSpaceDE w:val="0"/>
        <w:autoSpaceDN w:val="0"/>
        <w:spacing w:after="0" w:line="240" w:lineRule="auto"/>
        <w:ind w:right="3"/>
        <w:jc w:val="center"/>
        <w:rPr>
          <w:rFonts w:ascii="Times New Roman" w:eastAsia="Verdana" w:hAnsi="Times New Roman" w:cs="Times New Roman"/>
          <w:b/>
          <w:sz w:val="24"/>
          <w:szCs w:val="24"/>
        </w:rPr>
      </w:pPr>
    </w:p>
    <w:p w:rsidR="00CB18C4" w:rsidRPr="007A27A5" w:rsidRDefault="00CB18C4" w:rsidP="00CB18C4">
      <w:pPr>
        <w:widowControl w:val="0"/>
        <w:autoSpaceDE w:val="0"/>
        <w:autoSpaceDN w:val="0"/>
        <w:spacing w:after="0" w:line="240" w:lineRule="auto"/>
        <w:ind w:right="3"/>
        <w:jc w:val="center"/>
        <w:rPr>
          <w:rFonts w:ascii="Times New Roman" w:eastAsia="Verdana" w:hAnsi="Times New Roman" w:cs="Times New Roman"/>
          <w:sz w:val="24"/>
          <w:szCs w:val="24"/>
        </w:rPr>
      </w:pPr>
      <w:r w:rsidRPr="007A27A5">
        <w:rPr>
          <w:rFonts w:ascii="Times New Roman" w:eastAsia="Verdana" w:hAnsi="Times New Roman" w:cs="Times New Roman"/>
          <w:b/>
          <w:sz w:val="24"/>
          <w:szCs w:val="24"/>
        </w:rPr>
        <w:t>“2025, Año del Bicentenario de la Vida Municipal del Estado Libre y Soberano de México”</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right"/>
        <w:rPr>
          <w:rFonts w:ascii="Times New Roman" w:eastAsia="Verdana" w:hAnsi="Times New Roman" w:cs="Times New Roman"/>
          <w:sz w:val="24"/>
          <w:szCs w:val="24"/>
        </w:rPr>
      </w:pPr>
      <w:r w:rsidRPr="007A27A5">
        <w:rPr>
          <w:rFonts w:ascii="Times New Roman" w:eastAsia="Verdana" w:hAnsi="Times New Roman" w:cs="Times New Roman"/>
          <w:sz w:val="24"/>
          <w:szCs w:val="24"/>
        </w:rPr>
        <w:t>Toluca de Lerdo, Estado de México; a 12 de noviembre del 2025.</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outlineLvl w:val="0"/>
        <w:rPr>
          <w:rFonts w:ascii="Times New Roman" w:eastAsia="Tahoma" w:hAnsi="Times New Roman" w:cs="Times New Roman"/>
          <w:b/>
          <w:bCs/>
          <w:sz w:val="24"/>
          <w:szCs w:val="24"/>
        </w:rPr>
      </w:pPr>
      <w:r w:rsidRPr="007A27A5">
        <w:rPr>
          <w:rFonts w:ascii="Times New Roman" w:eastAsia="Tahoma" w:hAnsi="Times New Roman" w:cs="Times New Roman"/>
          <w:b/>
          <w:bCs/>
          <w:sz w:val="24"/>
          <w:szCs w:val="24"/>
        </w:rPr>
        <w:t>DIP. MARTHA AZUCENA CAMACHO REYNOSO</w:t>
      </w:r>
    </w:p>
    <w:p w:rsidR="00CB18C4" w:rsidRPr="007A27A5" w:rsidRDefault="00CB18C4" w:rsidP="00CB18C4">
      <w:pPr>
        <w:widowControl w:val="0"/>
        <w:autoSpaceDE w:val="0"/>
        <w:autoSpaceDN w:val="0"/>
        <w:spacing w:after="0" w:line="240" w:lineRule="auto"/>
        <w:ind w:right="3"/>
        <w:outlineLvl w:val="0"/>
        <w:rPr>
          <w:rFonts w:ascii="Times New Roman" w:eastAsia="Tahoma" w:hAnsi="Times New Roman" w:cs="Times New Roman"/>
          <w:b/>
          <w:bCs/>
          <w:sz w:val="24"/>
          <w:szCs w:val="24"/>
        </w:rPr>
      </w:pPr>
      <w:r w:rsidRPr="007A27A5">
        <w:rPr>
          <w:rFonts w:ascii="Times New Roman" w:eastAsia="Tahoma" w:hAnsi="Times New Roman" w:cs="Times New Roman"/>
          <w:b/>
          <w:bCs/>
          <w:sz w:val="24"/>
          <w:szCs w:val="24"/>
        </w:rPr>
        <w:t>PRESIDENTA DE LA MESA DIRECTIVA</w:t>
      </w:r>
    </w:p>
    <w:p w:rsidR="00CB18C4" w:rsidRPr="007A27A5" w:rsidRDefault="00CB18C4" w:rsidP="00CB18C4">
      <w:pPr>
        <w:widowControl w:val="0"/>
        <w:autoSpaceDE w:val="0"/>
        <w:autoSpaceDN w:val="0"/>
        <w:spacing w:after="0" w:line="240" w:lineRule="auto"/>
        <w:ind w:right="3"/>
        <w:outlineLvl w:val="0"/>
        <w:rPr>
          <w:rFonts w:ascii="Times New Roman" w:eastAsia="Tahoma" w:hAnsi="Times New Roman" w:cs="Times New Roman"/>
          <w:b/>
          <w:bCs/>
          <w:sz w:val="24"/>
          <w:szCs w:val="24"/>
        </w:rPr>
      </w:pPr>
      <w:r w:rsidRPr="007A27A5">
        <w:rPr>
          <w:rFonts w:ascii="Times New Roman" w:eastAsia="Tahoma" w:hAnsi="Times New Roman" w:cs="Times New Roman"/>
          <w:b/>
          <w:bCs/>
          <w:sz w:val="24"/>
          <w:szCs w:val="24"/>
        </w:rPr>
        <w:t>DE LA H. “LXII” LEGISLATURA</w:t>
      </w:r>
    </w:p>
    <w:p w:rsidR="00CB18C4" w:rsidRPr="007A27A5" w:rsidRDefault="00CB18C4" w:rsidP="00CB18C4">
      <w:pPr>
        <w:widowControl w:val="0"/>
        <w:autoSpaceDE w:val="0"/>
        <w:autoSpaceDN w:val="0"/>
        <w:spacing w:after="0" w:line="240" w:lineRule="auto"/>
        <w:ind w:right="3"/>
        <w:outlineLvl w:val="0"/>
        <w:rPr>
          <w:rFonts w:ascii="Times New Roman" w:eastAsia="Tahoma" w:hAnsi="Times New Roman" w:cs="Times New Roman"/>
          <w:b/>
          <w:bCs/>
          <w:sz w:val="24"/>
          <w:szCs w:val="24"/>
        </w:rPr>
      </w:pPr>
      <w:r w:rsidRPr="007A27A5">
        <w:rPr>
          <w:rFonts w:ascii="Times New Roman" w:eastAsia="Tahoma" w:hAnsi="Times New Roman" w:cs="Times New Roman"/>
          <w:b/>
          <w:bCs/>
          <w:sz w:val="24"/>
          <w:szCs w:val="24"/>
        </w:rPr>
        <w:t>DEL ESTADO LIBRE Y SOBERANO DE MÉXICO</w:t>
      </w:r>
    </w:p>
    <w:p w:rsidR="00CB18C4" w:rsidRPr="007A27A5" w:rsidRDefault="00CB18C4" w:rsidP="00CB18C4">
      <w:pPr>
        <w:widowControl w:val="0"/>
        <w:autoSpaceDE w:val="0"/>
        <w:autoSpaceDN w:val="0"/>
        <w:spacing w:after="0" w:line="240" w:lineRule="auto"/>
        <w:ind w:right="3"/>
        <w:outlineLvl w:val="0"/>
        <w:rPr>
          <w:rFonts w:ascii="Times New Roman" w:eastAsia="Tahoma" w:hAnsi="Times New Roman" w:cs="Times New Roman"/>
          <w:bCs/>
          <w:sz w:val="24"/>
          <w:szCs w:val="24"/>
        </w:rPr>
      </w:pPr>
      <w:r w:rsidRPr="007A27A5">
        <w:rPr>
          <w:rFonts w:ascii="Times New Roman" w:eastAsia="Tahoma" w:hAnsi="Times New Roman" w:cs="Times New Roman"/>
          <w:b/>
          <w:bCs/>
          <w:sz w:val="24"/>
          <w:szCs w:val="24"/>
        </w:rPr>
        <w:t>P R E S E N T E</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b/>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Le Diputade </w:t>
      </w:r>
      <w:r w:rsidRPr="007A27A5">
        <w:rPr>
          <w:rFonts w:ascii="Times New Roman" w:eastAsia="Verdana" w:hAnsi="Times New Roman" w:cs="Times New Roman"/>
          <w:b/>
          <w:sz w:val="24"/>
          <w:szCs w:val="24"/>
        </w:rPr>
        <w:t xml:space="preserve">Luisa Esmeralda Navarro Hernández, </w:t>
      </w:r>
      <w:r w:rsidRPr="007A27A5">
        <w:rPr>
          <w:rFonts w:ascii="Times New Roman" w:eastAsia="Verdana" w:hAnsi="Times New Roman" w:cs="Times New Roman"/>
          <w:sz w:val="24"/>
          <w:szCs w:val="24"/>
        </w:rPr>
        <w:t xml:space="preserve">integrante del Grupo Parlamentario de morena y en su representación, con fundamento en los artículos 57 y 61 fracción I de la Constitución Política del Estado Libre y Soberano de México; 38 fracción IV y 83 de la Ley Orgánica del Poder Legislativo del Estado Libre y Soberano de México, y 72 del Reglamento del Poder Legislativo del Estado Libre y Soberano del Estado de México, someto a consideración de esta Honorable Legislatura, la siguiente </w:t>
      </w:r>
      <w:r w:rsidRPr="007A27A5">
        <w:rPr>
          <w:rFonts w:ascii="Times New Roman" w:eastAsia="Verdana" w:hAnsi="Times New Roman" w:cs="Times New Roman"/>
          <w:b/>
          <w:sz w:val="24"/>
          <w:szCs w:val="24"/>
        </w:rPr>
        <w:t xml:space="preserve">Iniciativa con Proyecto de Decreto por el que se reforma el artículo 4 de la Ley de Vivienda Del Estado De México; en materia de no Discriminación, </w:t>
      </w:r>
      <w:r w:rsidRPr="007A27A5">
        <w:rPr>
          <w:rFonts w:ascii="Times New Roman" w:eastAsia="Verdana" w:hAnsi="Times New Roman" w:cs="Times New Roman"/>
          <w:sz w:val="24"/>
          <w:szCs w:val="24"/>
        </w:rPr>
        <w:t>de conformidad con la siguiente:</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center"/>
        <w:outlineLvl w:val="0"/>
        <w:rPr>
          <w:rFonts w:ascii="Times New Roman" w:eastAsia="Tahoma" w:hAnsi="Times New Roman" w:cs="Times New Roman"/>
          <w:b/>
          <w:bCs/>
          <w:sz w:val="24"/>
          <w:szCs w:val="24"/>
        </w:rPr>
      </w:pPr>
      <w:r w:rsidRPr="007A27A5">
        <w:rPr>
          <w:rFonts w:ascii="Times New Roman" w:eastAsia="Tahoma" w:hAnsi="Times New Roman" w:cs="Times New Roman"/>
          <w:b/>
          <w:bCs/>
          <w:sz w:val="24"/>
          <w:szCs w:val="24"/>
        </w:rPr>
        <w:lastRenderedPageBreak/>
        <w:t>EXPOSICIÓN DE MOTIVOS.</w:t>
      </w: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La vivienda digna es un derecho fundamental reconocido en el artículo 4º de la Constitución Política de los Estados Unidos Mexicanos, que establece que toda familia tiene derecho a disfrutar de una vivienda digna y decorosa. Dicho mandato constitucional no solo garantiza un espacio físico habitable, sino también un entorno que favorezca el bienestar integral de las personas y el desarrollo pleno de las familias.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En este sentido, la Ley de Vivienda del Estado de México tiene la obligación de reflejar este principio y armonizarse con los tratados internacionales suscritos por nuestro país, como el Pacto Internacional de Derechos Económicos, Sociales y Culturales y la Convención sobre los Derechos del Niño, los cuales reconocen el derecho de toda persona a un nivel de vida adecuado y el deber de los Estados de garantizar condiciones que promuevan el desarrollo físico, mental, espiritual y social de las infancias.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Actualmente, uno de los principales retos en materia habitacional en el Estado de México es la discriminación en el acceso a la vivienda. Diversos contratos de arrendamiento o venta imponen restricciones que impiden a las personas acceder a un inmueble por motivos relacionados con su composición familiar o la presencia de seres sintientes.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Estas cláusulas, además de carecer de fundamento legal, vulneran derechos humanos básicos como la igualdad, la no discriminación y la protección de la familia.</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En particular, la prohibición o exclusión de niñas, niños y adolescentes como habitantes de un inmueble atenta directamente contra el derecho de la infancia a una vivienda digna y a vivir en familia, reconocido por el artículo 4º constitucional y por la Ley General de los Derechos de Niñas, Niños y Adolescentes, que señala que todo menor tiene derecho a una vivienda adecuada para su desarrollo integral.</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Condicionar la ocupación de una vivienda a la ausencia de infancias equivale a excluirlas del entorno familiar, vulnerando su estabilidad emocional y su seguridad. Estas prácticas discriminatorias no solo afectan a los adultos responsables del contrato, sino que repercuten directamente en los menores al negarles un hogar seguro, estable y saludable, contrario al principio del interés superior de la niñez, que obliga a todas las autoridades y particulares a priorizar el bienestar de las niñas, niños y adolescentes en cualquier decisión que les afecte.</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De igual forma, las personas que cohabitan con seres sintientes enfrentan con frecuencia cláusulas que les impiden acceder o permanecer en viviendas. Este tipo de restricciones desconoce la realidad social contemporánea, en la que millones de hogares mexicanos consideran a los seres sintientes parte fundamental de su familia.</w:t>
      </w: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Según datos recientes del INEGI (2025) y reportes de medios estatales, en el Estado de México existen más de 5 millones de perros y gatos, de los cuales aproximadamente 1.5 millones viven en situación de calle.</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Esta cifra coloca a la entidad como la primera a nivel nacional en abandono animal, con municipios como Ecatepec, Nezahualcóyotl, Toluca, Naucalpan y Chimalhuacán encabezando los reportes.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El abandono animal, además de ser una forma de maltrato, es un fenómeno estrechamente </w:t>
      </w:r>
      <w:r w:rsidRPr="007A27A5">
        <w:rPr>
          <w:rFonts w:ascii="Times New Roman" w:eastAsia="Verdana" w:hAnsi="Times New Roman" w:cs="Times New Roman"/>
          <w:sz w:val="24"/>
          <w:szCs w:val="24"/>
        </w:rPr>
        <w:lastRenderedPageBreak/>
        <w:t>vinculado con la vivienda, pues muchas personas se ven obligadas a abandonar a sus animales cuando no se les permite habitarlos en nuevos inmuebles o cuando son desalojadas por dicha causa.</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De ahí la necesidad de incorporar en la Ley de Vivienda del Estado de México la prohibición de discriminar debido a cohabitar con seres sintientes promoviendo una cultura de respeto, responsabilidad y convivencia </w:t>
      </w:r>
      <w:proofErr w:type="spellStart"/>
      <w:r w:rsidRPr="007A27A5">
        <w:rPr>
          <w:rFonts w:ascii="Times New Roman" w:eastAsia="Verdana" w:hAnsi="Times New Roman" w:cs="Times New Roman"/>
          <w:sz w:val="24"/>
          <w:szCs w:val="24"/>
        </w:rPr>
        <w:t>multiespecie</w:t>
      </w:r>
      <w:proofErr w:type="spellEnd"/>
      <w:r w:rsidRPr="007A27A5">
        <w:rPr>
          <w:rFonts w:ascii="Times New Roman" w:eastAsia="Verdana" w:hAnsi="Times New Roman" w:cs="Times New Roman"/>
          <w:sz w:val="24"/>
          <w:szCs w:val="24"/>
        </w:rPr>
        <w:t>.</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Cabe reconocer que Nuestra Gobernadora la Maestra Delfina Gómez Álvarez, ha sido pionera en impulsar reformas y políticas públicas en materia de bienestar animal, promoviendo la creación de la Mesa de Trabajo “Construyendo el Bienestar Animal en el Estado de México: Por una Reforma Integral”, así como la propuesta de una Policía de Protección y Cuidado Animal y una Fiscalía Especializada para sancionar los delitos cometidos contra animales.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Estas acciones reflejan un compromiso estatal real con la construcción de un marco jurídico sensible y protector, que fomente el respeto y la corresponsabilidad entre humanos y animales.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En congruencia con esta visión de gobierno y con los estándares internacionales de derechos humanos, se propone reformar el artículo 4 de la Ley de Vivienda del Estado de México, para establecer expresamente que ninguna persona podrá ser discriminada en el acceso, arrendamiento, adquisición o permanencia en una vivienda por razones de cohabitación con infancias o con seres sintientes.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Esta reforma busca garantizar que los servicios inmobiliarios, públicos o privados, se desarrollen con una perspectiva de derechos humanos, bienestar familiar, igualdad, no discriminación y respeto hacia los seres sintientes.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Así mismo, utilizar el término “Preferencia sexual” hace referencia a que se puedan legitimar intentos de cambiar la atracción, mientras que “orientación sexual” se usa en derecho y salud pública para referirse a la atracción erótico-afectiva duradera de una persona, así como lo estipulan varias decisiones judiciales y protocolos que lo subrayan. (Suprema Corte de Justicia de la Nación)</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El sistema interamericano (CIDH y la Corte Interamericana) ha tratado repetidamente la orientación sexual como una categoría protegida que salvaguarda los derechos humanos, como lo reafirma la Convención Americana en sus documentos técnicos y jurisprudencia que emplea ese término de manera consistente. (OAS)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Por todo lo anteriormente expuesto, es necesario reformar este apartado en la Ley de Vivienda del Estado de México para garantizar precisión jurídica y armonía con los estándares nacionales e internacionales en derechos humanos. Sustituir “preferencia sexual” por “orientación sexual” evita interpretaciones discriminatorias, tipologías y modalidades de la violencia, adopta la terminología reconocida por la Suprema Corte y el sistema interamericano, fortaleciendo un marco legal inclusivo y respetuoso de la diversidad sexual.</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Así, el Estado de México avanzará hacia un modelo de vivienda más inclusivo, equitativo y respetuoso, que reconozca la diversidad familiar y promueva una convivencia armónica entre personas y los seres sintientes, erradicando las prácticas de discriminación y exclusión que lesionan la dignidad humana y la protección de las infancias.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Por las razones expuestas, Someto a consideración de esta Honorable “LXII” Legislatura del </w:t>
      </w:r>
      <w:r w:rsidRPr="007A27A5">
        <w:rPr>
          <w:rFonts w:ascii="Times New Roman" w:eastAsia="Verdana" w:hAnsi="Times New Roman" w:cs="Times New Roman"/>
          <w:sz w:val="24"/>
          <w:szCs w:val="24"/>
        </w:rPr>
        <w:lastRenderedPageBreak/>
        <w:t xml:space="preserve">Estado de México, </w:t>
      </w:r>
      <w:r w:rsidRPr="007A27A5">
        <w:rPr>
          <w:rFonts w:ascii="Times New Roman" w:eastAsia="Verdana" w:hAnsi="Times New Roman" w:cs="Times New Roman"/>
          <w:b/>
          <w:sz w:val="24"/>
          <w:szCs w:val="24"/>
        </w:rPr>
        <w:t>la presente Iniciativa con Proyecto de Decreto por el que se reforma el artículo 4 de la Ley de Vivienda del Estado de México</w:t>
      </w:r>
      <w:r w:rsidRPr="007A27A5">
        <w:rPr>
          <w:rFonts w:ascii="Times New Roman" w:eastAsia="Verdana" w:hAnsi="Times New Roman" w:cs="Times New Roman"/>
          <w:sz w:val="24"/>
          <w:szCs w:val="24"/>
        </w:rPr>
        <w:t>; con el objetivo de garantizar el derecho a la vivienda sin discriminación por cohabitación con infancias, seres sintientes, orientación sexual, identidad de género o expresión de género y de fortalecer el marco normativo estatal en materia de bienestar, igualdad y protección familiar; para efecto de que, si se encuentra procedente, se admita a trámite, para su análisis, discusión y en su caso aprobación.</w:t>
      </w: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center"/>
        <w:outlineLvl w:val="0"/>
        <w:rPr>
          <w:rFonts w:ascii="Times New Roman" w:eastAsia="Tahoma" w:hAnsi="Times New Roman" w:cs="Times New Roman"/>
          <w:b/>
          <w:bCs/>
          <w:sz w:val="24"/>
          <w:szCs w:val="24"/>
        </w:rPr>
      </w:pPr>
      <w:r w:rsidRPr="007A27A5">
        <w:rPr>
          <w:rFonts w:ascii="Times New Roman" w:eastAsia="Tahoma" w:hAnsi="Times New Roman" w:cs="Times New Roman"/>
          <w:b/>
          <w:bCs/>
          <w:sz w:val="24"/>
          <w:szCs w:val="24"/>
        </w:rPr>
        <w:t>A T E N T A M E N T E</w:t>
      </w:r>
    </w:p>
    <w:p w:rsidR="00CB18C4" w:rsidRPr="007A27A5" w:rsidRDefault="00CB18C4" w:rsidP="00CB18C4">
      <w:pPr>
        <w:widowControl w:val="0"/>
        <w:autoSpaceDE w:val="0"/>
        <w:autoSpaceDN w:val="0"/>
        <w:spacing w:after="0" w:line="240" w:lineRule="auto"/>
        <w:ind w:right="3"/>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Diputade Luisa Esmeralda Navarro Hernández.</w:t>
      </w:r>
    </w:p>
    <w:p w:rsidR="00CB18C4" w:rsidRPr="007A27A5" w:rsidRDefault="00CB18C4" w:rsidP="00CB18C4">
      <w:pPr>
        <w:widowControl w:val="0"/>
        <w:autoSpaceDE w:val="0"/>
        <w:autoSpaceDN w:val="0"/>
        <w:spacing w:after="0" w:line="240" w:lineRule="auto"/>
        <w:ind w:right="3"/>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Presentante.</w:t>
      </w:r>
    </w:p>
    <w:p w:rsidR="00CB18C4" w:rsidRPr="007A27A5" w:rsidRDefault="00CB18C4" w:rsidP="00CB18C4">
      <w:pPr>
        <w:widowControl w:val="0"/>
        <w:autoSpaceDE w:val="0"/>
        <w:autoSpaceDN w:val="0"/>
        <w:spacing w:after="0" w:line="240" w:lineRule="auto"/>
        <w:ind w:right="3"/>
        <w:jc w:val="center"/>
        <w:rPr>
          <w:rFonts w:ascii="Times New Roman" w:eastAsia="Verdana" w:hAnsi="Times New Roman" w:cs="Times New Roman"/>
          <w:b/>
          <w:sz w:val="24"/>
          <w:szCs w:val="24"/>
        </w:rPr>
      </w:pPr>
    </w:p>
    <w:p w:rsidR="00CB18C4" w:rsidRPr="007A27A5" w:rsidRDefault="00CB18C4" w:rsidP="00CB18C4">
      <w:pPr>
        <w:widowControl w:val="0"/>
        <w:autoSpaceDE w:val="0"/>
        <w:autoSpaceDN w:val="0"/>
        <w:spacing w:after="0" w:line="240" w:lineRule="auto"/>
        <w:ind w:right="3"/>
        <w:jc w:val="both"/>
        <w:outlineLvl w:val="0"/>
        <w:rPr>
          <w:rFonts w:ascii="Times New Roman" w:eastAsia="Tahoma" w:hAnsi="Times New Roman" w:cs="Times New Roman"/>
          <w:b/>
          <w:bCs/>
          <w:sz w:val="24"/>
          <w:szCs w:val="24"/>
        </w:rPr>
      </w:pPr>
    </w:p>
    <w:p w:rsidR="00CB18C4" w:rsidRPr="007A27A5" w:rsidRDefault="00CB18C4" w:rsidP="00CB18C4">
      <w:pPr>
        <w:widowControl w:val="0"/>
        <w:autoSpaceDE w:val="0"/>
        <w:autoSpaceDN w:val="0"/>
        <w:spacing w:after="0" w:line="240" w:lineRule="auto"/>
        <w:ind w:right="3"/>
        <w:jc w:val="both"/>
        <w:outlineLvl w:val="0"/>
        <w:rPr>
          <w:rFonts w:ascii="Times New Roman" w:eastAsia="Tahoma" w:hAnsi="Times New Roman" w:cs="Times New Roman"/>
          <w:b/>
          <w:bCs/>
          <w:sz w:val="24"/>
          <w:szCs w:val="24"/>
        </w:rPr>
      </w:pPr>
      <w:r w:rsidRPr="007A27A5">
        <w:rPr>
          <w:rFonts w:ascii="Times New Roman" w:eastAsia="Tahoma" w:hAnsi="Times New Roman" w:cs="Times New Roman"/>
          <w:b/>
          <w:bCs/>
          <w:sz w:val="24"/>
          <w:szCs w:val="24"/>
        </w:rPr>
        <w:t>PROYECTO DE DECRETO</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b/>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ARTÍCULO ÚNICO. – Se reforma el artículo 4 de la Ley de Vivienda Del Estado De México.</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b/>
          <w:sz w:val="24"/>
          <w:szCs w:val="24"/>
        </w:rPr>
      </w:pPr>
    </w:p>
    <w:p w:rsidR="00CB18C4" w:rsidRPr="007A27A5" w:rsidRDefault="00CB18C4" w:rsidP="00CB18C4">
      <w:pPr>
        <w:widowControl w:val="0"/>
        <w:autoSpaceDE w:val="0"/>
        <w:autoSpaceDN w:val="0"/>
        <w:spacing w:after="0" w:line="240" w:lineRule="auto"/>
        <w:ind w:right="3"/>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Artículo 4.- Las disposiciones de esta Ley deberán aplicarse bajo principios de equidad e inclusión social, de manera tal que toda persona que reside en el Estado de México, sin importar su origen étnico, género, edad, discapacidades, condición social o económica, condiciones de salud, la religión, las opiniones, </w:t>
      </w:r>
      <w:r w:rsidRPr="007A27A5">
        <w:rPr>
          <w:rFonts w:ascii="Times New Roman" w:eastAsia="Verdana" w:hAnsi="Times New Roman" w:cs="Times New Roman"/>
          <w:b/>
          <w:sz w:val="24"/>
          <w:szCs w:val="24"/>
        </w:rPr>
        <w:t xml:space="preserve">orientación sexual, identidad de género, o expresión de género, </w:t>
      </w:r>
      <w:r w:rsidRPr="007A27A5">
        <w:rPr>
          <w:rFonts w:ascii="Times New Roman" w:eastAsia="Verdana" w:hAnsi="Times New Roman" w:cs="Times New Roman"/>
          <w:strike/>
          <w:sz w:val="24"/>
          <w:szCs w:val="24"/>
        </w:rPr>
        <w:t>o el</w:t>
      </w:r>
      <w:r w:rsidRPr="007A27A5">
        <w:rPr>
          <w:rFonts w:ascii="Times New Roman" w:eastAsia="Verdana" w:hAnsi="Times New Roman" w:cs="Times New Roman"/>
          <w:sz w:val="24"/>
          <w:szCs w:val="24"/>
        </w:rPr>
        <w:t xml:space="preserve"> estado civil, </w:t>
      </w:r>
      <w:r w:rsidRPr="007A27A5">
        <w:rPr>
          <w:rFonts w:ascii="Times New Roman" w:eastAsia="Verdana" w:hAnsi="Times New Roman" w:cs="Times New Roman"/>
          <w:b/>
          <w:sz w:val="24"/>
          <w:szCs w:val="24"/>
        </w:rPr>
        <w:t xml:space="preserve">forma de convivencia o composición familiar, incluyendo la cohabitación con infancias y con seres sintientes, </w:t>
      </w:r>
      <w:r w:rsidRPr="007A27A5">
        <w:rPr>
          <w:rFonts w:ascii="Times New Roman" w:eastAsia="Verdana" w:hAnsi="Times New Roman" w:cs="Times New Roman"/>
          <w:sz w:val="24"/>
          <w:szCs w:val="24"/>
        </w:rPr>
        <w:t>pueda ejercer su derecho constitucional a una vivienda digna y decorosa.</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jc w:val="center"/>
        <w:outlineLvl w:val="0"/>
        <w:rPr>
          <w:rFonts w:ascii="Times New Roman" w:eastAsia="Tahoma" w:hAnsi="Times New Roman" w:cs="Times New Roman"/>
          <w:b/>
          <w:bCs/>
          <w:sz w:val="24"/>
          <w:szCs w:val="24"/>
        </w:rPr>
      </w:pPr>
      <w:r w:rsidRPr="007A27A5">
        <w:rPr>
          <w:rFonts w:ascii="Times New Roman" w:eastAsia="Tahoma" w:hAnsi="Times New Roman" w:cs="Times New Roman"/>
          <w:b/>
          <w:bCs/>
          <w:sz w:val="24"/>
          <w:szCs w:val="24"/>
        </w:rPr>
        <w:t>TRANSITORIOS</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b/>
          <w:sz w:val="24"/>
          <w:szCs w:val="24"/>
        </w:rPr>
      </w:pP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r w:rsidRPr="007A27A5">
        <w:rPr>
          <w:rFonts w:ascii="Times New Roman" w:eastAsia="Verdana" w:hAnsi="Times New Roman" w:cs="Times New Roman"/>
          <w:b/>
          <w:sz w:val="24"/>
          <w:szCs w:val="24"/>
        </w:rPr>
        <w:t xml:space="preserve">ARTÍCULO PRIMERO. – </w:t>
      </w:r>
      <w:r w:rsidRPr="007A27A5">
        <w:rPr>
          <w:rFonts w:ascii="Times New Roman" w:eastAsia="Verdana" w:hAnsi="Times New Roman" w:cs="Times New Roman"/>
          <w:sz w:val="24"/>
          <w:szCs w:val="24"/>
        </w:rPr>
        <w:t>Publíquese el presente Decreto en el Periódico Oficial “Gaceta de Gobierno del Estado de México”</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r w:rsidRPr="007A27A5">
        <w:rPr>
          <w:rFonts w:ascii="Times New Roman" w:eastAsia="Verdana" w:hAnsi="Times New Roman" w:cs="Times New Roman"/>
          <w:b/>
          <w:sz w:val="24"/>
          <w:szCs w:val="24"/>
        </w:rPr>
        <w:t>ARTÍCULO SEGUNDO. -</w:t>
      </w:r>
      <w:r w:rsidRPr="007A27A5">
        <w:rPr>
          <w:rFonts w:ascii="Times New Roman" w:eastAsia="Verdana" w:hAnsi="Times New Roman" w:cs="Times New Roman"/>
          <w:sz w:val="24"/>
          <w:szCs w:val="24"/>
        </w:rPr>
        <w:t>El presente decreto entrará en vigor el día siguiente de su publicación en el Periódico Oficial “Gaceta del Gobierno” del Estado de México.</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r w:rsidRPr="007A27A5">
        <w:rPr>
          <w:rFonts w:ascii="Times New Roman" w:eastAsia="Verdana" w:hAnsi="Times New Roman" w:cs="Times New Roman"/>
          <w:b/>
          <w:sz w:val="24"/>
          <w:szCs w:val="24"/>
        </w:rPr>
        <w:t>ARTÍCULO TERCERO. -</w:t>
      </w:r>
      <w:r w:rsidRPr="007A27A5">
        <w:rPr>
          <w:rFonts w:ascii="Times New Roman" w:eastAsia="Verdana" w:hAnsi="Times New Roman" w:cs="Times New Roman"/>
          <w:sz w:val="24"/>
          <w:szCs w:val="24"/>
        </w:rPr>
        <w:t>Lo tendrá entendido la Gobernadora del Estado de México, haciendo que se publique y se cumpla.</w:t>
      </w: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sz w:val="24"/>
          <w:szCs w:val="24"/>
        </w:rPr>
      </w:pPr>
    </w:p>
    <w:p w:rsidR="00CB18C4" w:rsidRPr="007A27A5" w:rsidRDefault="00CB18C4" w:rsidP="00CB18C4">
      <w:pPr>
        <w:widowControl w:val="0"/>
        <w:autoSpaceDE w:val="0"/>
        <w:autoSpaceDN w:val="0"/>
        <w:spacing w:after="0" w:line="240" w:lineRule="auto"/>
        <w:ind w:right="3"/>
        <w:rPr>
          <w:rFonts w:ascii="Times New Roman" w:eastAsia="Verdana" w:hAnsi="Times New Roman" w:cs="Times New Roman"/>
          <w:i/>
          <w:sz w:val="24"/>
          <w:szCs w:val="24"/>
        </w:rPr>
      </w:pPr>
      <w:r w:rsidRPr="007A27A5">
        <w:rPr>
          <w:rFonts w:ascii="Times New Roman" w:eastAsia="Verdana" w:hAnsi="Times New Roman" w:cs="Times New Roman"/>
          <w:i/>
          <w:sz w:val="24"/>
          <w:szCs w:val="24"/>
        </w:rPr>
        <w:t>Dado en el Recinto del Poder Legislativo, Capital del Estado de México, a los 12 días del mes de noviembre del año dos mil veinticinco.</w:t>
      </w:r>
    </w:p>
    <w:p w:rsidR="00CB18C4" w:rsidRPr="007A27A5" w:rsidRDefault="00CB18C4" w:rsidP="00DC676A">
      <w:pPr>
        <w:spacing w:after="0" w:line="240" w:lineRule="auto"/>
        <w:jc w:val="center"/>
        <w:rPr>
          <w:rFonts w:ascii="Times New Roman" w:hAnsi="Times New Roman"/>
          <w:sz w:val="24"/>
          <w:szCs w:val="24"/>
        </w:rPr>
      </w:pPr>
    </w:p>
    <w:p w:rsidR="00CB18C4" w:rsidRPr="007A27A5" w:rsidRDefault="00CB18C4" w:rsidP="00DC676A">
      <w:pPr>
        <w:spacing w:after="0" w:line="240" w:lineRule="auto"/>
        <w:jc w:val="center"/>
        <w:rPr>
          <w:rFonts w:ascii="Times New Roman" w:hAnsi="Times New Roman"/>
          <w:i/>
          <w:sz w:val="24"/>
          <w:szCs w:val="24"/>
        </w:rPr>
      </w:pPr>
      <w:r w:rsidRPr="007A27A5">
        <w:rPr>
          <w:rFonts w:ascii="Times New Roman" w:hAnsi="Times New Roman"/>
          <w:i/>
          <w:sz w:val="24"/>
          <w:szCs w:val="24"/>
        </w:rPr>
        <w:t>(Fin del documento)</w:t>
      </w:r>
    </w:p>
    <w:p w:rsidR="00CB18C4" w:rsidRPr="007A27A5" w:rsidRDefault="00CB18C4" w:rsidP="00DC676A">
      <w:pPr>
        <w:spacing w:after="0" w:line="240" w:lineRule="auto"/>
        <w:jc w:val="center"/>
        <w:rPr>
          <w:rFonts w:ascii="Times New Roman" w:hAnsi="Times New Roman"/>
          <w:sz w:val="24"/>
          <w:szCs w:val="24"/>
        </w:rPr>
      </w:pPr>
    </w:p>
    <w:p w:rsidR="007C2166" w:rsidRPr="007A27A5" w:rsidRDefault="007C2166" w:rsidP="007C2166">
      <w:pPr>
        <w:pStyle w:val="Sinespaciado"/>
        <w:rPr>
          <w:rFonts w:eastAsia="Times New Roman"/>
          <w:lang w:eastAsia="es-MX"/>
        </w:rPr>
      </w:pPr>
      <w:r w:rsidRPr="007A27A5">
        <w:rPr>
          <w:rFonts w:eastAsia="Times New Roman"/>
          <w:lang w:eastAsia="es-MX"/>
        </w:rPr>
        <w:t>PRESIDENTA DIP. MARTHA AZUCENA CAMACHO REYNOSO. Gracias diputade Luisa Esmeralda Navarro Hernández.</w:t>
      </w:r>
    </w:p>
    <w:p w:rsidR="007C2166" w:rsidRPr="007A27A5" w:rsidRDefault="007C2166" w:rsidP="00975CA7">
      <w:pPr>
        <w:pStyle w:val="Sinespaciado"/>
        <w:ind w:firstLine="709"/>
        <w:rPr>
          <w:rFonts w:eastAsia="Times New Roman"/>
          <w:lang w:eastAsia="es-MX"/>
        </w:rPr>
      </w:pPr>
      <w:r w:rsidRPr="007A27A5">
        <w:rPr>
          <w:rFonts w:eastAsia="Times New Roman"/>
          <w:lang w:eastAsia="es-MX"/>
        </w:rPr>
        <w:t>Se registra la iniciativa y se remite a la Comisión Legislativa de Desarrollo Urbano para su estudio y dictamen.</w:t>
      </w:r>
    </w:p>
    <w:p w:rsidR="007C2166" w:rsidRPr="007A27A5" w:rsidRDefault="007C2166" w:rsidP="00975CA7">
      <w:pPr>
        <w:pStyle w:val="Sinespaciado"/>
        <w:ind w:firstLine="709"/>
        <w:rPr>
          <w:rFonts w:eastAsia="Times New Roman"/>
          <w:lang w:eastAsia="es-MX"/>
        </w:rPr>
      </w:pPr>
      <w:r w:rsidRPr="007A27A5">
        <w:rPr>
          <w:rFonts w:eastAsia="Times New Roman"/>
          <w:lang w:eastAsia="es-MX"/>
        </w:rPr>
        <w:t>En cuanto al punto número 10, la diputada Itzel Daniela Ballesteros Lule presenta en nombre del Grupo Parlamentario del Partido morena, iniciativa con proyecto de decreto por el que se reforma el párrafo primero de la fracción II y su inciso del artículo 26 de la Ley de la Juventud del Estado de México en materia de la integración del Consejo Estatal de la Juventud.</w:t>
      </w:r>
    </w:p>
    <w:p w:rsidR="007C2166" w:rsidRPr="007A27A5" w:rsidRDefault="007C2166" w:rsidP="007C2166">
      <w:pPr>
        <w:pStyle w:val="Sinespaciado"/>
      </w:pPr>
      <w:r w:rsidRPr="007A27A5">
        <w:rPr>
          <w:rFonts w:eastAsia="Times New Roman"/>
          <w:lang w:eastAsia="es-MX"/>
        </w:rPr>
        <w:t xml:space="preserve">DIP. ITZEL DANIELA BALLESTEROS LULE. </w:t>
      </w:r>
      <w:r w:rsidRPr="007A27A5">
        <w:t>Muchas gracias Presidenta.</w:t>
      </w:r>
    </w:p>
    <w:p w:rsidR="007C2166" w:rsidRPr="007A27A5" w:rsidRDefault="00537CBA" w:rsidP="00537CBA">
      <w:pPr>
        <w:pStyle w:val="Sinespaciado"/>
        <w:ind w:firstLine="709"/>
      </w:pPr>
      <w:r w:rsidRPr="007A27A5">
        <w:lastRenderedPageBreak/>
        <w:t xml:space="preserve">Con </w:t>
      </w:r>
      <w:r w:rsidR="007C2166" w:rsidRPr="007A27A5">
        <w:t xml:space="preserve">la venia de la Presidenta de la Mesa Directiva. Saludo con agrado a mis compañeras, </w:t>
      </w:r>
      <w:proofErr w:type="spellStart"/>
      <w:r w:rsidR="007C2166" w:rsidRPr="007A27A5">
        <w:t>compañere</w:t>
      </w:r>
      <w:proofErr w:type="spellEnd"/>
      <w:r w:rsidR="007C2166" w:rsidRPr="007A27A5">
        <w:t xml:space="preserve">, compañeros diputados, a las juventudes mexiquenses, a los medios de comunicación y al público en general que nos sintonizan por las diferentes plataformas digitales. </w:t>
      </w:r>
    </w:p>
    <w:p w:rsidR="007C2166" w:rsidRPr="007A27A5" w:rsidRDefault="007C2166" w:rsidP="00537CBA">
      <w:pPr>
        <w:pStyle w:val="Sinespaciado"/>
        <w:ind w:firstLine="709"/>
      </w:pPr>
      <w:r w:rsidRPr="007A27A5">
        <w:t xml:space="preserve">Hablar de la juventud mexiquense es hablar del presente y del futuro de nuestro Estado de México, es hablar del relevo generacional, del talento, del compromiso social y del progreso; pero también es reconocer que durante muchos años los espacios de participación para las y los jóvenes han sido muy limitados y que aún hoy, su voz no siempre encuentra los canales adecuados para incidir en las decisiones públicas. </w:t>
      </w:r>
    </w:p>
    <w:p w:rsidR="007C2166" w:rsidRPr="007A27A5" w:rsidRDefault="007C2166" w:rsidP="00537CBA">
      <w:pPr>
        <w:pStyle w:val="Sinespaciado"/>
        <w:ind w:firstLine="709"/>
      </w:pPr>
      <w:r w:rsidRPr="007A27A5">
        <w:t>En el Estado de México, más del 30% de la población está conformada por jóvenes, somos millones de personas que estudiamos, trabajamos, emprendemos, cuidamos de nuestras familias y participamos en nuestras comunidades; sin embargo, cuando se trata de diseñar políticas públicas o de tomar decisiones que nos afectan directamente, nuestra representación todavía es insuficiente.</w:t>
      </w:r>
    </w:p>
    <w:p w:rsidR="007C2166" w:rsidRPr="007A27A5" w:rsidRDefault="007C2166" w:rsidP="00537CBA">
      <w:pPr>
        <w:pStyle w:val="Sinespaciado"/>
        <w:ind w:firstLine="709"/>
      </w:pPr>
      <w:r w:rsidRPr="007A27A5">
        <w:t>La Ley de la Juventud del Estado de México, reconoce la existencia del Consejo Estatal de la Juventud, un órgano que tiene la importante misión de asesorar, proponer y de acompañar a las estrategias del Instituto Mexiquense de la Juventud; pero actualmente la representación de las y los jóvenes en el Consejo, es mínima y con ello, también lo son las posibilidades de que nuestras diversas realidades, territorios y causas sean escuchadas.</w:t>
      </w:r>
    </w:p>
    <w:p w:rsidR="007C2166" w:rsidRPr="007A27A5" w:rsidRDefault="007C2166" w:rsidP="00537CBA">
      <w:pPr>
        <w:pStyle w:val="Sinespaciado"/>
        <w:ind w:firstLine="709"/>
      </w:pPr>
      <w:r w:rsidRPr="007A27A5">
        <w:t>Por esa razón, hoy presento ante esta Honorable Soberanía una iniciativa con proyecto de decreto que propone aumentar el número de jóvenes representantes de la sociedad civil dentro del Consejo Estatal de la Juventud, pasando de 3 a 5 vocales, esta modificación busca garantizar una mayor diversidad de voces, de regiones y de perspectivas dentro del órgano colegiado, encargado de construir las políticas públicas para nuestra juventud.</w:t>
      </w:r>
    </w:p>
    <w:p w:rsidR="007C2166" w:rsidRPr="007A27A5" w:rsidRDefault="007C2166" w:rsidP="007C2166">
      <w:pPr>
        <w:pStyle w:val="Sinespaciado"/>
      </w:pPr>
      <w:r w:rsidRPr="007A27A5">
        <w:tab/>
        <w:t>Esta Reforma, se suma a los esfuerzos del Gobierno del Estado de México encabezada por la Gobernadora, la Maestra Delfina Gómez Álvarez, quien ha situado a las juventudes como un pilar del Plan de Desarrollo 2023-2029; además, su administración ha impulsado la construcción del Plan para el Desarrollo de las juventudes, mediante foros en los que más de 4 mil 200 jóvenes, participaron y propusieron más de 6 mil ideas reales para el Estado, que también son acciones como éstas que demuestran que el compromiso genuino para abrir más espacios da oportunidad, formación y representación para nuestra juventud.</w:t>
      </w:r>
    </w:p>
    <w:p w:rsidR="007C2166" w:rsidRPr="007A27A5" w:rsidRDefault="007C2166" w:rsidP="007C2166">
      <w:pPr>
        <w:pStyle w:val="Sinespaciado"/>
      </w:pPr>
      <w:r w:rsidRPr="007A27A5">
        <w:tab/>
        <w:t>Desde el Grupo Parlamentario de morena, creemos que la participación juvenil es uno de los pilares del desarrollo democrático y lo creemos, no solamente como discurso; sino como una práctica.</w:t>
      </w:r>
    </w:p>
    <w:p w:rsidR="007C2166" w:rsidRPr="007A27A5" w:rsidRDefault="007C2166" w:rsidP="007C2166">
      <w:pPr>
        <w:pStyle w:val="Sinespaciado"/>
      </w:pPr>
      <w:r w:rsidRPr="007A27A5">
        <w:tab/>
        <w:t xml:space="preserve">Compañeras, </w:t>
      </w:r>
      <w:proofErr w:type="spellStart"/>
      <w:r w:rsidRPr="007A27A5">
        <w:t>compañere</w:t>
      </w:r>
      <w:proofErr w:type="spellEnd"/>
      <w:r w:rsidRPr="007A27A5">
        <w:t xml:space="preserve"> y compañeros, esta iniciativa busca abrir la puerta a una democracia más incluyente, donde la juventud no sea espectadora; sino protagonista, porque cuando los jóvenes participan, el futuro se construye.</w:t>
      </w:r>
    </w:p>
    <w:p w:rsidR="007C2166" w:rsidRPr="007A27A5" w:rsidRDefault="007C2166" w:rsidP="007C2166">
      <w:pPr>
        <w:pStyle w:val="Sinespaciado"/>
      </w:pPr>
      <w:r w:rsidRPr="007A27A5">
        <w:tab/>
        <w:t>Es por ello que los invito a respaldar esta propuesta, a fortalecer la participación de las y los jóvenes mexiquenses y a seguir construyendo desde este Congreso, un Estado de México que escuche, que acompañe y que confíe en su juventud.</w:t>
      </w:r>
    </w:p>
    <w:p w:rsidR="007C2166" w:rsidRPr="007A27A5" w:rsidRDefault="007C2166" w:rsidP="007C2166">
      <w:pPr>
        <w:pStyle w:val="Sinespaciado"/>
      </w:pPr>
      <w:r w:rsidRPr="007A27A5">
        <w:tab/>
        <w:t>Presidenta, solicito respetuosamente que la presente iniciativa se inserte de manera íntegra en el Diario de los Debates y en la Gaceta Parlamentaria.</w:t>
      </w:r>
    </w:p>
    <w:p w:rsidR="007C2166" w:rsidRPr="007A27A5" w:rsidRDefault="007C2166" w:rsidP="007C2166">
      <w:pPr>
        <w:pStyle w:val="Sinespaciado"/>
      </w:pPr>
      <w:r w:rsidRPr="007A27A5">
        <w:tab/>
        <w:t>Es cuanto, gracias.</w:t>
      </w:r>
    </w:p>
    <w:p w:rsidR="0013313E" w:rsidRPr="007A27A5" w:rsidRDefault="0013313E" w:rsidP="00E91D80">
      <w:pPr>
        <w:pStyle w:val="Sinespaciado"/>
      </w:pPr>
    </w:p>
    <w:p w:rsidR="0013313E" w:rsidRPr="007A27A5" w:rsidRDefault="0013313E" w:rsidP="00E91D80">
      <w:pPr>
        <w:spacing w:after="0" w:line="240" w:lineRule="auto"/>
        <w:jc w:val="center"/>
        <w:rPr>
          <w:rFonts w:ascii="Times New Roman" w:hAnsi="Times New Roman"/>
          <w:i/>
          <w:sz w:val="24"/>
          <w:szCs w:val="24"/>
        </w:rPr>
      </w:pPr>
      <w:r w:rsidRPr="007A27A5">
        <w:rPr>
          <w:rFonts w:ascii="Times New Roman" w:hAnsi="Times New Roman"/>
          <w:i/>
          <w:sz w:val="24"/>
          <w:szCs w:val="24"/>
        </w:rPr>
        <w:t>(Se inserta documento)</w:t>
      </w:r>
    </w:p>
    <w:p w:rsidR="0013313E" w:rsidRPr="007A27A5" w:rsidRDefault="0013313E" w:rsidP="00E91D80">
      <w:pPr>
        <w:spacing w:after="0" w:line="240" w:lineRule="auto"/>
        <w:jc w:val="center"/>
        <w:rPr>
          <w:rFonts w:ascii="Times New Roman" w:hAnsi="Times New Roman"/>
          <w:sz w:val="24"/>
          <w:szCs w:val="24"/>
        </w:rPr>
      </w:pPr>
    </w:p>
    <w:p w:rsidR="00E91D80" w:rsidRPr="007A27A5" w:rsidRDefault="00E91D80" w:rsidP="00E91D80">
      <w:pPr>
        <w:widowControl w:val="0"/>
        <w:autoSpaceDE w:val="0"/>
        <w:autoSpaceDN w:val="0"/>
        <w:spacing w:after="0" w:line="240" w:lineRule="auto"/>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Dip. Daniela Ballesteros Lule</w:t>
      </w:r>
    </w:p>
    <w:p w:rsidR="00E91D80" w:rsidRPr="007A27A5" w:rsidRDefault="00E91D80" w:rsidP="00E91D80">
      <w:pPr>
        <w:widowControl w:val="0"/>
        <w:autoSpaceDE w:val="0"/>
        <w:autoSpaceDN w:val="0"/>
        <w:spacing w:after="0" w:line="240" w:lineRule="auto"/>
        <w:jc w:val="center"/>
        <w:rPr>
          <w:rFonts w:ascii="Times New Roman" w:eastAsia="Verdana" w:hAnsi="Times New Roman" w:cs="Times New Roman"/>
          <w:sz w:val="24"/>
          <w:szCs w:val="24"/>
        </w:rPr>
      </w:pPr>
      <w:r w:rsidRPr="007A27A5">
        <w:rPr>
          <w:rFonts w:ascii="Times New Roman" w:eastAsia="Verdana" w:hAnsi="Times New Roman" w:cs="Times New Roman"/>
          <w:b/>
          <w:sz w:val="24"/>
          <w:szCs w:val="24"/>
        </w:rPr>
        <w:t>Distrito XIX, Tultepec - Grupo Parlamentario morena</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right"/>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Toluca de Lerdo, Estado de México a </w:t>
      </w:r>
      <w:r w:rsidRPr="007A27A5">
        <w:rPr>
          <w:rFonts w:ascii="Times New Roman" w:eastAsia="Verdana" w:hAnsi="Times New Roman" w:cs="Times New Roman"/>
          <w:sz w:val="24"/>
          <w:szCs w:val="24"/>
          <w:u w:val="single"/>
        </w:rPr>
        <w:tab/>
      </w:r>
      <w:r w:rsidRPr="007A27A5">
        <w:rPr>
          <w:rFonts w:ascii="Times New Roman" w:eastAsia="Verdana" w:hAnsi="Times New Roman" w:cs="Times New Roman"/>
          <w:sz w:val="24"/>
          <w:szCs w:val="24"/>
        </w:rPr>
        <w:t>de septiembre de 2025</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lastRenderedPageBreak/>
        <w:t>DIP. MARTHA AZUCENA CAMACHO REYNOSO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PRESIDENTA DE LA MESA DIRECTIVA</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DE LA H. “LXII LEGISLATURA”</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DEL ESTADO LIBRE Y SOBERANO DE MÉXICO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P R E S E N T E</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Con fundamento en los artículos 51 fracción II, 57 y 61 fracción I, de la Constitución Política del Estado Libre y Soberano de México y 28 fracción I, 79 y 81 de la Ley Orgánica del Poder Legislativo del Estado Libre y Soberano de México, la que suscribe, Diputada Itzel Daniela Ballesteros Lule, integrante del Grupo Parlamentario del Partido Morena, someto a la consideración de esta H. Legislatura, </w:t>
      </w:r>
      <w:r w:rsidRPr="007A27A5">
        <w:rPr>
          <w:rFonts w:ascii="Times New Roman" w:eastAsia="Verdana" w:hAnsi="Times New Roman" w:cs="Times New Roman"/>
          <w:b/>
          <w:sz w:val="24"/>
          <w:szCs w:val="24"/>
        </w:rPr>
        <w:t xml:space="preserve">Iniciativa con proyecto de Decreto por el que se reforma el párrafo primero de la fracción II y su inciso m) del artículo 26 de la Ley de la Juventud del Estado de México, </w:t>
      </w:r>
      <w:r w:rsidRPr="007A27A5">
        <w:rPr>
          <w:rFonts w:ascii="Times New Roman" w:eastAsia="Verdana" w:hAnsi="Times New Roman" w:cs="Times New Roman"/>
          <w:sz w:val="24"/>
          <w:szCs w:val="24"/>
        </w:rPr>
        <w:t>de conformidad con la siguiente:</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EXPOSICIÓN DE MOTIVOS</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La juventud es una etapa crucial en el desarrollo de las personas, caracterizada por la transición entre la niñez y la adultez. Según datos del Censo de Población y Vivienda 2020 del Instituto Nacional de Estadística y Geografía (INEGI), en México residen aproximadamente 37.7 millones de personas jóvenes (de 12 a 29 años), lo que equivale al 30% de la población total del país.</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En el Estado de México, la población joven también constituye una proporción significativa. De acuerdo con el Consejo Estatal de Población (COESPO), en 2010 habitaban en la entidad 4,908,743 jóvenes, representando el 32.3% de la población total.</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La participación de los jóvenes en la vida económica es notable. En el primer trimestre de 2024, en México, 54 de cada 100 personas entre 15 y 29 años eran económicamente activas. Sin embargo, su involucramiento en procesos políticos y de toma de decisiones aún enfrenta desafíos. La Encuesta Nacional de Cultura Cívica (ENCUCI) 2020 del INEGI revela que la participación ciudadana de los jóvenes en actividades políticas y comunitarias es limitada, lo que refleja una necesidad de fomentar su integración en estos ámbitos.</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La inclusión de los jóvenes en el diseño y ejecución de políticas públicas es esencial para garantizar que sus necesidades y perspectivas sean consideradas. La Estrategia de las Naciones Unidas para la Juventud enfatiza la importancia de colaborar con los jóvenes en la formulación de políticas que les afectan directamente, promoviendo su desarrollo pleno y su contribución activa a la sociedad.</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En este sentido, es pertinente reforzar la representación juvenil en órganos consultivos y de decisión, como el Consejo Estatal de la Juventud del Instituto Mexiquense de la Juventud. Incrementar el número de jóvenes representantes de la sociedad civil en dicho consejo permitirá una mayor diversidad de voces y perspectivas en la elaboración de estrategias y programas dirigidos a este sector de la población.</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Por lo tanto, se propone reformar el artículo 26 de la Ley de la Juventud del Estado de México para aumentar la representación de jóvenes en el Consejo Estatal de la Juventud, asegurando que su participación sea efectiva y refleje la diversidad de la juventud mexiquense. Esta reforma busca fortalecer la inclusión de los jóvenes en la toma de decisiones que les conciernen, promoviendo su desarrollo integral y el bienestar de la sociedad en su conjunto.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lastRenderedPageBreak/>
        <w:t>Programas Gubernamentales para la Juventud en el Estado de México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El Estado de México ha implementado diversos programas para fomentar la participación y el desarrollo de los jóvenes:</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Jóvenes Construyendo el Futuro: Este programa federal ofrece a jóvenes de 18 a 29 años que no estudian ni trabajan la oportunidad de capacitarse en centros de trabajo, recibiendo una beca mensual y seguro médico. En su nueva etapa de registro, que inicia el 1 de abril de 2025, se ofrecerán 500,000 plazas adicionales, priorizando zonas con rezago social o alta incidencia delictiva.</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Descuento a estudiantes en el Sistema de Transporte Público Masivo: El gobierno del Estado de México implementó un programa que ofrece una tarifa preferencial del 30% para estudiantes en el </w:t>
      </w:r>
      <w:proofErr w:type="spellStart"/>
      <w:r w:rsidRPr="007A27A5">
        <w:rPr>
          <w:rFonts w:ascii="Times New Roman" w:eastAsia="Verdana" w:hAnsi="Times New Roman" w:cs="Times New Roman"/>
          <w:sz w:val="24"/>
          <w:szCs w:val="24"/>
        </w:rPr>
        <w:t>Mexicable</w:t>
      </w:r>
      <w:proofErr w:type="spellEnd"/>
      <w:r w:rsidRPr="007A27A5">
        <w:rPr>
          <w:rFonts w:ascii="Times New Roman" w:eastAsia="Verdana" w:hAnsi="Times New Roman" w:cs="Times New Roman"/>
          <w:sz w:val="24"/>
          <w:szCs w:val="24"/>
        </w:rPr>
        <w:t>, reduciendo la tarifa de nueve a seis pesos. Este descuento beneficia a estudiantes de secundaria, media superior y superior en escuelas públicas que residan en el Estado de México y cursen estudios de manera presencial.</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Estos programas reflejan el compromiso del Estado de México y del gobierno federal en promover el desarrollo integral de la juventud, facilitando su acceso a oportunidades educativas, laborales y de movilidad. La reforma propuesta al artículo 26 de la Ley de la Juventud del Estado de México busca complementar estos esfuerzos, asegurando que los jóvenes tengan una representación efectiva en la toma de decisiones que les afectan directamente, fortaleciendo así su participación en la construcción de políticas públicas que promuevan su bienestar y desarrollo.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Por lo anteriormente expuesto se somete a la consideración de esta Honorable Soberanía la presente Iniciativa con proyecto de decreto por el que </w:t>
      </w:r>
      <w:r w:rsidRPr="007A27A5">
        <w:rPr>
          <w:rFonts w:ascii="Times New Roman" w:eastAsia="Verdana" w:hAnsi="Times New Roman" w:cs="Times New Roman"/>
          <w:b/>
          <w:sz w:val="24"/>
          <w:szCs w:val="24"/>
        </w:rPr>
        <w:t>se reforma el párrafo primero de la fracción II y su inciso m) del artículo 26 de la Ley de la Juventud del Estado de México</w:t>
      </w:r>
      <w:r w:rsidRPr="007A27A5">
        <w:rPr>
          <w:rFonts w:ascii="Times New Roman" w:eastAsia="Verdana" w:hAnsi="Times New Roman" w:cs="Times New Roman"/>
          <w:sz w:val="24"/>
          <w:szCs w:val="24"/>
        </w:rPr>
        <w:t>, para que de considerarlo pertinente se apruebe en sus términos.</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ATENTAMENTE</w:t>
      </w:r>
    </w:p>
    <w:p w:rsidR="00E91D80" w:rsidRPr="007A27A5" w:rsidRDefault="00E91D80" w:rsidP="00E91D80">
      <w:pPr>
        <w:widowControl w:val="0"/>
        <w:autoSpaceDE w:val="0"/>
        <w:autoSpaceDN w:val="0"/>
        <w:spacing w:after="0" w:line="240" w:lineRule="auto"/>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DIPUTADA ITZEL DANIELA BALLESTEROS LULE</w:t>
      </w:r>
    </w:p>
    <w:p w:rsidR="00E91D80" w:rsidRPr="007A27A5" w:rsidRDefault="00E91D80" w:rsidP="00E91D80">
      <w:pPr>
        <w:widowControl w:val="0"/>
        <w:autoSpaceDE w:val="0"/>
        <w:autoSpaceDN w:val="0"/>
        <w:spacing w:after="0" w:line="240" w:lineRule="auto"/>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GRUPO PARLAMENTARIO DEL PARTIDO MORENA</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 xml:space="preserve">DECRETO NÚMERO: </w:t>
      </w:r>
      <w:r w:rsidRPr="007A27A5">
        <w:rPr>
          <w:rFonts w:ascii="Times New Roman" w:eastAsia="Verdana" w:hAnsi="Times New Roman" w:cs="Times New Roman"/>
          <w:b/>
          <w:sz w:val="24"/>
          <w:szCs w:val="24"/>
          <w:u w:val="thick"/>
        </w:rPr>
        <w:tab/>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LA H. “LXII” LEGISLATURA DEL ESTADO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LIBRE Y SOBERANO DE MÉXICO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r w:rsidRPr="007A27A5">
        <w:rPr>
          <w:rFonts w:ascii="Times New Roman" w:eastAsia="Verdana" w:hAnsi="Times New Roman" w:cs="Times New Roman"/>
          <w:b/>
          <w:sz w:val="24"/>
          <w:szCs w:val="24"/>
        </w:rPr>
        <w:t>DECRETA:</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b/>
          <w:sz w:val="24"/>
          <w:szCs w:val="24"/>
        </w:rPr>
        <w:t xml:space="preserve">ARTÍCULO ÚNICO. – </w:t>
      </w:r>
      <w:r w:rsidRPr="007A27A5">
        <w:rPr>
          <w:rFonts w:ascii="Times New Roman" w:eastAsia="Verdana" w:hAnsi="Times New Roman" w:cs="Times New Roman"/>
          <w:sz w:val="24"/>
          <w:szCs w:val="24"/>
        </w:rPr>
        <w:t>Se reforma el párrafo primero de la fracción II y su inciso m) del artículo 26 de la Ley de la Juventud del Estado de México, para quedar como sigue:</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Artículo 26.- … </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I.-…</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II.- </w:t>
      </w:r>
      <w:r w:rsidRPr="007A27A5">
        <w:rPr>
          <w:rFonts w:ascii="Times New Roman" w:eastAsia="Verdana" w:hAnsi="Times New Roman" w:cs="Times New Roman"/>
          <w:b/>
          <w:sz w:val="24"/>
          <w:szCs w:val="24"/>
        </w:rPr>
        <w:t xml:space="preserve">Las personas </w:t>
      </w:r>
      <w:r w:rsidRPr="007A27A5">
        <w:rPr>
          <w:rFonts w:ascii="Times New Roman" w:eastAsia="Verdana" w:hAnsi="Times New Roman" w:cs="Times New Roman"/>
          <w:sz w:val="24"/>
          <w:szCs w:val="24"/>
        </w:rPr>
        <w:t>vocales que serán</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a) a l) …</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lastRenderedPageBreak/>
        <w:t xml:space="preserve">m) </w:t>
      </w:r>
      <w:r w:rsidRPr="007A27A5">
        <w:rPr>
          <w:rFonts w:ascii="Times New Roman" w:eastAsia="Verdana" w:hAnsi="Times New Roman" w:cs="Times New Roman"/>
          <w:b/>
          <w:sz w:val="24"/>
          <w:szCs w:val="24"/>
        </w:rPr>
        <w:t xml:space="preserve">Cinco personas jóvenes mayores de edad </w:t>
      </w:r>
      <w:r w:rsidRPr="007A27A5">
        <w:rPr>
          <w:rFonts w:ascii="Times New Roman" w:eastAsia="Verdana" w:hAnsi="Times New Roman" w:cs="Times New Roman"/>
          <w:sz w:val="24"/>
          <w:szCs w:val="24"/>
        </w:rPr>
        <w:t xml:space="preserve">representantes de la sociedad civil, </w:t>
      </w:r>
      <w:r w:rsidRPr="007A27A5">
        <w:rPr>
          <w:rFonts w:ascii="Times New Roman" w:eastAsia="Verdana" w:hAnsi="Times New Roman" w:cs="Times New Roman"/>
          <w:b/>
          <w:sz w:val="24"/>
          <w:szCs w:val="24"/>
        </w:rPr>
        <w:t xml:space="preserve">propuestos preferentemente por organizaciones juveniles </w:t>
      </w:r>
      <w:r w:rsidRPr="007A27A5">
        <w:rPr>
          <w:rFonts w:ascii="Times New Roman" w:eastAsia="Verdana" w:hAnsi="Times New Roman" w:cs="Times New Roman"/>
          <w:sz w:val="24"/>
          <w:szCs w:val="24"/>
        </w:rPr>
        <w:t>cuyo objeto sea el desarrollo y apoyo de la juventud, electos de conformidad con los procedimientos y requisitos que estén determinados en el Reglamento de la presente Ley,</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III.-…</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center"/>
        <w:rPr>
          <w:rFonts w:ascii="Times New Roman" w:eastAsia="Verdana" w:hAnsi="Times New Roman" w:cs="Times New Roman"/>
          <w:b/>
          <w:sz w:val="24"/>
          <w:szCs w:val="24"/>
        </w:rPr>
      </w:pPr>
      <w:r w:rsidRPr="007A27A5">
        <w:rPr>
          <w:rFonts w:ascii="Times New Roman" w:eastAsia="Verdana" w:hAnsi="Times New Roman" w:cs="Times New Roman"/>
          <w:b/>
          <w:sz w:val="24"/>
          <w:szCs w:val="24"/>
        </w:rPr>
        <w:t>TRANSITORIOS</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b/>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b/>
          <w:sz w:val="24"/>
          <w:szCs w:val="24"/>
        </w:rPr>
        <w:t xml:space="preserve">PRIMERO. </w:t>
      </w:r>
      <w:r w:rsidRPr="007A27A5">
        <w:rPr>
          <w:rFonts w:ascii="Times New Roman" w:eastAsia="Verdana" w:hAnsi="Times New Roman" w:cs="Times New Roman"/>
          <w:sz w:val="24"/>
          <w:szCs w:val="24"/>
        </w:rPr>
        <w:t>Publíquese el presente Decreto en el Periódico Oficial “Gaceta del Gobierno”.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b/>
          <w:sz w:val="24"/>
          <w:szCs w:val="24"/>
        </w:rPr>
        <w:t xml:space="preserve">SEGUNDO. </w:t>
      </w:r>
      <w:r w:rsidRPr="007A27A5">
        <w:rPr>
          <w:rFonts w:ascii="Times New Roman" w:eastAsia="Verdana" w:hAnsi="Times New Roman" w:cs="Times New Roman"/>
          <w:sz w:val="24"/>
          <w:szCs w:val="24"/>
        </w:rPr>
        <w:t>El presente Decreto entrará en vigor al día siguiente de su publicación en el Periódico Oficial “Gaceta del Gobierno”.</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b/>
          <w:sz w:val="24"/>
          <w:szCs w:val="24"/>
        </w:rPr>
        <w:t xml:space="preserve">TERCERO. </w:t>
      </w:r>
      <w:r w:rsidRPr="007A27A5">
        <w:rPr>
          <w:rFonts w:ascii="Times New Roman" w:eastAsia="Verdana" w:hAnsi="Times New Roman" w:cs="Times New Roman"/>
          <w:sz w:val="24"/>
          <w:szCs w:val="24"/>
        </w:rPr>
        <w:t>El Ejecutivo Estatal realizará las modificaciones reglamentarias necesarias, para dar cumplimiento al presente Decreto, en un plazo no mayor a 120 días hábiles posteriores a su entrada en vigor.</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Lo tendrá entendido la Gobernadora del Estado, haciendo que se publique y cumpla.</w:t>
      </w: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p>
    <w:p w:rsidR="00E91D80" w:rsidRPr="007A27A5" w:rsidRDefault="00E91D80" w:rsidP="00E91D80">
      <w:pPr>
        <w:widowControl w:val="0"/>
        <w:autoSpaceDE w:val="0"/>
        <w:autoSpaceDN w:val="0"/>
        <w:spacing w:after="0" w:line="240" w:lineRule="auto"/>
        <w:jc w:val="both"/>
        <w:rPr>
          <w:rFonts w:ascii="Times New Roman" w:eastAsia="Verdana" w:hAnsi="Times New Roman" w:cs="Times New Roman"/>
          <w:sz w:val="24"/>
          <w:szCs w:val="24"/>
        </w:rPr>
      </w:pPr>
      <w:r w:rsidRPr="007A27A5">
        <w:rPr>
          <w:rFonts w:ascii="Times New Roman" w:eastAsia="Verdana" w:hAnsi="Times New Roman" w:cs="Times New Roman"/>
          <w:sz w:val="24"/>
          <w:szCs w:val="24"/>
        </w:rPr>
        <w:t xml:space="preserve">Dado en el Palacio del Poder Legislativo, en la Ciudad de Toluca de Lerdo, Capital del Estado de México, a los </w:t>
      </w:r>
      <w:r w:rsidRPr="007A27A5">
        <w:rPr>
          <w:rFonts w:ascii="Times New Roman" w:eastAsia="Verdana" w:hAnsi="Times New Roman" w:cs="Times New Roman"/>
          <w:sz w:val="24"/>
          <w:szCs w:val="24"/>
          <w:u w:val="single"/>
        </w:rPr>
        <w:tab/>
      </w:r>
      <w:r w:rsidRPr="007A27A5">
        <w:rPr>
          <w:rFonts w:ascii="Times New Roman" w:eastAsia="Verdana" w:hAnsi="Times New Roman" w:cs="Times New Roman"/>
          <w:sz w:val="24"/>
          <w:szCs w:val="24"/>
        </w:rPr>
        <w:t xml:space="preserve"> del mes de </w:t>
      </w:r>
      <w:r w:rsidRPr="007A27A5">
        <w:rPr>
          <w:rFonts w:ascii="Times New Roman" w:eastAsia="Verdana" w:hAnsi="Times New Roman" w:cs="Times New Roman"/>
          <w:sz w:val="24"/>
          <w:szCs w:val="24"/>
          <w:u w:val="single"/>
        </w:rPr>
        <w:tab/>
      </w:r>
      <w:r w:rsidRPr="007A27A5">
        <w:rPr>
          <w:rFonts w:ascii="Times New Roman" w:eastAsia="Verdana" w:hAnsi="Times New Roman" w:cs="Times New Roman"/>
          <w:sz w:val="24"/>
          <w:szCs w:val="24"/>
        </w:rPr>
        <w:t xml:space="preserve"> de 2025.</w:t>
      </w:r>
    </w:p>
    <w:p w:rsidR="00E91D80" w:rsidRPr="007A27A5" w:rsidRDefault="00E91D80" w:rsidP="00E91D80">
      <w:pPr>
        <w:spacing w:after="0" w:line="240" w:lineRule="auto"/>
        <w:jc w:val="center"/>
        <w:rPr>
          <w:rFonts w:ascii="Times New Roman" w:hAnsi="Times New Roman"/>
          <w:i/>
          <w:sz w:val="24"/>
          <w:szCs w:val="24"/>
        </w:rPr>
      </w:pPr>
    </w:p>
    <w:p w:rsidR="0013313E" w:rsidRPr="007A27A5" w:rsidRDefault="0013313E" w:rsidP="00E91D80">
      <w:pPr>
        <w:spacing w:after="0" w:line="240" w:lineRule="auto"/>
        <w:jc w:val="center"/>
        <w:rPr>
          <w:rFonts w:ascii="Times New Roman" w:hAnsi="Times New Roman"/>
          <w:i/>
          <w:sz w:val="24"/>
          <w:szCs w:val="24"/>
        </w:rPr>
      </w:pPr>
      <w:r w:rsidRPr="007A27A5">
        <w:rPr>
          <w:rFonts w:ascii="Times New Roman" w:hAnsi="Times New Roman"/>
          <w:i/>
          <w:sz w:val="24"/>
          <w:szCs w:val="24"/>
        </w:rPr>
        <w:t>(Fin del documento)</w:t>
      </w:r>
    </w:p>
    <w:p w:rsidR="0013313E" w:rsidRPr="007A27A5" w:rsidRDefault="0013313E" w:rsidP="00E91D80">
      <w:pPr>
        <w:spacing w:after="0" w:line="240" w:lineRule="auto"/>
        <w:jc w:val="center"/>
        <w:rPr>
          <w:rFonts w:ascii="Times New Roman" w:hAnsi="Times New Roman"/>
          <w:sz w:val="24"/>
          <w:szCs w:val="24"/>
        </w:rPr>
      </w:pPr>
    </w:p>
    <w:p w:rsidR="007C2166" w:rsidRPr="007A27A5" w:rsidRDefault="007C2166" w:rsidP="00E91D80">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PRESIDENTA DIP. MARTHA AZUCENA CAMACHO REYNOSO. Gracias diputada Itzel Daniela Ballesteros Lule.</w:t>
      </w:r>
    </w:p>
    <w:p w:rsidR="007C2166" w:rsidRPr="007A27A5" w:rsidRDefault="007C2166" w:rsidP="00E91D80">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Se registra la iniciativa y se remite a la Comisión Legislativa de la Juventud y el Deporte para su estudio y dictamen.</w:t>
      </w:r>
    </w:p>
    <w:p w:rsidR="007C2166" w:rsidRPr="007A27A5" w:rsidRDefault="007C2166" w:rsidP="007C2166">
      <w:pPr>
        <w:pStyle w:val="Sinespaciado"/>
      </w:pPr>
      <w:r w:rsidRPr="007A27A5">
        <w:tab/>
        <w:t>En cuanto al punto número 11, la diputada Brenda Colette Miranda Vargas, presenta en nombre del Grupo Parlamentario del Partido morena, Iniciativa con Proyecto de Decreto por el que se reforman y adicionan diversas disposiciones al Código Civil del Estado de México y al Código Penal del Estado de México, con la finalidad de reconocer, proteger y de proteger la identidad digital; así como la tipificación del delito de suplantación de la identidad digital de las personas en ejercicios de sus derechos.</w:t>
      </w:r>
    </w:p>
    <w:p w:rsidR="007C2166" w:rsidRPr="007A27A5" w:rsidRDefault="007C2166" w:rsidP="007C2166">
      <w:pPr>
        <w:pStyle w:val="Sinespaciado"/>
      </w:pPr>
      <w:r w:rsidRPr="007A27A5">
        <w:t>DIP. BRENDA COLETTE MIRANDA VARGAS. Muchas gracias Presidenta.</w:t>
      </w:r>
    </w:p>
    <w:p w:rsidR="007C2166" w:rsidRPr="007A27A5" w:rsidRDefault="007C2166" w:rsidP="007C2166">
      <w:pPr>
        <w:pStyle w:val="Sinespaciado"/>
      </w:pPr>
      <w:r w:rsidRPr="007A27A5">
        <w:tab/>
        <w:t xml:space="preserve">Con su venia; saludo con aprecio a la diputada Martha Azucena Camacho Reynoso, Presidenta de la Directiva de esta Honorable “LXII” Legislatura del Estado Libre y Soberano de México; de igual forma, extiendo un saludo a mis compañeras, </w:t>
      </w:r>
      <w:proofErr w:type="spellStart"/>
      <w:r w:rsidRPr="007A27A5">
        <w:t>compañere</w:t>
      </w:r>
      <w:proofErr w:type="spellEnd"/>
      <w:r w:rsidRPr="007A27A5">
        <w:t xml:space="preserve"> y compañeros legisladores, a los medios de comunicación que hoy nos acompañan y a la ciudadanía que sigue nuestro trabajo parlamentario a través de las diversas plataformas electrónicas.</w:t>
      </w:r>
    </w:p>
    <w:p w:rsidR="007C2166" w:rsidRPr="007A27A5" w:rsidRDefault="007C2166" w:rsidP="007C2166">
      <w:pPr>
        <w:pStyle w:val="Sinespaciado"/>
      </w:pPr>
      <w:r w:rsidRPr="007A27A5">
        <w:tab/>
        <w:t xml:space="preserve">Compañeras, </w:t>
      </w:r>
      <w:proofErr w:type="spellStart"/>
      <w:r w:rsidRPr="007A27A5">
        <w:t>compañere</w:t>
      </w:r>
      <w:proofErr w:type="spellEnd"/>
      <w:r w:rsidRPr="007A27A5">
        <w:t xml:space="preserve"> y compañeros legisladores, ciudadanas y ciudadanos del Estado de México.</w:t>
      </w:r>
    </w:p>
    <w:p w:rsidR="007C2166" w:rsidRPr="007A27A5" w:rsidRDefault="007C2166" w:rsidP="00537CBA">
      <w:pPr>
        <w:pStyle w:val="Sinespaciado"/>
        <w:ind w:firstLine="709"/>
      </w:pPr>
      <w:r w:rsidRPr="007A27A5">
        <w:t xml:space="preserve">Quien suscribe diputada Brenda Colette Miranda Vargas, integrante del Grupo Parlamentario de morena, con fundamento en lo dispuesto por la Constitución Política del Estado Libre y Soberano de México, la Ley Orgánica del Poder Legislativo y su Reglamento, someto a la consideración de esta Honorable Legislatura, la iniciativa con proyecto de decreto por el que se reforman y adicionan diversas disposiciones al Código Civil del Estado de México y al Código Penal del Estado de México, con la finalidad de reconocer y proteger la identidad digital; así como </w:t>
      </w:r>
      <w:r w:rsidRPr="007A27A5">
        <w:lastRenderedPageBreak/>
        <w:t xml:space="preserve">la tipificación del delito de suplantación de la identidad digital de las personas en el ejercicio de sus derechos conforme a la siguiente: </w:t>
      </w:r>
    </w:p>
    <w:p w:rsidR="007C2166" w:rsidRPr="007A27A5" w:rsidRDefault="007C2166" w:rsidP="007C2166">
      <w:pPr>
        <w:pStyle w:val="Sinespaciado"/>
        <w:jc w:val="center"/>
      </w:pPr>
      <w:r w:rsidRPr="007A27A5">
        <w:t>EXPOSICIÓN DE MOTIVOS</w:t>
      </w:r>
    </w:p>
    <w:p w:rsidR="007C2166" w:rsidRPr="007A27A5" w:rsidRDefault="007C2166" w:rsidP="007C2166">
      <w:pPr>
        <w:pStyle w:val="Sinespaciado"/>
      </w:pPr>
      <w:r w:rsidRPr="007A27A5">
        <w:tab/>
        <w:t>El acelerado desarrollo de las tecnologías de la información y la comunicación, han transformado de manera profunda la forma en que las personas se relacionan, en cómo acceden a la información, en cómo ejercen sus libertades y cómo construyen su identidad en la vida diaria.</w:t>
      </w:r>
    </w:p>
    <w:p w:rsidR="007C2166" w:rsidRPr="007A27A5" w:rsidRDefault="007C2166" w:rsidP="007C2166">
      <w:pPr>
        <w:pStyle w:val="Sinespaciado"/>
      </w:pPr>
      <w:r w:rsidRPr="007A27A5">
        <w:tab/>
        <w:t xml:space="preserve">La presencia en los entornos digitales, se ha convertido en una extensión natural de la presencia física y en ellos se generan, consolidan y resguardan atributos </w:t>
      </w:r>
    </w:p>
    <w:p w:rsidR="007C2166" w:rsidRPr="007A27A5" w:rsidRDefault="007C2166" w:rsidP="007C2166">
      <w:pPr>
        <w:pStyle w:val="Sinespaciado"/>
      </w:pPr>
      <w:r w:rsidRPr="007A27A5">
        <w:t>PRESIDENTA DIP. MARTHA AZUCENA CAMACHO REYNOSO. Compañero, diputada permítame, por favor guardamos silencio para la presentación de la iniciativa de la diputada, gracias.</w:t>
      </w:r>
    </w:p>
    <w:p w:rsidR="007C2166" w:rsidRPr="007A27A5" w:rsidRDefault="007C2166" w:rsidP="007C2166">
      <w:pPr>
        <w:pStyle w:val="Sinespaciado"/>
      </w:pPr>
      <w:r w:rsidRPr="007A27A5">
        <w:t xml:space="preserve">DIP. BRENDA COLETTE MIRANDA VARGAS. Y resguardan atributos que son esenciales para el ejercicio pleno de los derechos humanos. </w:t>
      </w:r>
    </w:p>
    <w:p w:rsidR="007C2166" w:rsidRPr="007A27A5" w:rsidRDefault="007C2166" w:rsidP="00537CBA">
      <w:pPr>
        <w:pStyle w:val="Sinespaciado"/>
        <w:ind w:firstLine="709"/>
      </w:pPr>
      <w:r w:rsidRPr="007A27A5">
        <w:t xml:space="preserve">En este sentido, se vuelve indispensable que el Marco Jurídico del Estado de México reconozca y proteja la identidad digital como un atributo fundamental de la personalidad. El tiempo que establezca mecanismos eficaces para prevenir y sancionar su vulneración. </w:t>
      </w:r>
    </w:p>
    <w:p w:rsidR="007C2166" w:rsidRPr="007A27A5" w:rsidRDefault="007C2166" w:rsidP="00537CBA">
      <w:pPr>
        <w:pStyle w:val="Sinespaciado"/>
        <w:ind w:firstLine="709"/>
      </w:pPr>
      <w:r w:rsidRPr="007A27A5">
        <w:t>La Constitución Política de los Estados Unidos Mexicanos no emplea expresamente la categoría de derechos digitales, su reconocimiento deriva del análisis sistemático y de la interpretación progresiva de diversas disposiciones constitucionales, particularmente aquellas que garantizan la dignidad humana, la protección de datos personales, el acceso a la información, la libertad de expresión y el principio pro persona.</w:t>
      </w:r>
    </w:p>
    <w:p w:rsidR="007C2166" w:rsidRPr="007A27A5" w:rsidRDefault="007C2166" w:rsidP="00537CBA">
      <w:pPr>
        <w:pStyle w:val="Sinespaciado"/>
        <w:ind w:firstLine="709"/>
      </w:pPr>
      <w:r w:rsidRPr="007A27A5">
        <w:t>El artículo 1°, obliga a todas las autoridades a garantizar los derechos humanos previstos en la Constitución y en los Tratados Internacionales, lo que incluyen los relacionados con la privacidad, la libertad en medios digitales y la protección de datos.</w:t>
      </w:r>
    </w:p>
    <w:p w:rsidR="007C2166" w:rsidRPr="007A27A5" w:rsidRDefault="007C2166" w:rsidP="00537CBA">
      <w:pPr>
        <w:pStyle w:val="Sinespaciado"/>
        <w:ind w:firstLine="709"/>
      </w:pPr>
      <w:r w:rsidRPr="007A27A5">
        <w:t xml:space="preserve">En concordancia con los artículos 6° y 7°, tutelan el acceso a las tecnologías de la información, la libertad de expresión y la difusión de ideas a través de cualquier medio, incluso los digitales. </w:t>
      </w:r>
    </w:p>
    <w:p w:rsidR="007C2166" w:rsidRPr="007A27A5" w:rsidRDefault="007C2166" w:rsidP="00537CBA">
      <w:pPr>
        <w:pStyle w:val="Sinespaciado"/>
        <w:ind w:firstLine="709"/>
      </w:pPr>
      <w:r w:rsidRPr="007A27A5">
        <w:t xml:space="preserve">De igual forma, el artículo 16, establece que toda persona tiene derecho a la protección de sus datos personales, a la privacidad y a la autodeterminación informativa. Garantías que hoy deben ser entendidas también en su dimensión digital. </w:t>
      </w:r>
    </w:p>
    <w:p w:rsidR="007C2166" w:rsidRPr="007A27A5" w:rsidRDefault="007C2166" w:rsidP="00537CBA">
      <w:pPr>
        <w:pStyle w:val="Sinespaciado"/>
        <w:ind w:firstLine="709"/>
      </w:pPr>
      <w:r w:rsidRPr="007A27A5">
        <w:t>México es parte de un conjunto amplio de instrumentos internacionales que integran el bloque de constitucionalidad y que reconocen derechos vinculados con la vida digital, tales como la Declaración Universal de los Derechos Humanos, el Pacto Internacional de Derechos Civiles y Políticos, la Convención Americana sobre Derechos Humanos y Diversas resoluciones de la Organización de Naciones Unidas que han subrayado la importancia de proteger la privacidad en la era digital.</w:t>
      </w:r>
    </w:p>
    <w:p w:rsidR="007C2166" w:rsidRPr="007A27A5" w:rsidRDefault="007C2166" w:rsidP="00537CBA">
      <w:pPr>
        <w:pStyle w:val="Sinespaciado"/>
        <w:ind w:firstLine="709"/>
      </w:pPr>
      <w:r w:rsidRPr="007A27A5">
        <w:t xml:space="preserve">Las obligaciones derivadas de estos tratados refuerzan la necesidad de que el Estado adopte medidas eficaces para salvaguardar la integridad digital de las personas, especialmente frente a riesgos como la vigilancia indebida, el uso abusivo de datos personales y la suplantación de identidad. </w:t>
      </w:r>
    </w:p>
    <w:p w:rsidR="007C2166" w:rsidRPr="007A27A5" w:rsidRDefault="007C2166" w:rsidP="00537CBA">
      <w:pPr>
        <w:pStyle w:val="Sinespaciado"/>
        <w:ind w:firstLine="709"/>
      </w:pPr>
      <w:r w:rsidRPr="007A27A5">
        <w:t>El Poder Judicial de la Federación ha avanzado significativamente en el reconocimiento de los derechos digitales, la Suprema Corte de Justicia de la Nación ha establecido; entre otros criterios, que la geolocalización sin orden judicial, vulnera la privacidad y que el uso de redes sociales forma parte del ejercicio legítimo de la libertad de expresión.</w:t>
      </w:r>
    </w:p>
    <w:p w:rsidR="007C2166" w:rsidRPr="007A27A5" w:rsidRDefault="007C2166" w:rsidP="00537CBA">
      <w:pPr>
        <w:pStyle w:val="Sinespaciado"/>
        <w:ind w:firstLine="709"/>
      </w:pPr>
      <w:r w:rsidRPr="007A27A5">
        <w:t>Asimismo, ha comenzado a analizar fenómenos propios de la era digital como el bloqueo de cuentas, los discursos de odio y la responsabilidad de las plataformas tecnológicas.</w:t>
      </w:r>
    </w:p>
    <w:p w:rsidR="007C2166" w:rsidRPr="007A27A5" w:rsidRDefault="007C2166" w:rsidP="00537CBA">
      <w:pPr>
        <w:pStyle w:val="Sinespaciado"/>
        <w:ind w:firstLine="709"/>
      </w:pPr>
      <w:r w:rsidRPr="007A27A5">
        <w:t xml:space="preserve">Estos avances demuestran la necesidad de actualizar los marcos normativos locales para responder adecuadamente a los retos que plantea el entorno digital. A pesar de este progreso, en la práctica, los derechos digitales enfrentan desafíos importantes en México. La brecha digital persiste </w:t>
      </w:r>
      <w:r w:rsidRPr="007A27A5">
        <w:lastRenderedPageBreak/>
        <w:t>y limita el acceso equitativo a la tecnología, la vigilancia estatal sin controles adecuados y los casos de espionaje digital evidencian vulneraciones graves a la privacidad, la desinformación, el acoso en línea y la violencia digital afectan de forma particular a niñas, adolescentes y mujeres y la insuficiente alfabetización digital dificulta el ejercicio informado y seguro de los derechos.</w:t>
      </w:r>
    </w:p>
    <w:p w:rsidR="007C2166" w:rsidRPr="007A27A5" w:rsidRDefault="007C2166" w:rsidP="00537CBA">
      <w:pPr>
        <w:pStyle w:val="Sinespaciado"/>
        <w:ind w:firstLine="709"/>
      </w:pPr>
      <w:r w:rsidRPr="007A27A5">
        <w:t xml:space="preserve">En este contexto la identidad digital, se ha convertido en un atributo esencial para el acceso a servicios públicos y privados, para realizar trámites administrativos y financieros y para resguardar la privacidad y seguridad de las personas en el entorno digital. </w:t>
      </w:r>
    </w:p>
    <w:p w:rsidR="007C2166" w:rsidRPr="007A27A5" w:rsidRDefault="007C2166" w:rsidP="007C2166">
      <w:pPr>
        <w:pStyle w:val="Sinespaciado"/>
      </w:pPr>
      <w:r w:rsidRPr="007A27A5">
        <w:tab/>
        <w:t xml:space="preserve">La identidad digital puede entenderse como el conjunto de datos personales, atributos tecnológicos y credenciales electrónicas que permitan identificar de manera segura a una persona en medios digitales, incluye desde datos tradicionales como nombre, CURP, domicilio, fotografía, hasta elementos tecnológicos como firmas electrónicas, contraseñas, identificadores biométricos y perfiles verificados, utilizados en plataformas electrónicas. </w:t>
      </w:r>
    </w:p>
    <w:p w:rsidR="007C2166" w:rsidRPr="007A27A5" w:rsidRDefault="007C2166" w:rsidP="007C2166">
      <w:pPr>
        <w:pStyle w:val="Sinespaciado"/>
      </w:pPr>
      <w:r w:rsidRPr="007A27A5">
        <w:tab/>
        <w:t xml:space="preserve">Debido a su relevancia, esta identidad requiere reconocimiento jurídico expreso, protección efectiva y mecanismos claros que permitan su acreditación en procesos civiles, administrativos o tecnológicos; sin embargo, el Código Civil del Estado de México no contempla actualmente la identidad digital como un atributo protegido de la personalidad, lo que genera un vacío normativo inaceptable en una realidad crecientemente digitalizada. </w:t>
      </w:r>
    </w:p>
    <w:p w:rsidR="007C2166" w:rsidRPr="007A27A5" w:rsidRDefault="007C2166" w:rsidP="007C2166">
      <w:pPr>
        <w:pStyle w:val="Sinespaciado"/>
      </w:pPr>
      <w:r w:rsidRPr="007A27A5">
        <w:tab/>
        <w:t>De igual forma, el Código Penal tampoco tipifica la suplantación de identidad digital como un delito autónomo, lo que ha obligado a que las víctimas deban recurrir a figuras indirectas, insuficientes o poco adecuadas para obtener justicia.</w:t>
      </w:r>
    </w:p>
    <w:p w:rsidR="007C2166" w:rsidRPr="007A27A5" w:rsidRDefault="007C2166" w:rsidP="007C2166">
      <w:pPr>
        <w:pStyle w:val="Sinespaciado"/>
      </w:pPr>
      <w:r w:rsidRPr="007A27A5">
        <w:tab/>
        <w:t xml:space="preserve">La suplantación de identidad digital consiste en la apropiación indebida de datos personales, credenciales electrónicas o atributos digitales de otra persona para hacerse pasar por ella con fines ilícitos perjudiciales o fraudulentos, este fenómeno puede manifestarse mediante la creación de perfiles falsos, el uso de correos electrónicos apócrifos, el acceso no autorizado a cuentas, la manipulación de datos personales o la utilización indebida de información biométrica, sus efectos pueden ser primordialmente reputacionales, psicológicos, morales e incluso pueden derivar en delitos más graves como fraude, extorsión, acoso o daño moral. </w:t>
      </w:r>
    </w:p>
    <w:p w:rsidR="007C2166" w:rsidRPr="007A27A5" w:rsidRDefault="007C2166" w:rsidP="007C2166">
      <w:pPr>
        <w:pStyle w:val="Sinespaciado"/>
      </w:pPr>
      <w:r w:rsidRPr="007A27A5">
        <w:tab/>
        <w:t xml:space="preserve">En México se ha documentado ampliamente un incremento constante en las denuncias por suplantación o mal uso de datos personales en medios digitales, lo que demuestra la urgencia de adoptar medidas legislativas que atiendan esta problemática, la ausencia de disposiciones específicas en la legislación está limitada, la capacidad del Estado para prevenir, investigar y sancionar estas conductas. </w:t>
      </w:r>
    </w:p>
    <w:p w:rsidR="007C2166" w:rsidRPr="007A27A5" w:rsidRDefault="007C2166" w:rsidP="007C2166">
      <w:pPr>
        <w:pStyle w:val="Sinespaciado"/>
      </w:pPr>
      <w:r w:rsidRPr="007A27A5">
        <w:tab/>
        <w:t>Por estas razones, la presente iniciativa propone reformar el Código Civil del Estado de México para reconocer expresamente la identidad digital como un derecho de la personalidad y establecer los elementos que la integran; así como garantizar su protección, integridad, legitimidad y uso seguro.</w:t>
      </w:r>
    </w:p>
    <w:p w:rsidR="007C2166" w:rsidRPr="007A27A5" w:rsidRDefault="007C2166" w:rsidP="00537CBA">
      <w:pPr>
        <w:pStyle w:val="Sinespaciado"/>
        <w:ind w:firstLine="709"/>
      </w:pPr>
      <w:r w:rsidRPr="007A27A5">
        <w:t xml:space="preserve">En este sentido, también se propone adicional el artículo 265 Ter al Código Penal del Estado de México para tipificar la suplantación de identidad digital como un delito autónomo y establecer penas proporcionales; además de agravantes cuando la conducta tenga fines ilícitos de lucro, de daño reputacional, implicación de datos personales sin consentimiento o aprovechamiento de homónima, entre otros supuestos. </w:t>
      </w:r>
    </w:p>
    <w:p w:rsidR="007C2166" w:rsidRPr="007A27A5" w:rsidRDefault="007C2166" w:rsidP="007C2166">
      <w:pPr>
        <w:pStyle w:val="Sinespaciado"/>
      </w:pPr>
      <w:r w:rsidRPr="007A27A5">
        <w:tab/>
        <w:t xml:space="preserve">Esta reforma se encuentra alineada con el Plan Nacional de Desarrollo 2025-2030, particularmente en el eje relativo a la gobernanza con justicia y participación ciudadana y con el eje transversal de innovación pública para el desarrollo tecnológico, reconocer y proteger la identidad digital significa garantizar que la revolución tecnológica no deje a nadie atrás y que los derechos que protegen la dignidad humana puedan ejercerse plenamente entre los entornos digitales. </w:t>
      </w:r>
    </w:p>
    <w:p w:rsidR="007C2166" w:rsidRPr="007A27A5" w:rsidRDefault="007C2166" w:rsidP="007C2166">
      <w:pPr>
        <w:pStyle w:val="Sinespaciado"/>
      </w:pPr>
      <w:r w:rsidRPr="007A27A5">
        <w:tab/>
        <w:t xml:space="preserve">Por ello, resulta indispensable que en el Estado de México se actualice su marco jurídico para asegurar un entorno digital seguro, confiable y ético, el reconocimiento de la identidad digital </w:t>
      </w:r>
      <w:r w:rsidRPr="007A27A5">
        <w:lastRenderedPageBreak/>
        <w:t>y la tipificación de su suplantación como delito autónomo constituyen pasos fundamentales para fortalecer la protección de las personas en el ámbito digital, garantizar la seguridad jurídica y reafirmar el compromiso del Poder Legislativo con la defensa de los derechos humanos y la justicia en el Siglo XXI.</w:t>
      </w:r>
    </w:p>
    <w:p w:rsidR="007C2166" w:rsidRPr="007A27A5" w:rsidRDefault="007C2166" w:rsidP="00537CBA">
      <w:pPr>
        <w:pStyle w:val="Sinespaciado"/>
        <w:ind w:firstLine="709"/>
      </w:pPr>
      <w:r w:rsidRPr="007A27A5">
        <w:t xml:space="preserve">Compañeras, </w:t>
      </w:r>
      <w:proofErr w:type="spellStart"/>
      <w:r w:rsidRPr="007A27A5">
        <w:t>compañeres</w:t>
      </w:r>
      <w:proofErr w:type="spellEnd"/>
      <w:r w:rsidRPr="007A27A5">
        <w:t xml:space="preserve"> y compañeros la identidad digital es ya una realidad innegable, prevengamos, protejamos y legislemos para hacer del ciberespacio un entorno seguro para todas, todos y </w:t>
      </w:r>
      <w:proofErr w:type="spellStart"/>
      <w:r w:rsidRPr="007A27A5">
        <w:t>todes</w:t>
      </w:r>
      <w:proofErr w:type="spellEnd"/>
      <w:r w:rsidRPr="007A27A5">
        <w:t xml:space="preserve">, que nuestras leyes reconozcan la identidad digital como un derecho humano que salvaguarda la vida, la libertad y la dignidad, porque un Estado moderno no se mide sólo por su tecnología; sino por su capacidad de garantizar confianza, justicia y seguridad en cada clic. </w:t>
      </w:r>
    </w:p>
    <w:p w:rsidR="007C2166" w:rsidRPr="007A27A5" w:rsidRDefault="007C2166" w:rsidP="007C2166">
      <w:pPr>
        <w:pStyle w:val="Sinespaciado"/>
      </w:pPr>
      <w:r w:rsidRPr="007A27A5">
        <w:tab/>
        <w:t>Por lo anteriormente expuesto, someto a la consideración de esta “LXII” Legislatura del Estado de México, la presente iniciativa, para que, de considerarse procedente, se admita a trámite para su análisis, discusión y, en su caso, aprobación; asimismo, solicito respetuosamente que se integre la presente iniciativa de manera completa al Diario de Debates y a la Gaceta Parlamentaria.</w:t>
      </w:r>
    </w:p>
    <w:p w:rsidR="007C2166" w:rsidRPr="007A27A5" w:rsidRDefault="007C2166" w:rsidP="007C2166">
      <w:pPr>
        <w:pStyle w:val="Sinespaciado"/>
      </w:pPr>
      <w:r w:rsidRPr="007A27A5">
        <w:tab/>
        <w:t>La de la voz:</w:t>
      </w:r>
    </w:p>
    <w:p w:rsidR="007C2166" w:rsidRPr="007A27A5" w:rsidRDefault="007C2166" w:rsidP="007C2166">
      <w:pPr>
        <w:pStyle w:val="Sinespaciado"/>
        <w:jc w:val="center"/>
      </w:pPr>
      <w:r w:rsidRPr="007A27A5">
        <w:t>DIPUTADA BRENDA COLETTE MIRANDA VARGAS</w:t>
      </w:r>
    </w:p>
    <w:p w:rsidR="007C2166" w:rsidRPr="007A27A5" w:rsidRDefault="007C2166" w:rsidP="007C2166">
      <w:pPr>
        <w:pStyle w:val="Sinespaciado"/>
        <w:jc w:val="center"/>
      </w:pPr>
      <w:r w:rsidRPr="007A27A5">
        <w:t>INTEGRANTE DEL GRUPO PARLAMENTARIO DE MORENA</w:t>
      </w:r>
    </w:p>
    <w:p w:rsidR="007C2166" w:rsidRPr="007A27A5" w:rsidRDefault="007C2166" w:rsidP="007C2166">
      <w:pPr>
        <w:pStyle w:val="Sinespaciado"/>
      </w:pPr>
      <w:r w:rsidRPr="007A27A5">
        <w:tab/>
        <w:t>Dado en el Palacio del Poder Legislativo en la Ciudad de Toluca de Lerdo, Capital del Estado.</w:t>
      </w:r>
    </w:p>
    <w:p w:rsidR="007C2166" w:rsidRPr="007A27A5" w:rsidRDefault="007C2166" w:rsidP="007C2166">
      <w:pPr>
        <w:pStyle w:val="Sinespaciado"/>
      </w:pPr>
      <w:r w:rsidRPr="007A27A5">
        <w:tab/>
        <w:t>Es cuanto, muchas gracias.</w:t>
      </w:r>
    </w:p>
    <w:p w:rsidR="00E125A3" w:rsidRPr="007A27A5" w:rsidRDefault="00E125A3" w:rsidP="00DC676A">
      <w:pPr>
        <w:pStyle w:val="Sinespaciado"/>
      </w:pPr>
    </w:p>
    <w:p w:rsidR="00E125A3" w:rsidRPr="007A27A5" w:rsidRDefault="00E125A3" w:rsidP="00DC676A">
      <w:pPr>
        <w:spacing w:after="0" w:line="240" w:lineRule="auto"/>
        <w:jc w:val="center"/>
        <w:rPr>
          <w:rFonts w:ascii="Times New Roman" w:hAnsi="Times New Roman"/>
          <w:i/>
          <w:sz w:val="24"/>
          <w:szCs w:val="24"/>
        </w:rPr>
      </w:pPr>
      <w:r w:rsidRPr="007A27A5">
        <w:rPr>
          <w:rFonts w:ascii="Times New Roman" w:hAnsi="Times New Roman"/>
          <w:i/>
          <w:sz w:val="24"/>
          <w:szCs w:val="24"/>
        </w:rPr>
        <w:t>(Se inserta documento)</w:t>
      </w:r>
    </w:p>
    <w:p w:rsidR="00E125A3" w:rsidRPr="007A27A5" w:rsidRDefault="00E125A3" w:rsidP="00DC676A">
      <w:pPr>
        <w:spacing w:after="0" w:line="240" w:lineRule="auto"/>
        <w:jc w:val="center"/>
        <w:rPr>
          <w:rFonts w:ascii="Times New Roman" w:hAnsi="Times New Roman"/>
          <w:sz w:val="24"/>
          <w:szCs w:val="24"/>
        </w:rPr>
      </w:pPr>
    </w:p>
    <w:p w:rsidR="00E125A3" w:rsidRPr="007A27A5" w:rsidRDefault="00E125A3" w:rsidP="00E125A3">
      <w:pPr>
        <w:spacing w:after="0" w:line="240" w:lineRule="auto"/>
        <w:jc w:val="center"/>
        <w:rPr>
          <w:rFonts w:ascii="Times New Roman" w:eastAsia="Times New Roman" w:hAnsi="Times New Roman" w:cs="Times New Roman"/>
          <w:b/>
          <w:sz w:val="24"/>
          <w:szCs w:val="24"/>
        </w:rPr>
      </w:pPr>
      <w:r w:rsidRPr="007A27A5">
        <w:rPr>
          <w:rFonts w:ascii="Times New Roman" w:eastAsia="Times New Roman" w:hAnsi="Times New Roman" w:cs="Times New Roman"/>
          <w:b/>
          <w:sz w:val="24"/>
          <w:szCs w:val="24"/>
        </w:rPr>
        <w:t>Dip. Brenda Colette Miranda Vargas</w:t>
      </w:r>
    </w:p>
    <w:p w:rsidR="00E125A3" w:rsidRPr="007A27A5" w:rsidRDefault="00E125A3" w:rsidP="00E125A3">
      <w:pPr>
        <w:spacing w:after="0" w:line="240" w:lineRule="auto"/>
        <w:jc w:val="center"/>
        <w:rPr>
          <w:rFonts w:ascii="Times New Roman" w:eastAsia="Times New Roman" w:hAnsi="Times New Roman" w:cs="Times New Roman"/>
          <w:sz w:val="24"/>
          <w:szCs w:val="24"/>
        </w:rPr>
      </w:pPr>
      <w:r w:rsidRPr="007A27A5">
        <w:rPr>
          <w:rFonts w:ascii="Times New Roman" w:eastAsia="Times New Roman" w:hAnsi="Times New Roman" w:cs="Times New Roman"/>
          <w:sz w:val="24"/>
          <w:szCs w:val="24"/>
        </w:rPr>
        <w:t>Diputada distrito XXI Ciudad Nezahualcóyotl</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center"/>
        <w:rPr>
          <w:rFonts w:ascii="Times New Roman" w:eastAsia="Times New Roman" w:hAnsi="Times New Roman" w:cs="Times New Roman"/>
          <w:sz w:val="24"/>
          <w:szCs w:val="24"/>
        </w:rPr>
      </w:pPr>
      <w:r w:rsidRPr="007A27A5">
        <w:rPr>
          <w:rFonts w:ascii="Times New Roman" w:eastAsia="Times New Roman" w:hAnsi="Times New Roman" w:cs="Times New Roman"/>
          <w:sz w:val="24"/>
          <w:szCs w:val="24"/>
        </w:rPr>
        <w:t>Grupo parlamentario morena</w:t>
      </w:r>
    </w:p>
    <w:p w:rsidR="00E125A3" w:rsidRPr="007A27A5" w:rsidRDefault="00E125A3" w:rsidP="00E125A3">
      <w:pPr>
        <w:spacing w:after="0" w:line="240" w:lineRule="auto"/>
        <w:jc w:val="right"/>
        <w:rPr>
          <w:rFonts w:ascii="Times New Roman" w:eastAsia="Calibri" w:hAnsi="Times New Roman" w:cs="Times New Roman"/>
          <w:sz w:val="24"/>
          <w:szCs w:val="24"/>
        </w:rPr>
      </w:pPr>
      <w:r w:rsidRPr="007A27A5">
        <w:rPr>
          <w:rFonts w:ascii="Times New Roman" w:eastAsia="Calibri" w:hAnsi="Times New Roman" w:cs="Times New Roman"/>
          <w:color w:val="FFFFFF"/>
          <w:sz w:val="24"/>
          <w:szCs w:val="24"/>
        </w:rPr>
        <w:t>1</w:t>
      </w:r>
    </w:p>
    <w:p w:rsidR="00E125A3" w:rsidRPr="007A27A5" w:rsidRDefault="00E125A3" w:rsidP="00E125A3">
      <w:pPr>
        <w:spacing w:after="0" w:line="240" w:lineRule="auto"/>
        <w:jc w:val="right"/>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Toluca de Lerdo, México, a de </w:t>
      </w:r>
      <w:r w:rsidRPr="007A27A5">
        <w:rPr>
          <w:rFonts w:ascii="Times New Roman" w:eastAsia="Bookman Old Style" w:hAnsi="Times New Roman" w:cs="Times New Roman"/>
          <w:sz w:val="24"/>
          <w:szCs w:val="24"/>
          <w:u w:val="single" w:color="000000"/>
        </w:rPr>
        <w:t xml:space="preserve">   </w:t>
      </w:r>
      <w:r w:rsidRPr="007A27A5">
        <w:rPr>
          <w:rFonts w:ascii="Times New Roman" w:eastAsia="Bookman Old Style" w:hAnsi="Times New Roman" w:cs="Times New Roman"/>
          <w:sz w:val="24"/>
          <w:szCs w:val="24"/>
        </w:rPr>
        <w:t xml:space="preserve"> </w:t>
      </w:r>
      <w:proofErr w:type="spellStart"/>
      <w:r w:rsidRPr="007A27A5">
        <w:rPr>
          <w:rFonts w:ascii="Times New Roman" w:eastAsia="Bookman Old Style" w:hAnsi="Times New Roman" w:cs="Times New Roman"/>
          <w:sz w:val="24"/>
          <w:szCs w:val="24"/>
        </w:rPr>
        <w:t>de</w:t>
      </w:r>
      <w:proofErr w:type="spellEnd"/>
      <w:r w:rsidRPr="007A27A5">
        <w:rPr>
          <w:rFonts w:ascii="Times New Roman" w:eastAsia="Bookman Old Style" w:hAnsi="Times New Roman" w:cs="Times New Roman"/>
          <w:sz w:val="24"/>
          <w:szCs w:val="24"/>
        </w:rPr>
        <w:t xml:space="preserve"> </w:t>
      </w:r>
      <w:r w:rsidRPr="007A27A5">
        <w:rPr>
          <w:rFonts w:ascii="Times New Roman" w:eastAsia="Bookman Old Style" w:hAnsi="Times New Roman" w:cs="Times New Roman"/>
          <w:sz w:val="24"/>
          <w:szCs w:val="24"/>
          <w:u w:val="single" w:color="000000"/>
        </w:rPr>
        <w:t xml:space="preserve">         </w:t>
      </w:r>
      <w:r w:rsidRPr="007A27A5">
        <w:rPr>
          <w:rFonts w:ascii="Times New Roman" w:eastAsia="Bookman Old Style" w:hAnsi="Times New Roman" w:cs="Times New Roman"/>
          <w:sz w:val="24"/>
          <w:szCs w:val="24"/>
        </w:rPr>
        <w:t xml:space="preserve"> </w:t>
      </w:r>
      <w:proofErr w:type="spellStart"/>
      <w:r w:rsidRPr="007A27A5">
        <w:rPr>
          <w:rFonts w:ascii="Times New Roman" w:eastAsia="Bookman Old Style" w:hAnsi="Times New Roman" w:cs="Times New Roman"/>
          <w:sz w:val="24"/>
          <w:szCs w:val="24"/>
        </w:rPr>
        <w:t>de</w:t>
      </w:r>
      <w:proofErr w:type="spellEnd"/>
      <w:r w:rsidRPr="007A27A5">
        <w:rPr>
          <w:rFonts w:ascii="Times New Roman" w:eastAsia="Bookman Old Style" w:hAnsi="Times New Roman" w:cs="Times New Roman"/>
          <w:sz w:val="24"/>
          <w:szCs w:val="24"/>
        </w:rPr>
        <w:t xml:space="preserve"> 2025.</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DIP. MARTHA AZUCENA CAMACHO REYNOSO</w:t>
      </w:r>
    </w:p>
    <w:p w:rsidR="00E125A3" w:rsidRPr="007A27A5" w:rsidRDefault="00E125A3" w:rsidP="00E125A3">
      <w:pPr>
        <w:spacing w:after="0" w:line="240" w:lineRule="auto"/>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PRESIDENTA DE LA DIRECTIVA DE LA H. LXII LEGISLATURA</w:t>
      </w:r>
    </w:p>
    <w:p w:rsidR="00E125A3" w:rsidRPr="007A27A5" w:rsidRDefault="00E125A3" w:rsidP="00E125A3">
      <w:pPr>
        <w:spacing w:after="0" w:line="240" w:lineRule="auto"/>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DEL ESTADO LIBRE Y SOBERANO DE MÉXICO</w:t>
      </w: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PRESENTE</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Quien suscribe Diputada Brenda Colette Miranda Vargas</w:t>
      </w:r>
      <w:r w:rsidRPr="007A27A5">
        <w:rPr>
          <w:rFonts w:ascii="Times New Roman" w:eastAsia="Bookman Old Style" w:hAnsi="Times New Roman" w:cs="Times New Roman"/>
          <w:sz w:val="24"/>
          <w:szCs w:val="24"/>
        </w:rPr>
        <w:t xml:space="preserve">, integrante del Grupo Parlamentario de Morena, de conformidad con lo establecido en los artículos 51 fracción II, 57 y 61 fracción I de la Constitución Política del Estado Libre y Soberano de México; 28 fracción I y 38 fracción II de la Ley Orgánica del Poder Legislativo del Estado Libre y Soberano de México, y 68 del Reglamento del Poder Legislativo del Estado Libre y Soberano de México, me permito someter a la consideración de esta H. Legislatura, la </w:t>
      </w:r>
      <w:r w:rsidRPr="007A27A5">
        <w:rPr>
          <w:rFonts w:ascii="Times New Roman" w:eastAsia="Bookman Old Style" w:hAnsi="Times New Roman" w:cs="Times New Roman"/>
          <w:b/>
          <w:sz w:val="24"/>
          <w:szCs w:val="24"/>
        </w:rPr>
        <w:t>Iniciativa con proyecto de Decreto por el que se reforman y adicionan diversas disposiciones al Código Civil del Estado de México y al Código Penal del Estado de México</w:t>
      </w:r>
      <w:r w:rsidRPr="007A27A5">
        <w:rPr>
          <w:rFonts w:ascii="Times New Roman" w:eastAsia="Bookman Old Style" w:hAnsi="Times New Roman" w:cs="Times New Roman"/>
          <w:sz w:val="24"/>
          <w:szCs w:val="24"/>
        </w:rPr>
        <w:t xml:space="preserve">, con la finalidad de </w:t>
      </w:r>
      <w:r w:rsidRPr="007A27A5">
        <w:rPr>
          <w:rFonts w:ascii="Times New Roman" w:eastAsia="Bookman Old Style" w:hAnsi="Times New Roman" w:cs="Times New Roman"/>
          <w:b/>
          <w:sz w:val="24"/>
          <w:szCs w:val="24"/>
        </w:rPr>
        <w:t>reconocer y protege la identidad digital, así como la tipificación del delito de suplantación de la identidad digital de las personas en el ejercicio de sus derechos</w:t>
      </w:r>
      <w:r w:rsidRPr="007A27A5">
        <w:rPr>
          <w:rFonts w:ascii="Times New Roman" w:eastAsia="Bookman Old Style" w:hAnsi="Times New Roman" w:cs="Times New Roman"/>
          <w:sz w:val="24"/>
          <w:szCs w:val="24"/>
        </w:rPr>
        <w:t>, conforme a la siguiente:</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center"/>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EXPOSICIÓN DE MOTIVOS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El avance vertiginoso de las tecnologías de la información y la comunicación ha modificado profundamente la forma en que las personas interactúan, </w:t>
      </w:r>
      <w:proofErr w:type="gramStart"/>
      <w:r w:rsidRPr="007A27A5">
        <w:rPr>
          <w:rFonts w:ascii="Times New Roman" w:eastAsia="Bookman Old Style" w:hAnsi="Times New Roman" w:cs="Times New Roman"/>
          <w:sz w:val="24"/>
          <w:szCs w:val="24"/>
        </w:rPr>
        <w:t>acceden</w:t>
      </w:r>
      <w:proofErr w:type="gramEnd"/>
      <w:r w:rsidRPr="007A27A5">
        <w:rPr>
          <w:rFonts w:ascii="Times New Roman" w:eastAsia="Bookman Old Style" w:hAnsi="Times New Roman" w:cs="Times New Roman"/>
          <w:sz w:val="24"/>
          <w:szCs w:val="24"/>
        </w:rPr>
        <w:t xml:space="preserve"> a la información, ejercen su </w:t>
      </w:r>
      <w:r w:rsidRPr="007A27A5">
        <w:rPr>
          <w:rFonts w:ascii="Times New Roman" w:eastAsia="Bookman Old Style" w:hAnsi="Times New Roman" w:cs="Times New Roman"/>
          <w:sz w:val="24"/>
          <w:szCs w:val="24"/>
        </w:rPr>
        <w:lastRenderedPageBreak/>
        <w:t xml:space="preserve">libertad de expresión, desarrollan su identidad y se relacionan con el Estado. En este contexto, emergen los </w:t>
      </w:r>
      <w:r w:rsidRPr="007A27A5">
        <w:rPr>
          <w:rFonts w:ascii="Times New Roman" w:eastAsia="Bookman Old Style" w:hAnsi="Times New Roman" w:cs="Times New Roman"/>
          <w:b/>
          <w:sz w:val="24"/>
          <w:szCs w:val="24"/>
        </w:rPr>
        <w:t>derechos digitales</w:t>
      </w:r>
      <w:r w:rsidRPr="007A27A5">
        <w:rPr>
          <w:rFonts w:ascii="Times New Roman" w:eastAsia="Bookman Old Style" w:hAnsi="Times New Roman" w:cs="Times New Roman"/>
          <w:sz w:val="24"/>
          <w:szCs w:val="24"/>
        </w:rPr>
        <w:t xml:space="preserve"> como una extensión natural de los derechos humanos en el entorno virtual. En México, estos derechos comienzan a consolidarse a través de la interpretación progresiva de la </w:t>
      </w:r>
      <w:r w:rsidRPr="007A27A5">
        <w:rPr>
          <w:rFonts w:ascii="Times New Roman" w:eastAsia="Bookman Old Style" w:hAnsi="Times New Roman" w:cs="Times New Roman"/>
          <w:b/>
          <w:sz w:val="24"/>
          <w:szCs w:val="24"/>
        </w:rPr>
        <w:t>Constitución Política de los Estados Unidos Mexicanos</w:t>
      </w:r>
      <w:r w:rsidRPr="007A27A5">
        <w:rPr>
          <w:rFonts w:ascii="Times New Roman" w:eastAsia="Bookman Old Style" w:hAnsi="Times New Roman" w:cs="Times New Roman"/>
          <w:sz w:val="24"/>
          <w:szCs w:val="24"/>
        </w:rPr>
        <w:t xml:space="preserve">, así como mediante el </w:t>
      </w:r>
      <w:r w:rsidRPr="007A27A5">
        <w:rPr>
          <w:rFonts w:ascii="Times New Roman" w:eastAsia="Bookman Old Style" w:hAnsi="Times New Roman" w:cs="Times New Roman"/>
          <w:b/>
          <w:sz w:val="24"/>
          <w:szCs w:val="24"/>
        </w:rPr>
        <w:t>bloque de constitucionalidad</w:t>
      </w:r>
      <w:r w:rsidRPr="007A27A5">
        <w:rPr>
          <w:rFonts w:ascii="Times New Roman" w:eastAsia="Bookman Old Style" w:hAnsi="Times New Roman" w:cs="Times New Roman"/>
          <w:sz w:val="24"/>
          <w:szCs w:val="24"/>
        </w:rPr>
        <w:t xml:space="preserve"> que integran los tratados internacionales en materia de derechos humanos.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El fundamento constitucional de los derechos digitales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La </w:t>
      </w:r>
      <w:r w:rsidRPr="007A27A5">
        <w:rPr>
          <w:rFonts w:ascii="Times New Roman" w:eastAsia="Bookman Old Style" w:hAnsi="Times New Roman" w:cs="Times New Roman"/>
          <w:b/>
          <w:sz w:val="24"/>
          <w:szCs w:val="24"/>
        </w:rPr>
        <w:t>Constitución mexicana</w:t>
      </w:r>
      <w:r w:rsidRPr="007A27A5">
        <w:rPr>
          <w:rFonts w:ascii="Times New Roman" w:eastAsia="Bookman Old Style" w:hAnsi="Times New Roman" w:cs="Times New Roman"/>
          <w:sz w:val="24"/>
          <w:szCs w:val="24"/>
        </w:rPr>
        <w:t xml:space="preserve"> no utiliza expresamente el término “derechos digitales”; sin embargo, diversos artículos permiten su reconocimiento por interpretación extensiva:</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Artículo 1º</w:t>
      </w:r>
      <w:r w:rsidRPr="007A27A5">
        <w:rPr>
          <w:rFonts w:ascii="Times New Roman" w:eastAsia="Bookman Old Style" w:hAnsi="Times New Roman" w:cs="Times New Roman"/>
          <w:sz w:val="24"/>
          <w:szCs w:val="24"/>
        </w:rPr>
        <w:t xml:space="preserve"> establece el principio pro persona y la obligación de todas las autoridades de promover, respetar, proteger y garantizar los derechos humanos contenidos en la Constitución y en los tratados internacionales.</w:t>
      </w: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Artículo 6º</w:t>
      </w:r>
      <w:r w:rsidRPr="007A27A5">
        <w:rPr>
          <w:rFonts w:ascii="Times New Roman" w:eastAsia="Bookman Old Style" w:hAnsi="Times New Roman" w:cs="Times New Roman"/>
          <w:sz w:val="24"/>
          <w:szCs w:val="24"/>
        </w:rPr>
        <w:t xml:space="preserve"> garantiza el derecho al acceso a la información y a las tecnologías de la información, así como a la libertad de expresión.</w:t>
      </w: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Artículo 7º</w:t>
      </w:r>
      <w:r w:rsidRPr="007A27A5">
        <w:rPr>
          <w:rFonts w:ascii="Times New Roman" w:eastAsia="Bookman Old Style" w:hAnsi="Times New Roman" w:cs="Times New Roman"/>
          <w:sz w:val="24"/>
          <w:szCs w:val="24"/>
        </w:rPr>
        <w:t xml:space="preserve"> protege la libertad de imprenta, hoy extendida a medios digitales.</w:t>
      </w: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Artículo 16</w:t>
      </w:r>
      <w:r w:rsidRPr="007A27A5">
        <w:rPr>
          <w:rFonts w:ascii="Times New Roman" w:eastAsia="Bookman Old Style" w:hAnsi="Times New Roman" w:cs="Times New Roman"/>
          <w:sz w:val="24"/>
          <w:szCs w:val="24"/>
        </w:rPr>
        <w:t>, en su segundo párrafo, consagra el derecho a la protección de los datos personales y a la privacidad, fundamentales en entornos digitales.</w:t>
      </w:r>
      <w:r w:rsidRPr="007A27A5">
        <w:rPr>
          <w:rFonts w:ascii="Times New Roman" w:eastAsia="Bookman Old Style" w:hAnsi="Times New Roman" w:cs="Times New Roman"/>
          <w:color w:val="FF0000"/>
          <w:sz w:val="24"/>
          <w:szCs w:val="24"/>
          <w:vertAlign w:val="superscript"/>
        </w:rPr>
        <w:t>1</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Estas disposiciones permiten considerar como derechos constitucionales a diversas garantías en el ámbito digital, tales como el acceso universal a internet, la libertad de expresión en redes sociales, la protección contra la vigilancia masiva, la neutralidad de la red, y el derecho al olvido o eliminación de datos.</w:t>
      </w:r>
      <w:r w:rsidRPr="007A27A5">
        <w:rPr>
          <w:rFonts w:ascii="Times New Roman" w:eastAsia="Bookman Old Style" w:hAnsi="Times New Roman" w:cs="Times New Roman"/>
          <w:color w:val="FF0000"/>
          <w:sz w:val="24"/>
          <w:szCs w:val="24"/>
          <w:vertAlign w:val="superscript"/>
        </w:rPr>
        <w:t>2</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rPr>
          <w:rFonts w:ascii="Times New Roman" w:eastAsia="Times New Roman" w:hAnsi="Times New Roman" w:cs="Times New Roman"/>
          <w:sz w:val="20"/>
          <w:szCs w:val="24"/>
        </w:rPr>
      </w:pPr>
      <w:r w:rsidRPr="007A27A5">
        <w:rPr>
          <w:rFonts w:ascii="Times New Roman" w:eastAsia="Calibri" w:hAnsi="Times New Roman" w:cs="Times New Roman"/>
          <w:color w:val="FF0000"/>
          <w:sz w:val="20"/>
          <w:szCs w:val="24"/>
          <w:vertAlign w:val="superscript"/>
        </w:rPr>
        <w:t>1</w:t>
      </w:r>
      <w:r w:rsidRPr="007A27A5">
        <w:rPr>
          <w:rFonts w:ascii="Times New Roman" w:eastAsia="Calibri" w:hAnsi="Times New Roman" w:cs="Times New Roman"/>
          <w:sz w:val="20"/>
          <w:szCs w:val="24"/>
        </w:rPr>
        <w:t xml:space="preserve"> </w:t>
      </w:r>
      <w:r w:rsidRPr="007A27A5">
        <w:rPr>
          <w:rFonts w:ascii="Times New Roman" w:eastAsia="Times New Roman" w:hAnsi="Times New Roman" w:cs="Times New Roman"/>
          <w:sz w:val="20"/>
          <w:szCs w:val="24"/>
        </w:rPr>
        <w:t>Constitución Política de los Estados Unidos Mexicanos. Última reforma DOF 15-05-2024.</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México </w:t>
      </w:r>
      <w:r w:rsidRPr="007A27A5">
        <w:rPr>
          <w:rFonts w:ascii="Times New Roman" w:eastAsia="Bookman Old Style" w:hAnsi="Times New Roman" w:cs="Times New Roman"/>
          <w:b/>
          <w:sz w:val="24"/>
          <w:szCs w:val="24"/>
        </w:rPr>
        <w:t>Tratados internacionales como base jurídica son</w:t>
      </w:r>
      <w:r w:rsidRPr="007A27A5">
        <w:rPr>
          <w:rFonts w:ascii="Times New Roman" w:eastAsia="Bookman Old Style" w:hAnsi="Times New Roman" w:cs="Times New Roman"/>
          <w:sz w:val="24"/>
          <w:szCs w:val="24"/>
        </w:rPr>
        <w:t xml:space="preserve"> parte de múltiples instrumentos internacionales que sirven de base para el desarrollo de los derechos digitales, entre ellos: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Declaración Universal de los Derechos Humanos</w:t>
      </w:r>
      <w:r w:rsidRPr="007A27A5">
        <w:rPr>
          <w:rFonts w:ascii="Times New Roman" w:eastAsia="Bookman Old Style" w:hAnsi="Times New Roman" w:cs="Times New Roman"/>
          <w:sz w:val="24"/>
          <w:szCs w:val="24"/>
        </w:rPr>
        <w:t xml:space="preserve"> (1948)</w:t>
      </w:r>
      <w:r w:rsidRPr="007A27A5">
        <w:rPr>
          <w:rFonts w:ascii="Times New Roman" w:eastAsia="Bookman Old Style" w:hAnsi="Times New Roman" w:cs="Times New Roman"/>
          <w:color w:val="FF0000"/>
          <w:sz w:val="24"/>
          <w:szCs w:val="24"/>
          <w:vertAlign w:val="superscript"/>
        </w:rPr>
        <w:t>3</w:t>
      </w:r>
      <w:r w:rsidRPr="007A27A5">
        <w:rPr>
          <w:rFonts w:ascii="Times New Roman" w:eastAsia="Bookman Old Style" w:hAnsi="Times New Roman" w:cs="Times New Roman"/>
          <w:sz w:val="24"/>
          <w:szCs w:val="24"/>
        </w:rPr>
        <w:t>, que en su artículo 19 establece el derecho a recibir y difundir información “por cualquier medio y sin consideración de fronteras”.</w:t>
      </w: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Pacto Internacional de Derechos Civiles y Políticos</w:t>
      </w:r>
      <w:r w:rsidRPr="007A27A5">
        <w:rPr>
          <w:rFonts w:ascii="Times New Roman" w:eastAsia="Bookman Old Style" w:hAnsi="Times New Roman" w:cs="Times New Roman"/>
          <w:sz w:val="24"/>
          <w:szCs w:val="24"/>
        </w:rPr>
        <w:t xml:space="preserve"> (PIDCP)</w:t>
      </w:r>
      <w:r w:rsidRPr="007A27A5">
        <w:rPr>
          <w:rFonts w:ascii="Times New Roman" w:eastAsia="Bookman Old Style" w:hAnsi="Times New Roman" w:cs="Times New Roman"/>
          <w:color w:val="FF0000"/>
          <w:sz w:val="24"/>
          <w:szCs w:val="24"/>
          <w:vertAlign w:val="superscript"/>
        </w:rPr>
        <w:t>4</w:t>
      </w:r>
      <w:r w:rsidRPr="007A27A5">
        <w:rPr>
          <w:rFonts w:ascii="Times New Roman" w:eastAsia="Bookman Old Style" w:hAnsi="Times New Roman" w:cs="Times New Roman"/>
          <w:sz w:val="24"/>
          <w:szCs w:val="24"/>
        </w:rPr>
        <w:t>, ratificado por México, reconoce en su artículo 17 el derecho a la privacidad, y en su artículo 19, la libertad de expresión.</w:t>
      </w: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Convención Americana sobre Derechos Humanos</w:t>
      </w:r>
      <w:r w:rsidRPr="007A27A5">
        <w:rPr>
          <w:rFonts w:ascii="Times New Roman" w:eastAsia="Bookman Old Style" w:hAnsi="Times New Roman" w:cs="Times New Roman"/>
          <w:sz w:val="24"/>
          <w:szCs w:val="24"/>
        </w:rPr>
        <w:t xml:space="preserve"> (Pacto de San José), cuyo artículo 13 protege la libertad de pensamiento y expresión, aplicables también en entornos digitales.</w:t>
      </w: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Resoluciones de la ONU sobre privacidad en la era digital</w:t>
      </w:r>
      <w:r w:rsidRPr="007A27A5">
        <w:rPr>
          <w:rFonts w:ascii="Times New Roman" w:eastAsia="Bookman Old Style" w:hAnsi="Times New Roman" w:cs="Times New Roman"/>
          <w:sz w:val="24"/>
          <w:szCs w:val="24"/>
        </w:rPr>
        <w:t>, especialmente la A/RES/68/167 (2013),</w:t>
      </w:r>
      <w:r w:rsidRPr="007A27A5">
        <w:rPr>
          <w:rFonts w:ascii="Times New Roman" w:eastAsia="Bookman Old Style" w:hAnsi="Times New Roman" w:cs="Times New Roman"/>
          <w:color w:val="FF0000"/>
          <w:sz w:val="24"/>
          <w:szCs w:val="24"/>
          <w:vertAlign w:val="superscript"/>
        </w:rPr>
        <w:t>5</w:t>
      </w:r>
      <w:r w:rsidRPr="007A27A5">
        <w:rPr>
          <w:rFonts w:ascii="Times New Roman" w:eastAsia="Bookman Old Style" w:hAnsi="Times New Roman" w:cs="Times New Roman"/>
          <w:sz w:val="24"/>
          <w:szCs w:val="24"/>
        </w:rPr>
        <w:t xml:space="preserve"> que reconoce la necesidad de proteger los derechos humanos frente a las nuevas tecnologías.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Estos tratados integran el </w:t>
      </w:r>
      <w:r w:rsidRPr="007A27A5">
        <w:rPr>
          <w:rFonts w:ascii="Times New Roman" w:eastAsia="Bookman Old Style" w:hAnsi="Times New Roman" w:cs="Times New Roman"/>
          <w:b/>
          <w:sz w:val="24"/>
          <w:szCs w:val="24"/>
        </w:rPr>
        <w:t>bloque de constitucionalidad</w:t>
      </w:r>
      <w:r w:rsidRPr="007A27A5">
        <w:rPr>
          <w:rFonts w:ascii="Times New Roman" w:eastAsia="Bookman Old Style" w:hAnsi="Times New Roman" w:cs="Times New Roman"/>
          <w:sz w:val="24"/>
          <w:szCs w:val="24"/>
        </w:rPr>
        <w:t xml:space="preserve"> mexicano conforme al artículo 1º constitucional, y permiten fundamentar legalmente los derechos digitales como parte de los derechos humanos protegidos por el Estado.</w:t>
      </w:r>
    </w:p>
    <w:p w:rsidR="00E125A3" w:rsidRPr="007A27A5" w:rsidRDefault="00E125A3" w:rsidP="00E125A3">
      <w:pPr>
        <w:spacing w:after="0" w:line="240" w:lineRule="auto"/>
        <w:jc w:val="both"/>
        <w:rPr>
          <w:rFonts w:ascii="Times New Roman" w:eastAsia="Bookman Old Style" w:hAnsi="Times New Roman" w:cs="Times New Roman"/>
          <w:sz w:val="24"/>
          <w:szCs w:val="24"/>
        </w:rPr>
      </w:pP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2</w:t>
      </w:r>
      <w:r w:rsidRPr="007A27A5">
        <w:rPr>
          <w:rFonts w:ascii="Times New Roman" w:eastAsia="Calibri" w:hAnsi="Times New Roman" w:cs="Times New Roman"/>
          <w:sz w:val="20"/>
          <w:szCs w:val="24"/>
        </w:rPr>
        <w:t xml:space="preserve"> Villanueva, E. (2021). Derechos digitales y protección de datos personales. México: UNAM.</w:t>
      </w: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3</w:t>
      </w:r>
      <w:r w:rsidRPr="007A27A5">
        <w:rPr>
          <w:rFonts w:ascii="Times New Roman" w:eastAsia="Calibri" w:hAnsi="Times New Roman" w:cs="Times New Roman"/>
          <w:sz w:val="20"/>
          <w:szCs w:val="24"/>
        </w:rPr>
        <w:t xml:space="preserve"> Organización de las Naciones Unidas. (1948). Declaración Universal de los Derechos Humanos.</w:t>
      </w: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4</w:t>
      </w:r>
      <w:r w:rsidRPr="007A27A5">
        <w:rPr>
          <w:rFonts w:ascii="Times New Roman" w:eastAsia="Calibri" w:hAnsi="Times New Roman" w:cs="Times New Roman"/>
          <w:sz w:val="20"/>
          <w:szCs w:val="24"/>
        </w:rPr>
        <w:t xml:space="preserve"> Pacto Internacional de Derechos Civiles y Políticos. Adoptado en 1966, ratificado por México en 1981.</w:t>
      </w:r>
    </w:p>
    <w:p w:rsidR="00E125A3" w:rsidRPr="007A27A5" w:rsidRDefault="00E125A3" w:rsidP="00E125A3">
      <w:pPr>
        <w:spacing w:after="0" w:line="240" w:lineRule="auto"/>
        <w:jc w:val="both"/>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5</w:t>
      </w:r>
      <w:r w:rsidRPr="007A27A5">
        <w:rPr>
          <w:rFonts w:ascii="Times New Roman" w:eastAsia="Calibri" w:hAnsi="Times New Roman" w:cs="Times New Roman"/>
          <w:sz w:val="20"/>
          <w:szCs w:val="24"/>
        </w:rPr>
        <w:t xml:space="preserve"> Asamblea General de las Naciones Unidas. (2013). </w:t>
      </w:r>
      <w:proofErr w:type="spellStart"/>
      <w:r w:rsidRPr="007A27A5">
        <w:rPr>
          <w:rFonts w:ascii="Times New Roman" w:eastAsia="Calibri" w:hAnsi="Times New Roman" w:cs="Times New Roman"/>
          <w:i/>
          <w:sz w:val="20"/>
          <w:szCs w:val="24"/>
        </w:rPr>
        <w:t>The</w:t>
      </w:r>
      <w:proofErr w:type="spellEnd"/>
      <w:r w:rsidRPr="007A27A5">
        <w:rPr>
          <w:rFonts w:ascii="Times New Roman" w:eastAsia="Calibri" w:hAnsi="Times New Roman" w:cs="Times New Roman"/>
          <w:i/>
          <w:sz w:val="20"/>
          <w:szCs w:val="24"/>
        </w:rPr>
        <w:t xml:space="preserve"> </w:t>
      </w:r>
      <w:proofErr w:type="spellStart"/>
      <w:r w:rsidRPr="007A27A5">
        <w:rPr>
          <w:rFonts w:ascii="Times New Roman" w:eastAsia="Calibri" w:hAnsi="Times New Roman" w:cs="Times New Roman"/>
          <w:i/>
          <w:sz w:val="20"/>
          <w:szCs w:val="24"/>
        </w:rPr>
        <w:t>right</w:t>
      </w:r>
      <w:proofErr w:type="spellEnd"/>
      <w:r w:rsidRPr="007A27A5">
        <w:rPr>
          <w:rFonts w:ascii="Times New Roman" w:eastAsia="Calibri" w:hAnsi="Times New Roman" w:cs="Times New Roman"/>
          <w:i/>
          <w:sz w:val="20"/>
          <w:szCs w:val="24"/>
        </w:rPr>
        <w:t xml:space="preserve"> </w:t>
      </w:r>
      <w:proofErr w:type="spellStart"/>
      <w:r w:rsidRPr="007A27A5">
        <w:rPr>
          <w:rFonts w:ascii="Times New Roman" w:eastAsia="Calibri" w:hAnsi="Times New Roman" w:cs="Times New Roman"/>
          <w:i/>
          <w:sz w:val="20"/>
          <w:szCs w:val="24"/>
        </w:rPr>
        <w:t>to</w:t>
      </w:r>
      <w:proofErr w:type="spellEnd"/>
      <w:r w:rsidRPr="007A27A5">
        <w:rPr>
          <w:rFonts w:ascii="Times New Roman" w:eastAsia="Calibri" w:hAnsi="Times New Roman" w:cs="Times New Roman"/>
          <w:i/>
          <w:sz w:val="20"/>
          <w:szCs w:val="24"/>
        </w:rPr>
        <w:t xml:space="preserve"> </w:t>
      </w:r>
      <w:proofErr w:type="spellStart"/>
      <w:r w:rsidRPr="007A27A5">
        <w:rPr>
          <w:rFonts w:ascii="Times New Roman" w:eastAsia="Calibri" w:hAnsi="Times New Roman" w:cs="Times New Roman"/>
          <w:i/>
          <w:sz w:val="20"/>
          <w:szCs w:val="24"/>
        </w:rPr>
        <w:t>privacy</w:t>
      </w:r>
      <w:proofErr w:type="spellEnd"/>
      <w:r w:rsidRPr="007A27A5">
        <w:rPr>
          <w:rFonts w:ascii="Times New Roman" w:eastAsia="Calibri" w:hAnsi="Times New Roman" w:cs="Times New Roman"/>
          <w:i/>
          <w:sz w:val="20"/>
          <w:szCs w:val="24"/>
        </w:rPr>
        <w:t xml:space="preserve"> in </w:t>
      </w:r>
      <w:proofErr w:type="spellStart"/>
      <w:r w:rsidRPr="007A27A5">
        <w:rPr>
          <w:rFonts w:ascii="Times New Roman" w:eastAsia="Calibri" w:hAnsi="Times New Roman" w:cs="Times New Roman"/>
          <w:i/>
          <w:sz w:val="20"/>
          <w:szCs w:val="24"/>
        </w:rPr>
        <w:t>the</w:t>
      </w:r>
      <w:proofErr w:type="spellEnd"/>
      <w:r w:rsidRPr="007A27A5">
        <w:rPr>
          <w:rFonts w:ascii="Times New Roman" w:eastAsia="Calibri" w:hAnsi="Times New Roman" w:cs="Times New Roman"/>
          <w:i/>
          <w:sz w:val="20"/>
          <w:szCs w:val="24"/>
        </w:rPr>
        <w:t xml:space="preserve"> digital </w:t>
      </w:r>
      <w:proofErr w:type="spellStart"/>
      <w:r w:rsidRPr="007A27A5">
        <w:rPr>
          <w:rFonts w:ascii="Times New Roman" w:eastAsia="Calibri" w:hAnsi="Times New Roman" w:cs="Times New Roman"/>
          <w:i/>
          <w:sz w:val="20"/>
          <w:szCs w:val="24"/>
        </w:rPr>
        <w:t>age</w:t>
      </w:r>
      <w:proofErr w:type="spellEnd"/>
      <w:r w:rsidRPr="007A27A5">
        <w:rPr>
          <w:rFonts w:ascii="Times New Roman" w:eastAsia="Calibri" w:hAnsi="Times New Roman" w:cs="Times New Roman"/>
          <w:i/>
          <w:sz w:val="20"/>
          <w:szCs w:val="24"/>
        </w:rPr>
        <w:t xml:space="preserve"> </w:t>
      </w:r>
      <w:r w:rsidRPr="007A27A5">
        <w:rPr>
          <w:rFonts w:ascii="Times New Roman" w:eastAsia="Calibri" w:hAnsi="Times New Roman" w:cs="Times New Roman"/>
          <w:sz w:val="20"/>
          <w:szCs w:val="24"/>
        </w:rPr>
        <w:t>(A/RES/68/167). https://undocs.org/en/A/RES/68/16</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En este sentido, la interpretación judicial y su papel en la protección de los derechos digitales es fundamental para garantizar que el Poder Judicial de la Federación</w:t>
      </w:r>
      <w:r w:rsidRPr="007A27A5">
        <w:rPr>
          <w:rFonts w:ascii="Times New Roman" w:eastAsia="Bookman Old Style" w:hAnsi="Times New Roman" w:cs="Times New Roman"/>
          <w:sz w:val="24"/>
          <w:szCs w:val="24"/>
        </w:rPr>
        <w:t xml:space="preserve"> desarrolle una doctrina en torno a los derechos digitales. Un ejemplo notable es la </w:t>
      </w:r>
      <w:r w:rsidRPr="007A27A5">
        <w:rPr>
          <w:rFonts w:ascii="Times New Roman" w:eastAsia="Bookman Old Style" w:hAnsi="Times New Roman" w:cs="Times New Roman"/>
          <w:b/>
          <w:sz w:val="24"/>
          <w:szCs w:val="24"/>
        </w:rPr>
        <w:t>jurisprudencia</w:t>
      </w:r>
      <w:r w:rsidRPr="007A27A5">
        <w:rPr>
          <w:rFonts w:ascii="Times New Roman" w:eastAsia="Bookman Old Style" w:hAnsi="Times New Roman" w:cs="Times New Roman"/>
          <w:sz w:val="24"/>
          <w:szCs w:val="24"/>
        </w:rPr>
        <w:t xml:space="preserve"> de la Suprema Corte de Justicia de la Nación (SCJN)</w:t>
      </w:r>
      <w:r w:rsidRPr="007A27A5">
        <w:rPr>
          <w:rFonts w:ascii="Times New Roman" w:eastAsia="Bookman Old Style" w:hAnsi="Times New Roman" w:cs="Times New Roman"/>
          <w:color w:val="FF0000"/>
          <w:sz w:val="24"/>
          <w:szCs w:val="24"/>
          <w:vertAlign w:val="superscript"/>
        </w:rPr>
        <w:t>6</w:t>
      </w:r>
      <w:r w:rsidRPr="007A27A5">
        <w:rPr>
          <w:rFonts w:ascii="Times New Roman" w:eastAsia="Bookman Old Style" w:hAnsi="Times New Roman" w:cs="Times New Roman"/>
          <w:sz w:val="24"/>
          <w:szCs w:val="24"/>
        </w:rPr>
        <w:t xml:space="preserve"> relacionada con la geolocalización de dispositivos móviles (Contradicción de Tesis 293/2011), en la que se establece que la geolocalización sin orden judicial vulnera el derecho a la privacidad.</w:t>
      </w:r>
      <w:r w:rsidRPr="007A27A5">
        <w:rPr>
          <w:rFonts w:ascii="Times New Roman" w:eastAsia="Bookman Old Style" w:hAnsi="Times New Roman" w:cs="Times New Roman"/>
          <w:color w:val="FF0000"/>
          <w:sz w:val="24"/>
          <w:szCs w:val="24"/>
          <w:vertAlign w:val="superscript"/>
        </w:rPr>
        <w:t>7</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Asimismo, la SCJN ha reconocido que el uso de redes sociales forma parte de la libertad de expresión, y ha comenzado a analizar temas como el bloqueo de cuentas, el discurso de odio en línea y la responsabilidad de las plataformas digitales.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A pesar del marco normativo, en la práctica los derechos digitales enfrentan múltiples retos en México: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Brecha digital</w:t>
      </w:r>
      <w:r w:rsidRPr="007A27A5">
        <w:rPr>
          <w:rFonts w:ascii="Times New Roman" w:eastAsia="Bookman Old Style" w:hAnsi="Times New Roman" w:cs="Times New Roman"/>
          <w:sz w:val="24"/>
          <w:szCs w:val="24"/>
        </w:rPr>
        <w:t>: persiste un acceso desigual a internet en zonas rurales y marginadas.</w:t>
      </w: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Vigilancia estatal y seguridad nacional</w:t>
      </w:r>
      <w:r w:rsidRPr="007A27A5">
        <w:rPr>
          <w:rFonts w:ascii="Times New Roman" w:eastAsia="Bookman Old Style" w:hAnsi="Times New Roman" w:cs="Times New Roman"/>
          <w:sz w:val="24"/>
          <w:szCs w:val="24"/>
        </w:rPr>
        <w:t>: casos como el uso de software espía Pegasus han evidenciado violaciones a la privacidad sin control judicial adecuado.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6</w:t>
      </w:r>
      <w:r w:rsidRPr="007A27A5">
        <w:rPr>
          <w:rFonts w:ascii="Times New Roman" w:eastAsia="Calibri" w:hAnsi="Times New Roman" w:cs="Times New Roman"/>
          <w:sz w:val="20"/>
          <w:szCs w:val="24"/>
        </w:rPr>
        <w:t xml:space="preserve"> Suprema Corte de Justicia de la Nación (SCJN). Contradicción de Tesis 293/2011.</w:t>
      </w: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7</w:t>
      </w:r>
      <w:r w:rsidRPr="007A27A5">
        <w:rPr>
          <w:rFonts w:ascii="Times New Roman" w:eastAsia="Calibri" w:hAnsi="Times New Roman" w:cs="Times New Roman"/>
          <w:sz w:val="20"/>
          <w:szCs w:val="24"/>
        </w:rPr>
        <w:t xml:space="preserve"> Corte Interamericana de Derechos Humanos. (2020). Opinión Consultiva OC-24/17.</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Desinformación y violencia digital</w:t>
      </w:r>
      <w:r w:rsidRPr="007A27A5">
        <w:rPr>
          <w:rFonts w:ascii="Times New Roman" w:eastAsia="Bookman Old Style" w:hAnsi="Times New Roman" w:cs="Times New Roman"/>
          <w:sz w:val="24"/>
          <w:szCs w:val="24"/>
        </w:rPr>
        <w:t>: el ecosistema digital enfrenta desafíos éticos y legales en temas como discursos de odio, acoso en línea y noticias falsas.</w:t>
      </w: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Segoe MDL2 Assets" w:hAnsi="Times New Roman" w:cs="Times New Roman"/>
          <w:sz w:val="24"/>
          <w:szCs w:val="24"/>
        </w:rPr>
        <w:t></w:t>
      </w:r>
      <w:r w:rsidRPr="007A27A5">
        <w:rPr>
          <w:rFonts w:ascii="Times New Roman" w:eastAsia="Segoe MDL2 Assets" w:hAnsi="Times New Roman" w:cs="Times New Roman"/>
          <w:sz w:val="24"/>
          <w:szCs w:val="24"/>
        </w:rPr>
        <w:tab/>
      </w:r>
      <w:r w:rsidRPr="007A27A5">
        <w:rPr>
          <w:rFonts w:ascii="Times New Roman" w:eastAsia="Bookman Old Style" w:hAnsi="Times New Roman" w:cs="Times New Roman"/>
          <w:b/>
          <w:sz w:val="24"/>
          <w:szCs w:val="24"/>
        </w:rPr>
        <w:t>Educación digital</w:t>
      </w:r>
      <w:r w:rsidRPr="007A27A5">
        <w:rPr>
          <w:rFonts w:ascii="Times New Roman" w:eastAsia="Bookman Old Style" w:hAnsi="Times New Roman" w:cs="Times New Roman"/>
          <w:sz w:val="24"/>
          <w:szCs w:val="24"/>
        </w:rPr>
        <w:t>: existe una necesidad urgente de alfabetización digital crítica, tanto en la ciudadanía como en las instituciones públicas.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Los derechos digitales no constituyen una categoría jurídica distinta de los derechos humanos, sino una dimensión más de su ejercicio. La Constitución mexicana, interpretada a la luz de los tratados internacionales, ofrece un andamiaje normativo sólido para su reconocimiento y protección. No obstante, corresponde a los poderes públicos, al sistema judicial y a la sociedad civil avanzar hacia una cultura digital de respeto, libertad, inclusión y responsabilidad.</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El desafío no es menor: se trata de garantizar que la revolución tecnológica no deje a nadie atrás, y que los derechos que protegen la dignidad humana sean efectivos también en los entornos digitales.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Por ello, con la acelerada transformación digital de la vida social, económica y jurídica ha generado nuevas formas de presencia, interacción y ejercicio de derechos en entornos electrónicos.</w:t>
      </w:r>
      <w:r w:rsidRPr="007A27A5">
        <w:rPr>
          <w:rFonts w:ascii="Times New Roman" w:eastAsia="Bookman Old Style" w:hAnsi="Times New Roman" w:cs="Times New Roman"/>
          <w:color w:val="FF0000"/>
          <w:sz w:val="24"/>
          <w:szCs w:val="24"/>
          <w:vertAlign w:val="superscript"/>
        </w:rPr>
        <w:t>8</w:t>
      </w:r>
      <w:r w:rsidRPr="007A27A5">
        <w:rPr>
          <w:rFonts w:ascii="Times New Roman" w:eastAsia="Bookman Old Style" w:hAnsi="Times New Roman" w:cs="Times New Roman"/>
          <w:sz w:val="24"/>
          <w:szCs w:val="24"/>
        </w:rPr>
        <w:t xml:space="preserve"> Dentro de este proceso, la </w:t>
      </w:r>
      <w:r w:rsidRPr="007A27A5">
        <w:rPr>
          <w:rFonts w:ascii="Times New Roman" w:eastAsia="Bookman Old Style" w:hAnsi="Times New Roman" w:cs="Times New Roman"/>
          <w:b/>
          <w:sz w:val="24"/>
          <w:szCs w:val="24"/>
        </w:rPr>
        <w:t>identidad digital</w:t>
      </w:r>
      <w:r w:rsidRPr="007A27A5">
        <w:rPr>
          <w:rFonts w:ascii="Times New Roman" w:eastAsia="Bookman Old Style" w:hAnsi="Times New Roman" w:cs="Times New Roman"/>
          <w:sz w:val="24"/>
          <w:szCs w:val="24"/>
        </w:rPr>
        <w:t xml:space="preserve"> emerge como un atributo esencial de las personas en el mundo contemporáneo, indispensable para el acceso a servicios digitales públicos y privados, así como para el ejercicio de derechos fundamentales como la identidad, la privacidad y la protección de datos personales.</w:t>
      </w:r>
    </w:p>
    <w:p w:rsidR="00E125A3" w:rsidRPr="007A27A5" w:rsidRDefault="00E125A3" w:rsidP="00E125A3">
      <w:pPr>
        <w:spacing w:after="0" w:line="240" w:lineRule="auto"/>
        <w:jc w:val="both"/>
        <w:rPr>
          <w:rFonts w:ascii="Times New Roman" w:eastAsia="Bookman Old Style" w:hAnsi="Times New Roman" w:cs="Times New Roman"/>
          <w:sz w:val="24"/>
          <w:szCs w:val="24"/>
        </w:rPr>
      </w:pP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8</w:t>
      </w:r>
      <w:r w:rsidRPr="007A27A5">
        <w:rPr>
          <w:rFonts w:ascii="Times New Roman" w:eastAsia="Calibri" w:hAnsi="Times New Roman" w:cs="Times New Roman"/>
          <w:sz w:val="20"/>
          <w:szCs w:val="24"/>
        </w:rPr>
        <w:t xml:space="preserve"> Estrategia Digital Nacional. Secretaría de Gobernación. Gobierno de México. (2023).</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color w:val="FF0000"/>
          <w:sz w:val="24"/>
          <w:szCs w:val="24"/>
          <w:vertAlign w:val="superscript"/>
        </w:rPr>
      </w:pPr>
      <w:r w:rsidRPr="007A27A5">
        <w:rPr>
          <w:rFonts w:ascii="Times New Roman" w:eastAsia="Bookman Old Style" w:hAnsi="Times New Roman" w:cs="Times New Roman"/>
          <w:sz w:val="24"/>
          <w:szCs w:val="24"/>
        </w:rPr>
        <w:t xml:space="preserve">La </w:t>
      </w:r>
      <w:r w:rsidRPr="007A27A5">
        <w:rPr>
          <w:rFonts w:ascii="Times New Roman" w:eastAsia="Bookman Old Style" w:hAnsi="Times New Roman" w:cs="Times New Roman"/>
          <w:b/>
          <w:sz w:val="24"/>
          <w:szCs w:val="24"/>
        </w:rPr>
        <w:t>identidad digital</w:t>
      </w:r>
      <w:r w:rsidRPr="007A27A5">
        <w:rPr>
          <w:rFonts w:ascii="Times New Roman" w:eastAsia="Bookman Old Style" w:hAnsi="Times New Roman" w:cs="Times New Roman"/>
          <w:sz w:val="24"/>
          <w:szCs w:val="24"/>
        </w:rPr>
        <w:t xml:space="preserve"> puede definirse como </w:t>
      </w:r>
      <w:r w:rsidRPr="007A27A5">
        <w:rPr>
          <w:rFonts w:ascii="Times New Roman" w:eastAsia="Bookman Old Style" w:hAnsi="Times New Roman" w:cs="Times New Roman"/>
          <w:i/>
          <w:sz w:val="24"/>
          <w:szCs w:val="24"/>
        </w:rPr>
        <w:t xml:space="preserve">el conjunto de información personal, credenciales electrónicas y representaciones tecnológicas que permiten identificar de forma unívoca a una persona en entornos digitales </w:t>
      </w:r>
      <w:r w:rsidRPr="007A27A5">
        <w:rPr>
          <w:rFonts w:ascii="Times New Roman" w:eastAsia="Bookman Old Style" w:hAnsi="Times New Roman" w:cs="Times New Roman"/>
          <w:sz w:val="24"/>
          <w:szCs w:val="24"/>
        </w:rPr>
        <w:t>(Castells, 2009).</w:t>
      </w:r>
      <w:r w:rsidRPr="007A27A5">
        <w:rPr>
          <w:rFonts w:ascii="Times New Roman" w:eastAsia="Bookman Old Style" w:hAnsi="Times New Roman" w:cs="Times New Roman"/>
          <w:color w:val="FF0000"/>
          <w:sz w:val="24"/>
          <w:szCs w:val="24"/>
          <w:vertAlign w:val="superscript"/>
        </w:rPr>
        <w:t>9</w:t>
      </w:r>
      <w:r w:rsidRPr="007A27A5">
        <w:rPr>
          <w:rFonts w:ascii="Times New Roman" w:eastAsia="Bookman Old Style" w:hAnsi="Times New Roman" w:cs="Times New Roman"/>
          <w:sz w:val="24"/>
          <w:szCs w:val="24"/>
        </w:rPr>
        <w:t xml:space="preserve"> Este concepto integra tanto los </w:t>
      </w:r>
      <w:r w:rsidRPr="007A27A5">
        <w:rPr>
          <w:rFonts w:ascii="Times New Roman" w:eastAsia="Bookman Old Style" w:hAnsi="Times New Roman" w:cs="Times New Roman"/>
          <w:b/>
          <w:sz w:val="24"/>
          <w:szCs w:val="24"/>
        </w:rPr>
        <w:t>datos personales</w:t>
      </w:r>
      <w:r w:rsidRPr="007A27A5">
        <w:rPr>
          <w:rFonts w:ascii="Times New Roman" w:eastAsia="Bookman Old Style" w:hAnsi="Times New Roman" w:cs="Times New Roman"/>
          <w:sz w:val="24"/>
          <w:szCs w:val="24"/>
        </w:rPr>
        <w:t xml:space="preserve"> </w:t>
      </w:r>
      <w:r w:rsidRPr="007A27A5">
        <w:rPr>
          <w:rFonts w:ascii="Times New Roman" w:eastAsia="Bookman Old Style" w:hAnsi="Times New Roman" w:cs="Times New Roman"/>
          <w:sz w:val="24"/>
          <w:szCs w:val="24"/>
        </w:rPr>
        <w:lastRenderedPageBreak/>
        <w:t xml:space="preserve">—como nombre, CURP, dirección, fotografías, historial médico o financiero— como los </w:t>
      </w:r>
      <w:r w:rsidRPr="007A27A5">
        <w:rPr>
          <w:rFonts w:ascii="Times New Roman" w:eastAsia="Bookman Old Style" w:hAnsi="Times New Roman" w:cs="Times New Roman"/>
          <w:b/>
          <w:sz w:val="24"/>
          <w:szCs w:val="24"/>
        </w:rPr>
        <w:t>elementos tecnológicos</w:t>
      </w:r>
      <w:r w:rsidRPr="007A27A5">
        <w:rPr>
          <w:rFonts w:ascii="Times New Roman" w:eastAsia="Bookman Old Style" w:hAnsi="Times New Roman" w:cs="Times New Roman"/>
          <w:sz w:val="24"/>
          <w:szCs w:val="24"/>
        </w:rPr>
        <w:t xml:space="preserve"> asociados a una persona, incluyendo su firma electrónica, credenciales digitales, contraseñas, biometría (huella, rostro, iris), y perfiles verificados utilizados en plataformas electrónicas (</w:t>
      </w:r>
      <w:proofErr w:type="spellStart"/>
      <w:r w:rsidRPr="007A27A5">
        <w:rPr>
          <w:rFonts w:ascii="Times New Roman" w:eastAsia="Bookman Old Style" w:hAnsi="Times New Roman" w:cs="Times New Roman"/>
          <w:sz w:val="24"/>
          <w:szCs w:val="24"/>
        </w:rPr>
        <w:t>Solove</w:t>
      </w:r>
      <w:proofErr w:type="spellEnd"/>
      <w:r w:rsidRPr="007A27A5">
        <w:rPr>
          <w:rFonts w:ascii="Times New Roman" w:eastAsia="Bookman Old Style" w:hAnsi="Times New Roman" w:cs="Times New Roman"/>
          <w:sz w:val="24"/>
          <w:szCs w:val="24"/>
        </w:rPr>
        <w:t>, 2004; INAI, 2022).</w:t>
      </w:r>
      <w:r w:rsidRPr="007A27A5">
        <w:rPr>
          <w:rFonts w:ascii="Times New Roman" w:eastAsia="Bookman Old Style" w:hAnsi="Times New Roman" w:cs="Times New Roman"/>
          <w:color w:val="FF0000"/>
          <w:sz w:val="24"/>
          <w:szCs w:val="24"/>
          <w:vertAlign w:val="superscript"/>
        </w:rPr>
        <w:t>10</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Con base en el artículo 3, fracción II de la Ley General de Protección de Datos Personales en Posesión de Sujetos Obligados (LGPDPPSO</w:t>
      </w:r>
      <w:r w:rsidRPr="007A27A5">
        <w:rPr>
          <w:rFonts w:ascii="Times New Roman" w:eastAsia="Bookman Old Style" w:hAnsi="Times New Roman" w:cs="Times New Roman"/>
          <w:color w:val="FF0000"/>
          <w:sz w:val="24"/>
          <w:szCs w:val="24"/>
          <w:vertAlign w:val="superscript"/>
        </w:rPr>
        <w:t>11</w:t>
      </w:r>
      <w:r w:rsidRPr="007A27A5">
        <w:rPr>
          <w:rFonts w:ascii="Times New Roman" w:eastAsia="Bookman Old Style" w:hAnsi="Times New Roman" w:cs="Times New Roman"/>
          <w:sz w:val="24"/>
          <w:szCs w:val="24"/>
        </w:rPr>
        <w:t xml:space="preserve">), los </w:t>
      </w:r>
      <w:r w:rsidRPr="007A27A5">
        <w:rPr>
          <w:rFonts w:ascii="Times New Roman" w:eastAsia="Bookman Old Style" w:hAnsi="Times New Roman" w:cs="Times New Roman"/>
          <w:b/>
          <w:sz w:val="24"/>
          <w:szCs w:val="24"/>
        </w:rPr>
        <w:t>datos personales</w:t>
      </w:r>
      <w:r w:rsidRPr="007A27A5">
        <w:rPr>
          <w:rFonts w:ascii="Times New Roman" w:eastAsia="Bookman Old Style" w:hAnsi="Times New Roman" w:cs="Times New Roman"/>
          <w:sz w:val="24"/>
          <w:szCs w:val="24"/>
        </w:rPr>
        <w:t xml:space="preserve"> son cualquier</w:t>
      </w:r>
      <w:r w:rsidRPr="007A27A5">
        <w:rPr>
          <w:rFonts w:ascii="Times New Roman" w:eastAsia="Bookman Old Style" w:hAnsi="Times New Roman" w:cs="Times New Roman"/>
          <w:i/>
          <w:sz w:val="24"/>
          <w:szCs w:val="24"/>
        </w:rPr>
        <w:t xml:space="preserve"> información concerniente a una persona física identificada o identificable</w:t>
      </w:r>
      <w:r w:rsidRPr="007A27A5">
        <w:rPr>
          <w:rFonts w:ascii="Times New Roman" w:eastAsia="Bookman Old Style" w:hAnsi="Times New Roman" w:cs="Times New Roman"/>
          <w:sz w:val="24"/>
          <w:szCs w:val="24"/>
        </w:rPr>
        <w:t>, lo cual incluye elementos tanto tradicionales como digitales.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Asimismo, el artículo 16 de la </w:t>
      </w:r>
      <w:r w:rsidRPr="007A27A5">
        <w:rPr>
          <w:rFonts w:ascii="Times New Roman" w:eastAsia="Bookman Old Style" w:hAnsi="Times New Roman" w:cs="Times New Roman"/>
          <w:b/>
          <w:sz w:val="24"/>
          <w:szCs w:val="24"/>
        </w:rPr>
        <w:t>Constitución Política de los Estados Unidos Mexicanos</w:t>
      </w:r>
      <w:r w:rsidRPr="007A27A5">
        <w:rPr>
          <w:rFonts w:ascii="Times New Roman" w:eastAsia="Bookman Old Style" w:hAnsi="Times New Roman" w:cs="Times New Roman"/>
          <w:sz w:val="24"/>
          <w:szCs w:val="24"/>
        </w:rPr>
        <w:t xml:space="preserve"> garantiza el derecho a la protección de datos personales, la privacidad y la autodeterminación informativa. De igual forma, la </w:t>
      </w:r>
      <w:r w:rsidRPr="007A27A5">
        <w:rPr>
          <w:rFonts w:ascii="Times New Roman" w:eastAsia="Bookman Old Style" w:hAnsi="Times New Roman" w:cs="Times New Roman"/>
          <w:b/>
          <w:sz w:val="24"/>
          <w:szCs w:val="24"/>
        </w:rPr>
        <w:t>Agenda Digital Nacional</w:t>
      </w:r>
      <w:r w:rsidRPr="007A27A5">
        <w:rPr>
          <w:rFonts w:ascii="Times New Roman" w:eastAsia="Bookman Old Style" w:hAnsi="Times New Roman" w:cs="Times New Roman"/>
          <w:sz w:val="24"/>
          <w:szCs w:val="24"/>
        </w:rPr>
        <w:t xml:space="preserve"> y la Estrategia Digital de la Secretaría de Gobernación reconocen la identidad digital como condición básica para la inclusión social y el acceso igualitario a la tecnología.</w:t>
      </w:r>
    </w:p>
    <w:p w:rsidR="00E125A3" w:rsidRPr="007A27A5" w:rsidRDefault="00E125A3" w:rsidP="00E125A3">
      <w:pPr>
        <w:spacing w:after="0" w:line="240" w:lineRule="auto"/>
        <w:jc w:val="both"/>
        <w:rPr>
          <w:rFonts w:ascii="Times New Roman" w:eastAsia="Bookman Old Style" w:hAnsi="Times New Roman" w:cs="Times New Roman"/>
          <w:sz w:val="24"/>
          <w:szCs w:val="24"/>
        </w:rPr>
      </w:pP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9</w:t>
      </w:r>
      <w:r w:rsidRPr="007A27A5">
        <w:rPr>
          <w:rFonts w:ascii="Times New Roman" w:eastAsia="Calibri" w:hAnsi="Times New Roman" w:cs="Times New Roman"/>
          <w:sz w:val="20"/>
          <w:szCs w:val="24"/>
        </w:rPr>
        <w:t xml:space="preserve"> Castells, M. (2009). </w:t>
      </w:r>
      <w:r w:rsidRPr="007A27A5">
        <w:rPr>
          <w:rFonts w:ascii="Times New Roman" w:eastAsia="Calibri" w:hAnsi="Times New Roman" w:cs="Times New Roman"/>
          <w:i/>
          <w:sz w:val="20"/>
          <w:szCs w:val="24"/>
        </w:rPr>
        <w:t>Comunicación y poder</w:t>
      </w:r>
      <w:r w:rsidRPr="007A27A5">
        <w:rPr>
          <w:rFonts w:ascii="Times New Roman" w:eastAsia="Calibri" w:hAnsi="Times New Roman" w:cs="Times New Roman"/>
          <w:sz w:val="20"/>
          <w:szCs w:val="24"/>
        </w:rPr>
        <w:t>. Madrid: Alianza Editorial.</w:t>
      </w: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10</w:t>
      </w:r>
      <w:r w:rsidRPr="007A27A5">
        <w:rPr>
          <w:rFonts w:ascii="Times New Roman" w:eastAsia="Calibri" w:hAnsi="Times New Roman" w:cs="Times New Roman"/>
          <w:sz w:val="20"/>
          <w:szCs w:val="24"/>
        </w:rPr>
        <w:t xml:space="preserve"> </w:t>
      </w:r>
      <w:proofErr w:type="spellStart"/>
      <w:r w:rsidRPr="007A27A5">
        <w:rPr>
          <w:rFonts w:ascii="Times New Roman" w:eastAsia="Calibri" w:hAnsi="Times New Roman" w:cs="Times New Roman"/>
          <w:sz w:val="20"/>
          <w:szCs w:val="24"/>
        </w:rPr>
        <w:t>Solove</w:t>
      </w:r>
      <w:proofErr w:type="spellEnd"/>
      <w:r w:rsidRPr="007A27A5">
        <w:rPr>
          <w:rFonts w:ascii="Times New Roman" w:eastAsia="Calibri" w:hAnsi="Times New Roman" w:cs="Times New Roman"/>
          <w:sz w:val="20"/>
          <w:szCs w:val="24"/>
        </w:rPr>
        <w:t xml:space="preserve">, D. J. (2004). </w:t>
      </w:r>
      <w:proofErr w:type="spellStart"/>
      <w:r w:rsidRPr="007A27A5">
        <w:rPr>
          <w:rFonts w:ascii="Times New Roman" w:eastAsia="Calibri" w:hAnsi="Times New Roman" w:cs="Times New Roman"/>
          <w:i/>
          <w:sz w:val="20"/>
          <w:szCs w:val="24"/>
        </w:rPr>
        <w:t>The</w:t>
      </w:r>
      <w:proofErr w:type="spellEnd"/>
      <w:r w:rsidRPr="007A27A5">
        <w:rPr>
          <w:rFonts w:ascii="Times New Roman" w:eastAsia="Calibri" w:hAnsi="Times New Roman" w:cs="Times New Roman"/>
          <w:i/>
          <w:sz w:val="20"/>
          <w:szCs w:val="24"/>
        </w:rPr>
        <w:t xml:space="preserve"> Digital </w:t>
      </w:r>
      <w:proofErr w:type="spellStart"/>
      <w:r w:rsidRPr="007A27A5">
        <w:rPr>
          <w:rFonts w:ascii="Times New Roman" w:eastAsia="Calibri" w:hAnsi="Times New Roman" w:cs="Times New Roman"/>
          <w:i/>
          <w:sz w:val="20"/>
          <w:szCs w:val="24"/>
        </w:rPr>
        <w:t>Person</w:t>
      </w:r>
      <w:proofErr w:type="spellEnd"/>
      <w:r w:rsidRPr="007A27A5">
        <w:rPr>
          <w:rFonts w:ascii="Times New Roman" w:eastAsia="Calibri" w:hAnsi="Times New Roman" w:cs="Times New Roman"/>
          <w:i/>
          <w:sz w:val="20"/>
          <w:szCs w:val="24"/>
        </w:rPr>
        <w:t xml:space="preserve">: </w:t>
      </w:r>
      <w:proofErr w:type="spellStart"/>
      <w:r w:rsidRPr="007A27A5">
        <w:rPr>
          <w:rFonts w:ascii="Times New Roman" w:eastAsia="Calibri" w:hAnsi="Times New Roman" w:cs="Times New Roman"/>
          <w:i/>
          <w:sz w:val="20"/>
          <w:szCs w:val="24"/>
        </w:rPr>
        <w:t>Technology</w:t>
      </w:r>
      <w:proofErr w:type="spellEnd"/>
      <w:r w:rsidRPr="007A27A5">
        <w:rPr>
          <w:rFonts w:ascii="Times New Roman" w:eastAsia="Calibri" w:hAnsi="Times New Roman" w:cs="Times New Roman"/>
          <w:i/>
          <w:sz w:val="20"/>
          <w:szCs w:val="24"/>
        </w:rPr>
        <w:t xml:space="preserve"> and </w:t>
      </w:r>
      <w:proofErr w:type="spellStart"/>
      <w:r w:rsidRPr="007A27A5">
        <w:rPr>
          <w:rFonts w:ascii="Times New Roman" w:eastAsia="Calibri" w:hAnsi="Times New Roman" w:cs="Times New Roman"/>
          <w:i/>
          <w:sz w:val="20"/>
          <w:szCs w:val="24"/>
        </w:rPr>
        <w:t>Privacy</w:t>
      </w:r>
      <w:proofErr w:type="spellEnd"/>
      <w:r w:rsidRPr="007A27A5">
        <w:rPr>
          <w:rFonts w:ascii="Times New Roman" w:eastAsia="Calibri" w:hAnsi="Times New Roman" w:cs="Times New Roman"/>
          <w:i/>
          <w:sz w:val="20"/>
          <w:szCs w:val="24"/>
        </w:rPr>
        <w:t xml:space="preserve"> in </w:t>
      </w:r>
      <w:proofErr w:type="spellStart"/>
      <w:r w:rsidRPr="007A27A5">
        <w:rPr>
          <w:rFonts w:ascii="Times New Roman" w:eastAsia="Calibri" w:hAnsi="Times New Roman" w:cs="Times New Roman"/>
          <w:i/>
          <w:sz w:val="20"/>
          <w:szCs w:val="24"/>
        </w:rPr>
        <w:t>the</w:t>
      </w:r>
      <w:proofErr w:type="spellEnd"/>
      <w:r w:rsidRPr="007A27A5">
        <w:rPr>
          <w:rFonts w:ascii="Times New Roman" w:eastAsia="Calibri" w:hAnsi="Times New Roman" w:cs="Times New Roman"/>
          <w:i/>
          <w:sz w:val="20"/>
          <w:szCs w:val="24"/>
        </w:rPr>
        <w:t xml:space="preserve"> </w:t>
      </w:r>
      <w:proofErr w:type="spellStart"/>
      <w:r w:rsidRPr="007A27A5">
        <w:rPr>
          <w:rFonts w:ascii="Times New Roman" w:eastAsia="Calibri" w:hAnsi="Times New Roman" w:cs="Times New Roman"/>
          <w:i/>
          <w:sz w:val="20"/>
          <w:szCs w:val="24"/>
        </w:rPr>
        <w:t>Information</w:t>
      </w:r>
      <w:proofErr w:type="spellEnd"/>
      <w:r w:rsidRPr="007A27A5">
        <w:rPr>
          <w:rFonts w:ascii="Times New Roman" w:eastAsia="Calibri" w:hAnsi="Times New Roman" w:cs="Times New Roman"/>
          <w:i/>
          <w:sz w:val="20"/>
          <w:szCs w:val="24"/>
        </w:rPr>
        <w:t xml:space="preserve"> Age</w:t>
      </w:r>
      <w:r w:rsidRPr="007A27A5">
        <w:rPr>
          <w:rFonts w:ascii="Times New Roman" w:eastAsia="Calibri" w:hAnsi="Times New Roman" w:cs="Times New Roman"/>
          <w:sz w:val="20"/>
          <w:szCs w:val="24"/>
        </w:rPr>
        <w:t xml:space="preserve">. New York: NYU </w:t>
      </w:r>
      <w:proofErr w:type="spellStart"/>
      <w:r w:rsidRPr="007A27A5">
        <w:rPr>
          <w:rFonts w:ascii="Times New Roman" w:eastAsia="Calibri" w:hAnsi="Times New Roman" w:cs="Times New Roman"/>
          <w:sz w:val="20"/>
          <w:szCs w:val="24"/>
        </w:rPr>
        <w:t>Press</w:t>
      </w:r>
      <w:proofErr w:type="spellEnd"/>
      <w:r w:rsidRPr="007A27A5">
        <w:rPr>
          <w:rFonts w:ascii="Times New Roman" w:eastAsia="Calibri" w:hAnsi="Times New Roman" w:cs="Times New Roman"/>
          <w:sz w:val="20"/>
          <w:szCs w:val="24"/>
        </w:rPr>
        <w:t>.</w:t>
      </w:r>
    </w:p>
    <w:p w:rsidR="00E125A3" w:rsidRPr="007A27A5" w:rsidRDefault="00E125A3" w:rsidP="00E125A3">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11</w:t>
      </w:r>
      <w:r w:rsidRPr="007A27A5">
        <w:rPr>
          <w:rFonts w:ascii="Times New Roman" w:eastAsia="Calibri" w:hAnsi="Times New Roman" w:cs="Times New Roman"/>
          <w:sz w:val="20"/>
          <w:szCs w:val="24"/>
        </w:rPr>
        <w:t xml:space="preserve"> Ley General de Protección de Datos Personales en Posesión de Sujetos Obligados. DOF 26-01-2017.</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En el plano internacional, el </w:t>
      </w:r>
      <w:r w:rsidRPr="007A27A5">
        <w:rPr>
          <w:rFonts w:ascii="Times New Roman" w:eastAsia="Bookman Old Style" w:hAnsi="Times New Roman" w:cs="Times New Roman"/>
          <w:b/>
          <w:sz w:val="24"/>
          <w:szCs w:val="24"/>
        </w:rPr>
        <w:t>Informe del Alto Comisionado de Naciones Unidas para los Derechos Humanos (2018)</w:t>
      </w:r>
      <w:r w:rsidRPr="007A27A5">
        <w:rPr>
          <w:rFonts w:ascii="Times New Roman" w:eastAsia="Bookman Old Style" w:hAnsi="Times New Roman" w:cs="Times New Roman"/>
          <w:color w:val="FF0000"/>
          <w:sz w:val="24"/>
          <w:szCs w:val="24"/>
          <w:vertAlign w:val="superscript"/>
        </w:rPr>
        <w:t>12</w:t>
      </w:r>
      <w:r w:rsidRPr="007A27A5">
        <w:rPr>
          <w:rFonts w:ascii="Times New Roman" w:eastAsia="Bookman Old Style" w:hAnsi="Times New Roman" w:cs="Times New Roman"/>
          <w:sz w:val="24"/>
          <w:szCs w:val="24"/>
        </w:rPr>
        <w:t xml:space="preserve"> subraya que la identidad digital debe ser considerada una extensión del derecho a la identidad en el ámbito digital, y que los Estados deben garantizar su protección contra el robo, suplantación y mal uso.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Actualmente, el Código Civil del Estado de México reconoce los derechos de la personalidad en su artículo 2.5, y contempla medios para acreditar la identidad física de una persona en su artículo 2.5 Bis. Sin embargo, </w:t>
      </w:r>
      <w:r w:rsidRPr="007A27A5">
        <w:rPr>
          <w:rFonts w:ascii="Times New Roman" w:eastAsia="Bookman Old Style" w:hAnsi="Times New Roman" w:cs="Times New Roman"/>
          <w:b/>
          <w:sz w:val="24"/>
          <w:szCs w:val="24"/>
        </w:rPr>
        <w:t>no contempla ni define la identidad digital</w:t>
      </w:r>
      <w:r w:rsidRPr="007A27A5">
        <w:rPr>
          <w:rFonts w:ascii="Times New Roman" w:eastAsia="Bookman Old Style" w:hAnsi="Times New Roman" w:cs="Times New Roman"/>
          <w:sz w:val="24"/>
          <w:szCs w:val="24"/>
        </w:rPr>
        <w:t xml:space="preserve"> como un atributo legal protegido, lo cual constituye un vacío normativo en un entorno cada vez más digitalizado.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En este mismo sentido en el artículo segundo, busca sancionar la suplantación de identidad, derivado de que, en la actualidad, el uso intensivo de las tecnologías de la información y comunicación, así como de las redes sociales y plataformas digitales, ha transformado profundamente la forma en que las personas interactúan, </w:t>
      </w:r>
      <w:proofErr w:type="gramStart"/>
      <w:r w:rsidRPr="007A27A5">
        <w:rPr>
          <w:rFonts w:ascii="Times New Roman" w:eastAsia="Bookman Old Style" w:hAnsi="Times New Roman" w:cs="Times New Roman"/>
          <w:sz w:val="24"/>
          <w:szCs w:val="24"/>
        </w:rPr>
        <w:t>trabajan</w:t>
      </w:r>
      <w:proofErr w:type="gramEnd"/>
      <w:r w:rsidRPr="007A27A5">
        <w:rPr>
          <w:rFonts w:ascii="Times New Roman" w:eastAsia="Bookman Old Style" w:hAnsi="Times New Roman" w:cs="Times New Roman"/>
          <w:sz w:val="24"/>
          <w:szCs w:val="24"/>
        </w:rPr>
        <w:t xml:space="preserve">, comercian y ejercen sus derechos. Sin embargo, este avance tecnológico también ha propiciado la aparición de nuevas modalidades delictivas que vulneran la intimidad, el honor, la reputación y la seguridad de las personas, tanto como jurídicas. Una de las conductas que más daño genera en este entorno es precisamente esta, la </w:t>
      </w:r>
      <w:r w:rsidRPr="007A27A5">
        <w:rPr>
          <w:rFonts w:ascii="Times New Roman" w:eastAsia="Bookman Old Style" w:hAnsi="Times New Roman" w:cs="Times New Roman"/>
          <w:b/>
          <w:sz w:val="24"/>
          <w:szCs w:val="24"/>
        </w:rPr>
        <w:t>suplantación de identidad digital</w:t>
      </w:r>
      <w:r w:rsidRPr="007A27A5">
        <w:rPr>
          <w:rFonts w:ascii="Times New Roman" w:eastAsia="Bookman Old Style" w:hAnsi="Times New Roman" w:cs="Times New Roman"/>
          <w:sz w:val="24"/>
          <w:szCs w:val="24"/>
        </w:rPr>
        <w:t>.</w:t>
      </w:r>
    </w:p>
    <w:p w:rsidR="00E125A3" w:rsidRPr="007A27A5" w:rsidRDefault="00E125A3" w:rsidP="00D92F1D">
      <w:pPr>
        <w:spacing w:after="0" w:line="240" w:lineRule="auto"/>
        <w:jc w:val="both"/>
        <w:rPr>
          <w:rFonts w:ascii="Times New Roman" w:eastAsia="Bookman Old Style" w:hAnsi="Times New Roman" w:cs="Times New Roman"/>
          <w:sz w:val="24"/>
          <w:szCs w:val="24"/>
        </w:rPr>
      </w:pPr>
    </w:p>
    <w:p w:rsidR="00E125A3" w:rsidRPr="007A27A5" w:rsidRDefault="00E125A3" w:rsidP="00D92F1D">
      <w:pPr>
        <w:spacing w:after="0" w:line="240" w:lineRule="auto"/>
        <w:jc w:val="both"/>
        <w:rPr>
          <w:rFonts w:ascii="Times New Roman" w:eastAsia="Times New Roman" w:hAnsi="Times New Roman" w:cs="Times New Roman"/>
          <w:sz w:val="20"/>
          <w:szCs w:val="24"/>
        </w:rPr>
      </w:pPr>
      <w:r w:rsidRPr="007A27A5">
        <w:rPr>
          <w:rFonts w:ascii="Times New Roman" w:eastAsia="Calibri" w:hAnsi="Times New Roman" w:cs="Times New Roman"/>
          <w:color w:val="FF0000"/>
          <w:sz w:val="20"/>
          <w:szCs w:val="24"/>
          <w:vertAlign w:val="superscript"/>
        </w:rPr>
        <w:t>12</w:t>
      </w:r>
      <w:r w:rsidRPr="007A27A5">
        <w:rPr>
          <w:rFonts w:ascii="Times New Roman" w:eastAsia="Calibri" w:hAnsi="Times New Roman" w:cs="Times New Roman"/>
          <w:sz w:val="20"/>
          <w:szCs w:val="24"/>
        </w:rPr>
        <w:t xml:space="preserve"> </w:t>
      </w:r>
      <w:r w:rsidRPr="007A27A5">
        <w:rPr>
          <w:rFonts w:ascii="Times New Roman" w:eastAsia="Times New Roman" w:hAnsi="Times New Roman" w:cs="Times New Roman"/>
          <w:sz w:val="20"/>
          <w:szCs w:val="24"/>
        </w:rPr>
        <w:t xml:space="preserve">Naciones Unidas, Consejo de Derechos Humanos. (2018). </w:t>
      </w:r>
      <w:r w:rsidRPr="007A27A5">
        <w:rPr>
          <w:rFonts w:ascii="Times New Roman" w:eastAsia="Times New Roman" w:hAnsi="Times New Roman" w:cs="Times New Roman"/>
          <w:i/>
          <w:sz w:val="20"/>
          <w:szCs w:val="24"/>
        </w:rPr>
        <w:t>El derecho a la privacidad en la era digital (A/HRC/39/29)</w:t>
      </w:r>
      <w:r w:rsidRPr="007A27A5">
        <w:rPr>
          <w:rFonts w:ascii="Times New Roman" w:eastAsia="Times New Roman" w:hAnsi="Times New Roman" w:cs="Times New Roman"/>
          <w:sz w:val="20"/>
          <w:szCs w:val="24"/>
        </w:rPr>
        <w:t>.</w:t>
      </w:r>
    </w:p>
    <w:p w:rsidR="00E125A3" w:rsidRPr="007A27A5" w:rsidRDefault="00E125A3" w:rsidP="00D92F1D">
      <w:pPr>
        <w:spacing w:after="0" w:line="240" w:lineRule="auto"/>
        <w:jc w:val="both"/>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La </w:t>
      </w:r>
      <w:r w:rsidRPr="007A27A5">
        <w:rPr>
          <w:rFonts w:ascii="Times New Roman" w:eastAsia="Bookman Old Style" w:hAnsi="Times New Roman" w:cs="Times New Roman"/>
          <w:b/>
          <w:sz w:val="24"/>
          <w:szCs w:val="24"/>
        </w:rPr>
        <w:t>suplantación de identidad</w:t>
      </w:r>
      <w:r w:rsidRPr="007A27A5">
        <w:rPr>
          <w:rFonts w:ascii="Times New Roman" w:eastAsia="Bookman Old Style" w:hAnsi="Times New Roman" w:cs="Times New Roman"/>
          <w:sz w:val="24"/>
          <w:szCs w:val="24"/>
        </w:rPr>
        <w:t xml:space="preserve"> consiste en la apropiación indebida de los datos personales o identificativos de una persona para hacerse pasar por ella con fines ilícitos o dañinos. En el ámbito digital, esta práctica se manifiesta mediante la creación de perfiles falsos en redes sociales, la utilización de correos electrónicos apócrifos, la manipulación de datos personales o el acceso indebido a cuentas electrónicas, ocasionando perjuicios patrimoniales, morales, reputacionales y, en algunos casos, la comisión de delitos más graves como el fraude, la extorsión, el acoso o la difamación.</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lastRenderedPageBreak/>
        <w:t xml:space="preserve">De acuerdo con el </w:t>
      </w:r>
      <w:r w:rsidRPr="007A27A5">
        <w:rPr>
          <w:rFonts w:ascii="Times New Roman" w:eastAsia="Bookman Old Style" w:hAnsi="Times New Roman" w:cs="Times New Roman"/>
          <w:b/>
          <w:sz w:val="24"/>
          <w:szCs w:val="24"/>
        </w:rPr>
        <w:t>Instituto Nacional de Transparencia, Acceso a la Información y Protección de Datos Personales (INAI),</w:t>
      </w:r>
      <w:r w:rsidRPr="007A27A5">
        <w:rPr>
          <w:rFonts w:ascii="Times New Roman" w:eastAsia="Bookman Old Style" w:hAnsi="Times New Roman" w:cs="Times New Roman"/>
          <w:sz w:val="24"/>
          <w:szCs w:val="24"/>
        </w:rPr>
        <w:t xml:space="preserve"> las denuncias por usurpación o mal uso de datos personales en medios digitales han aumentado de manera constante en los últimos años, evidenciando un vacío normativo en los códigos penales locales, incluido el del Estado de México, para sancionar específicamente esta conducta.</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Si bien el </w:t>
      </w:r>
      <w:r w:rsidRPr="007A27A5">
        <w:rPr>
          <w:rFonts w:ascii="Times New Roman" w:eastAsia="Bookman Old Style" w:hAnsi="Times New Roman" w:cs="Times New Roman"/>
          <w:b/>
          <w:sz w:val="24"/>
          <w:szCs w:val="24"/>
        </w:rPr>
        <w:t>Código Penal del Estado de México</w:t>
      </w:r>
      <w:r w:rsidRPr="007A27A5">
        <w:rPr>
          <w:rFonts w:ascii="Times New Roman" w:eastAsia="Bookman Old Style" w:hAnsi="Times New Roman" w:cs="Times New Roman"/>
          <w:sz w:val="24"/>
          <w:szCs w:val="24"/>
        </w:rPr>
        <w:t xml:space="preserve"> contempla delitos relacionados con el fraude, la falsificación de documentos o el uso indebido de información, </w:t>
      </w:r>
      <w:r w:rsidRPr="007A27A5">
        <w:rPr>
          <w:rFonts w:ascii="Times New Roman" w:eastAsia="Bookman Old Style" w:hAnsi="Times New Roman" w:cs="Times New Roman"/>
          <w:b/>
          <w:sz w:val="24"/>
          <w:szCs w:val="24"/>
        </w:rPr>
        <w:t>no tipifica de forma expresa la suplantación de identidad digital</w:t>
      </w:r>
      <w:r w:rsidRPr="007A27A5">
        <w:rPr>
          <w:rFonts w:ascii="Times New Roman" w:eastAsia="Bookman Old Style" w:hAnsi="Times New Roman" w:cs="Times New Roman"/>
          <w:sz w:val="24"/>
          <w:szCs w:val="24"/>
        </w:rPr>
        <w:t>, lo cual deja en estado de indefensión a las víctimas, que deben recurrir a figuras jurídicas indirectas para buscar justicia.</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60" w:lineRule="exact"/>
        <w:ind w:right="-36"/>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El presente proyecto tiene como objetivo </w:t>
      </w:r>
      <w:r w:rsidRPr="007A27A5">
        <w:rPr>
          <w:rFonts w:ascii="Times New Roman" w:eastAsia="Bookman Old Style" w:hAnsi="Times New Roman" w:cs="Times New Roman"/>
          <w:b/>
          <w:sz w:val="24"/>
          <w:szCs w:val="24"/>
        </w:rPr>
        <w:t>adicionar el artículo 265 ter</w:t>
      </w:r>
      <w:r w:rsidRPr="007A27A5">
        <w:rPr>
          <w:rFonts w:ascii="Times New Roman" w:eastAsia="Bookman Old Style" w:hAnsi="Times New Roman" w:cs="Times New Roman"/>
          <w:sz w:val="24"/>
          <w:szCs w:val="24"/>
        </w:rPr>
        <w:t xml:space="preserve"> al Código Penal del Estado de México, a fin de </w:t>
      </w:r>
      <w:r w:rsidRPr="007A27A5">
        <w:rPr>
          <w:rFonts w:ascii="Times New Roman" w:eastAsia="Bookman Old Style" w:hAnsi="Times New Roman" w:cs="Times New Roman"/>
          <w:b/>
          <w:sz w:val="24"/>
          <w:szCs w:val="24"/>
        </w:rPr>
        <w:t>tipificar y sancionar la suplantación</w:t>
      </w:r>
      <w:r w:rsidRPr="007A27A5">
        <w:rPr>
          <w:rFonts w:ascii="Times New Roman" w:eastAsia="Bookman Old Style" w:hAnsi="Times New Roman" w:cs="Times New Roman"/>
          <w:b/>
          <w:spacing w:val="2"/>
          <w:sz w:val="24"/>
          <w:szCs w:val="24"/>
        </w:rPr>
        <w:t xml:space="preserve"> </w:t>
      </w:r>
      <w:r w:rsidRPr="007A27A5">
        <w:rPr>
          <w:rFonts w:ascii="Times New Roman" w:eastAsia="Bookman Old Style" w:hAnsi="Times New Roman" w:cs="Times New Roman"/>
          <w:b/>
          <w:sz w:val="24"/>
          <w:szCs w:val="24"/>
        </w:rPr>
        <w:t>de</w:t>
      </w:r>
      <w:r w:rsidRPr="007A27A5">
        <w:rPr>
          <w:rFonts w:ascii="Times New Roman" w:eastAsia="Bookman Old Style" w:hAnsi="Times New Roman" w:cs="Times New Roman"/>
          <w:b/>
          <w:spacing w:val="2"/>
          <w:sz w:val="24"/>
          <w:szCs w:val="24"/>
        </w:rPr>
        <w:t xml:space="preserve"> </w:t>
      </w:r>
      <w:r w:rsidRPr="007A27A5">
        <w:rPr>
          <w:rFonts w:ascii="Times New Roman" w:eastAsia="Bookman Old Style" w:hAnsi="Times New Roman" w:cs="Times New Roman"/>
          <w:b/>
          <w:sz w:val="24"/>
          <w:szCs w:val="24"/>
        </w:rPr>
        <w:t>id</w:t>
      </w:r>
      <w:r w:rsidRPr="007A27A5">
        <w:rPr>
          <w:rFonts w:ascii="Times New Roman" w:eastAsia="Bookman Old Style" w:hAnsi="Times New Roman" w:cs="Times New Roman"/>
          <w:b/>
          <w:spacing w:val="2"/>
          <w:sz w:val="24"/>
          <w:szCs w:val="24"/>
        </w:rPr>
        <w:t>e</w:t>
      </w:r>
      <w:r w:rsidRPr="007A27A5">
        <w:rPr>
          <w:rFonts w:ascii="Times New Roman" w:eastAsia="Bookman Old Style" w:hAnsi="Times New Roman" w:cs="Times New Roman"/>
          <w:b/>
          <w:sz w:val="24"/>
          <w:szCs w:val="24"/>
        </w:rPr>
        <w:t>ntidad</w:t>
      </w:r>
      <w:r w:rsidRPr="007A27A5">
        <w:rPr>
          <w:rFonts w:ascii="Times New Roman" w:eastAsia="Bookman Old Style" w:hAnsi="Times New Roman" w:cs="Times New Roman"/>
          <w:b/>
          <w:spacing w:val="2"/>
          <w:sz w:val="24"/>
          <w:szCs w:val="24"/>
        </w:rPr>
        <w:t xml:space="preserve"> </w:t>
      </w:r>
      <w:r w:rsidRPr="007A27A5">
        <w:rPr>
          <w:rFonts w:ascii="Times New Roman" w:eastAsia="Bookman Old Style" w:hAnsi="Times New Roman" w:cs="Times New Roman"/>
          <w:b/>
          <w:sz w:val="24"/>
          <w:szCs w:val="24"/>
        </w:rPr>
        <w:t>digital</w:t>
      </w:r>
      <w:r w:rsidRPr="007A27A5">
        <w:rPr>
          <w:rFonts w:ascii="Times New Roman" w:eastAsia="Bookman Old Style" w:hAnsi="Times New Roman" w:cs="Times New Roman"/>
          <w:sz w:val="24"/>
          <w:szCs w:val="24"/>
        </w:rPr>
        <w:t xml:space="preserve"> como</w:t>
      </w:r>
      <w:r w:rsidRPr="007A27A5">
        <w:rPr>
          <w:rFonts w:ascii="Times New Roman" w:eastAsia="Bookman Old Style" w:hAnsi="Times New Roman" w:cs="Times New Roman"/>
          <w:spacing w:val="2"/>
          <w:sz w:val="24"/>
          <w:szCs w:val="24"/>
        </w:rPr>
        <w:t xml:space="preserve"> </w:t>
      </w:r>
      <w:r w:rsidRPr="007A27A5">
        <w:rPr>
          <w:rFonts w:ascii="Times New Roman" w:eastAsia="Bookman Old Style" w:hAnsi="Times New Roman" w:cs="Times New Roman"/>
          <w:sz w:val="24"/>
          <w:szCs w:val="24"/>
        </w:rPr>
        <w:t>una</w:t>
      </w:r>
      <w:r w:rsidRPr="007A27A5">
        <w:rPr>
          <w:rFonts w:ascii="Times New Roman" w:eastAsia="Bookman Old Style" w:hAnsi="Times New Roman" w:cs="Times New Roman"/>
          <w:spacing w:val="2"/>
          <w:sz w:val="24"/>
          <w:szCs w:val="24"/>
        </w:rPr>
        <w:t xml:space="preserve"> </w:t>
      </w:r>
      <w:r w:rsidRPr="007A27A5">
        <w:rPr>
          <w:rFonts w:ascii="Times New Roman" w:eastAsia="Bookman Old Style" w:hAnsi="Times New Roman" w:cs="Times New Roman"/>
          <w:sz w:val="24"/>
          <w:szCs w:val="24"/>
        </w:rPr>
        <w:t>conducta</w:t>
      </w:r>
      <w:r w:rsidRPr="007A27A5">
        <w:rPr>
          <w:rFonts w:ascii="Times New Roman" w:eastAsia="Bookman Old Style" w:hAnsi="Times New Roman" w:cs="Times New Roman"/>
          <w:spacing w:val="2"/>
          <w:sz w:val="24"/>
          <w:szCs w:val="24"/>
        </w:rPr>
        <w:t xml:space="preserve"> </w:t>
      </w:r>
      <w:r w:rsidRPr="007A27A5">
        <w:rPr>
          <w:rFonts w:ascii="Times New Roman" w:eastAsia="Bookman Old Style" w:hAnsi="Times New Roman" w:cs="Times New Roman"/>
          <w:sz w:val="24"/>
          <w:szCs w:val="24"/>
        </w:rPr>
        <w:t>delictiva</w:t>
      </w:r>
      <w:r w:rsidRPr="007A27A5">
        <w:rPr>
          <w:rFonts w:ascii="Times New Roman" w:eastAsia="Bookman Old Style" w:hAnsi="Times New Roman" w:cs="Times New Roman"/>
          <w:spacing w:val="3"/>
          <w:sz w:val="24"/>
          <w:szCs w:val="24"/>
        </w:rPr>
        <w:t xml:space="preserve"> </w:t>
      </w:r>
      <w:r w:rsidRPr="007A27A5">
        <w:rPr>
          <w:rFonts w:ascii="Times New Roman" w:eastAsia="Bookman Old Style" w:hAnsi="Times New Roman" w:cs="Times New Roman"/>
          <w:sz w:val="24"/>
          <w:szCs w:val="24"/>
        </w:rPr>
        <w:t xml:space="preserve">autónoma. La propuesta establece sanciones de </w:t>
      </w:r>
      <w:r w:rsidRPr="007A27A5">
        <w:rPr>
          <w:rFonts w:ascii="Times New Roman" w:eastAsia="Bookman Old Style" w:hAnsi="Times New Roman" w:cs="Times New Roman"/>
          <w:b/>
          <w:sz w:val="24"/>
          <w:szCs w:val="24"/>
        </w:rPr>
        <w:t>uno a cuatro años de prisión y de cien a quinientos días multa</w:t>
      </w:r>
      <w:r w:rsidRPr="007A27A5">
        <w:rPr>
          <w:rFonts w:ascii="Times New Roman" w:eastAsia="Bookman Old Style" w:hAnsi="Times New Roman" w:cs="Times New Roman"/>
          <w:sz w:val="24"/>
          <w:szCs w:val="24"/>
        </w:rPr>
        <w:t xml:space="preserve"> a quien, sin autorización, se apropie de la identidad digital de otra persona, ya sea física o jurídica, utilizando plataformas electrónicas, tecnologías de la información o redes sociales.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Asimismo, se prevé un </w:t>
      </w:r>
      <w:r w:rsidRPr="007A27A5">
        <w:rPr>
          <w:rFonts w:ascii="Times New Roman" w:eastAsia="Bookman Old Style" w:hAnsi="Times New Roman" w:cs="Times New Roman"/>
          <w:b/>
          <w:sz w:val="24"/>
          <w:szCs w:val="24"/>
        </w:rPr>
        <w:t>agravante de hasta una mitad más de la pena</w:t>
      </w:r>
      <w:r w:rsidRPr="007A27A5">
        <w:rPr>
          <w:rFonts w:ascii="Times New Roman" w:eastAsia="Bookman Old Style" w:hAnsi="Times New Roman" w:cs="Times New Roman"/>
          <w:sz w:val="24"/>
          <w:szCs w:val="24"/>
        </w:rPr>
        <w:t xml:space="preserve"> cuando el delito se cometa con fines ilícitos, de lucro, de daño reputacional, o cuando se utilicen datos personales sin consentimiento o mediante homonimia, buscando obtener beneficios indebidos o perjudicar a la víctima.</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Esta reforma responde a los compromisos del </w:t>
      </w:r>
      <w:r w:rsidRPr="007A27A5">
        <w:rPr>
          <w:rFonts w:ascii="Times New Roman" w:eastAsia="Bookman Old Style" w:hAnsi="Times New Roman" w:cs="Times New Roman"/>
          <w:b/>
          <w:sz w:val="24"/>
          <w:szCs w:val="24"/>
        </w:rPr>
        <w:t>Plan Nacional de Desarrollo 2025–2030</w:t>
      </w:r>
      <w:r w:rsidRPr="007A27A5">
        <w:rPr>
          <w:rFonts w:ascii="Times New Roman" w:eastAsia="Bookman Old Style" w:hAnsi="Times New Roman" w:cs="Times New Roman"/>
          <w:sz w:val="24"/>
          <w:szCs w:val="24"/>
        </w:rPr>
        <w:t xml:space="preserve">, eje “Gobernanza con justicia y participación ciudadana”, y al eje transversal de </w:t>
      </w:r>
      <w:r w:rsidRPr="007A27A5">
        <w:rPr>
          <w:rFonts w:ascii="Times New Roman" w:eastAsia="Bookman Old Style" w:hAnsi="Times New Roman" w:cs="Times New Roman"/>
          <w:b/>
          <w:sz w:val="24"/>
          <w:szCs w:val="24"/>
        </w:rPr>
        <w:t>Innovación pública para el desarrollo tecnológico nacional</w:t>
      </w:r>
      <w:r w:rsidRPr="007A27A5">
        <w:rPr>
          <w:rFonts w:ascii="Times New Roman" w:eastAsia="Bookman Old Style" w:hAnsi="Times New Roman" w:cs="Times New Roman"/>
          <w:sz w:val="24"/>
          <w:szCs w:val="24"/>
        </w:rPr>
        <w:t>, donde se reconoce la necesidad de proteger los derechos humanos en entornos digitales, garantizar la ciberseguridad y fortalecer la confianza de la población en el uso de medios electrónicos.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Del mismo modo, esta iniciativa se sustenta en los principios de </w:t>
      </w:r>
      <w:r w:rsidRPr="007A27A5">
        <w:rPr>
          <w:rFonts w:ascii="Times New Roman" w:eastAsia="Bookman Old Style" w:hAnsi="Times New Roman" w:cs="Times New Roman"/>
          <w:b/>
          <w:sz w:val="24"/>
          <w:szCs w:val="24"/>
        </w:rPr>
        <w:t>honestidad, justicia social y respeto a la dignidad humana</w:t>
      </w:r>
      <w:r w:rsidRPr="007A27A5">
        <w:rPr>
          <w:rFonts w:ascii="Times New Roman" w:eastAsia="Bookman Old Style" w:hAnsi="Times New Roman" w:cs="Times New Roman"/>
          <w:sz w:val="24"/>
          <w:szCs w:val="24"/>
        </w:rPr>
        <w:t xml:space="preserve"> establecidos en la </w:t>
      </w:r>
      <w:r w:rsidRPr="007A27A5">
        <w:rPr>
          <w:rFonts w:ascii="Times New Roman" w:eastAsia="Bookman Old Style" w:hAnsi="Times New Roman" w:cs="Times New Roman"/>
          <w:b/>
          <w:sz w:val="24"/>
          <w:szCs w:val="24"/>
        </w:rPr>
        <w:t>Declaración de Principios del Movimiento de Regeneración Nacional (MORENA)</w:t>
      </w:r>
      <w:r w:rsidRPr="007A27A5">
        <w:rPr>
          <w:rFonts w:ascii="Times New Roman" w:eastAsia="Bookman Old Style" w:hAnsi="Times New Roman" w:cs="Times New Roman"/>
          <w:sz w:val="24"/>
          <w:szCs w:val="24"/>
        </w:rPr>
        <w:t>, que impulsa el uso ético de la tecnología, la protección de los derechos digitales y la erradicación de prácticas contrarias al bienestar colectivo.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Además, se encuentra alineada con los objetivos del </w:t>
      </w:r>
      <w:r w:rsidRPr="007A27A5">
        <w:rPr>
          <w:rFonts w:ascii="Times New Roman" w:eastAsia="Bookman Old Style" w:hAnsi="Times New Roman" w:cs="Times New Roman"/>
          <w:b/>
          <w:sz w:val="24"/>
          <w:szCs w:val="24"/>
        </w:rPr>
        <w:t>Sistema Nacional de Seguridad Pública</w:t>
      </w:r>
      <w:r w:rsidRPr="007A27A5">
        <w:rPr>
          <w:rFonts w:ascii="Times New Roman" w:eastAsia="Bookman Old Style" w:hAnsi="Times New Roman" w:cs="Times New Roman"/>
          <w:sz w:val="24"/>
          <w:szCs w:val="24"/>
        </w:rPr>
        <w:t xml:space="preserve"> y de la </w:t>
      </w:r>
      <w:r w:rsidRPr="007A27A5">
        <w:rPr>
          <w:rFonts w:ascii="Times New Roman" w:eastAsia="Bookman Old Style" w:hAnsi="Times New Roman" w:cs="Times New Roman"/>
          <w:b/>
          <w:sz w:val="24"/>
          <w:szCs w:val="24"/>
        </w:rPr>
        <w:t>Estrategia Nacional de Ciberseguridad</w:t>
      </w:r>
      <w:r w:rsidRPr="007A27A5">
        <w:rPr>
          <w:rFonts w:ascii="Times New Roman" w:eastAsia="Bookman Old Style" w:hAnsi="Times New Roman" w:cs="Times New Roman"/>
          <w:sz w:val="24"/>
          <w:szCs w:val="24"/>
        </w:rPr>
        <w:t>, que buscan fortalecer el marco normativo para prevenir, investigar y sancionar los delitos cometidos a través del ciberespacio, garantizando el derecho de toda persona a la protección de sus datos personales y a la preservación de su identidad digital.</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La creación del artículo 265 ter permitirá al Estado de México </w:t>
      </w:r>
      <w:r w:rsidRPr="007A27A5">
        <w:rPr>
          <w:rFonts w:ascii="Times New Roman" w:eastAsia="Bookman Old Style" w:hAnsi="Times New Roman" w:cs="Times New Roman"/>
          <w:b/>
          <w:sz w:val="24"/>
          <w:szCs w:val="24"/>
        </w:rPr>
        <w:t>contar con un instrumento jurídico eficaz para combatir la suplantación de identidad digital</w:t>
      </w:r>
      <w:r w:rsidRPr="007A27A5">
        <w:rPr>
          <w:rFonts w:ascii="Times New Roman" w:eastAsia="Bookman Old Style" w:hAnsi="Times New Roman" w:cs="Times New Roman"/>
          <w:sz w:val="24"/>
          <w:szCs w:val="24"/>
        </w:rPr>
        <w:t>, proteger los derechos de las víctimas y sancionar de manera proporcional a quienes, aprovechándose de la tecnología, vulneran la confianza, la seguridad y la privacidad de las personas.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Con esta adición se da cumplimiento al principio de que </w:t>
      </w:r>
      <w:r w:rsidRPr="007A27A5">
        <w:rPr>
          <w:rFonts w:ascii="Times New Roman" w:eastAsia="Bookman Old Style" w:hAnsi="Times New Roman" w:cs="Times New Roman"/>
          <w:b/>
          <w:sz w:val="24"/>
          <w:szCs w:val="24"/>
        </w:rPr>
        <w:t>la justicia debe adaptarse a los nuevos contextos sociales y tecnológicos</w:t>
      </w:r>
      <w:r w:rsidRPr="007A27A5">
        <w:rPr>
          <w:rFonts w:ascii="Times New Roman" w:eastAsia="Bookman Old Style" w:hAnsi="Times New Roman" w:cs="Times New Roman"/>
          <w:sz w:val="24"/>
          <w:szCs w:val="24"/>
        </w:rPr>
        <w:t>, reafirmando el compromiso del Poder Legislativo con la defensa de los derechos humanos, la prevención del delito y la consolidación de un entorno digital seguro, confiable y ético.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Por ello, esta iniciativa propone </w:t>
      </w:r>
      <w:r w:rsidRPr="007A27A5">
        <w:rPr>
          <w:rFonts w:ascii="Times New Roman" w:eastAsia="Bookman Old Style" w:hAnsi="Times New Roman" w:cs="Times New Roman"/>
          <w:b/>
          <w:sz w:val="24"/>
          <w:szCs w:val="24"/>
        </w:rPr>
        <w:t>adicionar la identidad digital como un derecho de la personalidad y de la misma manera sancionar esta suplantación de la identidad</w:t>
      </w:r>
      <w:r w:rsidRPr="007A27A5">
        <w:rPr>
          <w:rFonts w:ascii="Times New Roman" w:eastAsia="Bookman Old Style" w:hAnsi="Times New Roman" w:cs="Times New Roman"/>
          <w:sz w:val="24"/>
          <w:szCs w:val="24"/>
        </w:rPr>
        <w:t>, incorporar una definición legal en el Código Civil y Penal, con el fin de garantizar su reconocimiento jurídico, su protección frente a usos indebidos, y su utilización legítima en procesos civiles, administrativos y tecnológicos.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 xml:space="preserve">Reconocer legalmente la identidad digital no sólo brinda seguridad jurídica y promueve la confianza ciudadana en los servicios electrónicos, sino que también previene delitos como la suplantación de identidad, protege la dignidad de las personas, y </w:t>
      </w:r>
      <w:r w:rsidRPr="007A27A5">
        <w:rPr>
          <w:rFonts w:ascii="Times New Roman" w:eastAsia="Bookman Old Style" w:hAnsi="Times New Roman" w:cs="Times New Roman"/>
          <w:b/>
          <w:sz w:val="24"/>
          <w:szCs w:val="24"/>
        </w:rPr>
        <w:t>promueve la inclusión digital como derecho humano,</w:t>
      </w:r>
      <w:r w:rsidRPr="007A27A5">
        <w:rPr>
          <w:rFonts w:ascii="Times New Roman" w:eastAsia="Bookman Old Style" w:hAnsi="Times New Roman" w:cs="Times New Roman"/>
          <w:sz w:val="24"/>
          <w:szCs w:val="24"/>
        </w:rPr>
        <w:t xml:space="preserve"> en cumplimiento con principios de equidad, legalidad y progresividad.</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Por ello es responsabilidad de esta legislatura crear mecanismos que busquen proteger y garantizar un marco jurídico en materia IDENTIDAD DIGITAL. Por lo antes expuesto se pone a consideración de la “LXII” Legislatura del congreso del Estado de México la presente iniciativa, para efecto de que, si se encuentra procedente, se admita a trámite, para su análisis, discusión y en su caso aprobación.</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center"/>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ATENTAMENTE</w:t>
      </w:r>
    </w:p>
    <w:p w:rsidR="00E125A3" w:rsidRPr="007A27A5" w:rsidRDefault="00E125A3" w:rsidP="00E125A3">
      <w:pPr>
        <w:spacing w:after="0" w:line="240" w:lineRule="auto"/>
        <w:jc w:val="center"/>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Dip. Brenda Colette Miranda Vargas</w:t>
      </w:r>
    </w:p>
    <w:p w:rsidR="00E125A3" w:rsidRPr="007A27A5" w:rsidRDefault="00E125A3" w:rsidP="00E125A3">
      <w:pPr>
        <w:spacing w:after="0" w:line="240" w:lineRule="auto"/>
        <w:jc w:val="center"/>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Presentante</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rPr>
          <w:rFonts w:ascii="Times New Roman" w:eastAsia="Times New Roman" w:hAnsi="Times New Roman" w:cs="Times New Roman"/>
          <w:sz w:val="24"/>
          <w:szCs w:val="24"/>
        </w:rPr>
      </w:pPr>
      <w:r w:rsidRPr="007A27A5">
        <w:rPr>
          <w:rFonts w:ascii="Times New Roman" w:eastAsia="Times New Roman" w:hAnsi="Times New Roman" w:cs="Times New Roman"/>
          <w:sz w:val="24"/>
          <w:szCs w:val="24"/>
        </w:rPr>
        <w:t>DECRETO NÚMERO________</w:t>
      </w:r>
    </w:p>
    <w:p w:rsidR="00E125A3" w:rsidRPr="007A27A5" w:rsidRDefault="00E125A3" w:rsidP="00E125A3">
      <w:pPr>
        <w:spacing w:after="0" w:line="240" w:lineRule="auto"/>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LA H. LXII LEGISLATURA</w:t>
      </w:r>
    </w:p>
    <w:p w:rsidR="00E125A3" w:rsidRPr="007A27A5" w:rsidRDefault="00E125A3" w:rsidP="00E125A3">
      <w:pPr>
        <w:spacing w:after="0" w:line="240" w:lineRule="auto"/>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DEL ESTADO DE MEXICO.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ARTÍCULO PRIMERO</w:t>
      </w:r>
      <w:r w:rsidRPr="007A27A5">
        <w:rPr>
          <w:rFonts w:ascii="Times New Roman" w:eastAsia="Bookman Old Style" w:hAnsi="Times New Roman" w:cs="Times New Roman"/>
          <w:sz w:val="24"/>
          <w:szCs w:val="24"/>
        </w:rPr>
        <w:t>. Se adiciona la fracción IX al artículo 2.5 y se adiciona un artículo 2.5 Ter al Código Civil del Estado de México, para quedar como sigue:</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Artículo 2.5.</w:t>
      </w:r>
      <w:r w:rsidRPr="007A27A5">
        <w:rPr>
          <w:rFonts w:ascii="Times New Roman" w:eastAsia="Bookman Old Style" w:hAnsi="Times New Roman" w:cs="Times New Roman"/>
          <w:sz w:val="24"/>
          <w:szCs w:val="24"/>
        </w:rPr>
        <w:t>- …:</w:t>
      </w:r>
    </w:p>
    <w:p w:rsidR="00E125A3" w:rsidRPr="007A27A5" w:rsidRDefault="00E125A3" w:rsidP="00E125A3">
      <w:pPr>
        <w:spacing w:after="0" w:line="240" w:lineRule="auto"/>
        <w:rPr>
          <w:rFonts w:ascii="Times New Roman" w:eastAsia="Bookman Old Style" w:hAnsi="Times New Roman" w:cs="Times New Roman"/>
          <w:sz w:val="24"/>
          <w:szCs w:val="24"/>
        </w:rPr>
      </w:pPr>
    </w:p>
    <w:p w:rsidR="00E125A3" w:rsidRPr="007A27A5" w:rsidRDefault="00E125A3" w:rsidP="00E125A3">
      <w:pPr>
        <w:spacing w:after="0" w:line="240" w:lineRule="auto"/>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I. al VII. …;</w:t>
      </w:r>
    </w:p>
    <w:p w:rsidR="00E125A3" w:rsidRPr="007A27A5" w:rsidRDefault="00E125A3" w:rsidP="00E125A3">
      <w:pPr>
        <w:spacing w:after="0" w:line="240" w:lineRule="auto"/>
        <w:jc w:val="both"/>
        <w:rPr>
          <w:rFonts w:ascii="Times New Roman" w:eastAsia="Bookman Old Style"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VIII</w:t>
      </w:r>
      <w:r w:rsidRPr="007A27A5">
        <w:rPr>
          <w:rFonts w:ascii="Times New Roman" w:eastAsia="Bookman Old Style" w:hAnsi="Times New Roman" w:cs="Times New Roman"/>
          <w:sz w:val="24"/>
          <w:szCs w:val="24"/>
        </w:rPr>
        <w:t xml:space="preserve">. El respeto, salvaguarda y protección de la integridad física, psicológica, </w:t>
      </w:r>
      <w:r w:rsidRPr="007A27A5">
        <w:rPr>
          <w:rFonts w:ascii="Times New Roman" w:eastAsia="Bookman Old Style" w:hAnsi="Times New Roman" w:cs="Times New Roman"/>
          <w:b/>
          <w:sz w:val="24"/>
          <w:szCs w:val="24"/>
        </w:rPr>
        <w:t>digital</w:t>
      </w:r>
      <w:r w:rsidRPr="007A27A5">
        <w:rPr>
          <w:rFonts w:ascii="Times New Roman" w:eastAsia="Bookman Old Style" w:hAnsi="Times New Roman" w:cs="Times New Roman"/>
          <w:sz w:val="24"/>
          <w:szCs w:val="24"/>
        </w:rPr>
        <w:t xml:space="preserve"> y patrimonial.</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Medios para acreditar la identidad de las personas físicas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Artículo 2.5 Ter.- la identidad digital es el conjunto de datos personales, atributos digitales, elementos tecnológicos y credenciales electrónicas que permiten identificar de forma segura a una persona en entornos digitales, aplicaciones tecnológicas y sistemas informáticos.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Se consideran elementos de la identidad digital, entre otros: el nombre digital, la firma electrónica, la Clave Única de Registro de Población, contraseñas, identificadores biométricos, direcciones electrónicas asociadas, y perfiles verificables utilizados para fines civiles, administrativos, comerciales o sociales.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 xml:space="preserve">Es derecho de toda persona que su identidad digital sea reconocida, protegida y utilizada de forma legítima, segura y confidencial. Es deber del Estado del Estado de México verificar y </w:t>
      </w:r>
      <w:r w:rsidRPr="007A27A5">
        <w:rPr>
          <w:rFonts w:ascii="Times New Roman" w:eastAsia="Bookman Old Style" w:hAnsi="Times New Roman" w:cs="Times New Roman"/>
          <w:b/>
          <w:sz w:val="24"/>
          <w:szCs w:val="24"/>
        </w:rPr>
        <w:lastRenderedPageBreak/>
        <w:t>garantizar la integridad, autenticidad y legalidad de dicha identidad, y prevenir su suplantación o uso indebido.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La identidad digital será válida para efectos civiles, jurídicos y administrativos, conforme a lo que establezca la legislación en materia de tecnologías de la información, ciberseguridad y protección de datos personales.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ARTÍCULO SEGUNDO. – Se adiciona el artículo 265 ter; del Código Penal del Estado de México.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Suplantación de la identidad digital</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Artículo 265 ter.- Se le impondrán de uno a cuatro años de prisión y de cien a quinientos días multa, a quien se apropie de la identidad digital de una persona física o jurídico colectiva sin autorización de quien acredite ser el propietario los datos personales o identificativos de la persona a través de las plataformas electrónicas, TICS, o redes sociales dentro del plano digital.</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La pena se incrementará hasta en una mitad cuando: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I. Cometan un hecho ilícito previsto en las disposiciones legales con motivo de la suplantación de la identidad digital;</w:t>
      </w:r>
    </w:p>
    <w:p w:rsidR="00E125A3" w:rsidRPr="007A27A5" w:rsidRDefault="00E125A3" w:rsidP="00E125A3">
      <w:pPr>
        <w:spacing w:after="0" w:line="240" w:lineRule="auto"/>
        <w:rPr>
          <w:rFonts w:ascii="Times New Roman" w:eastAsia="Times New Roman" w:hAnsi="Times New Roman" w:cs="Times New Roman"/>
          <w:b/>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II. Utilicen datos digitales personales, sin consentimiento de quien deba otorgarlo;</w:t>
      </w:r>
    </w:p>
    <w:p w:rsidR="00E125A3" w:rsidRPr="007A27A5" w:rsidRDefault="00E125A3" w:rsidP="00E125A3">
      <w:pPr>
        <w:spacing w:after="0" w:line="240" w:lineRule="auto"/>
        <w:rPr>
          <w:rFonts w:ascii="Times New Roman" w:eastAsia="Times New Roman" w:hAnsi="Times New Roman" w:cs="Times New Roman"/>
          <w:b/>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III. Otorguen el consentimiento para llevar a cabo la suplantación de la identidad digital o por sí mismo la realice; y</w:t>
      </w:r>
    </w:p>
    <w:p w:rsidR="00E125A3" w:rsidRPr="007A27A5" w:rsidRDefault="00E125A3" w:rsidP="00E125A3">
      <w:pPr>
        <w:spacing w:after="0" w:line="240" w:lineRule="auto"/>
        <w:jc w:val="both"/>
        <w:rPr>
          <w:rFonts w:ascii="Times New Roman" w:eastAsia="Bookman Old Style" w:hAnsi="Times New Roman" w:cs="Times New Roman"/>
          <w:b/>
          <w:sz w:val="24"/>
          <w:szCs w:val="24"/>
        </w:rPr>
      </w:pPr>
    </w:p>
    <w:p w:rsidR="00E125A3" w:rsidRPr="007A27A5" w:rsidRDefault="00E125A3" w:rsidP="00E125A3">
      <w:pPr>
        <w:spacing w:after="0" w:line="240" w:lineRule="auto"/>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IV. Se valgan de la homonimia para cometer algún ilícito o no ético.</w:t>
      </w:r>
    </w:p>
    <w:p w:rsidR="00E125A3" w:rsidRPr="007A27A5" w:rsidRDefault="00E125A3" w:rsidP="00E125A3">
      <w:pPr>
        <w:spacing w:after="0" w:line="240" w:lineRule="auto"/>
        <w:rPr>
          <w:rFonts w:ascii="Times New Roman" w:eastAsia="Bookman Old Style" w:hAnsi="Times New Roman" w:cs="Times New Roman"/>
          <w:b/>
          <w:sz w:val="24"/>
          <w:szCs w:val="24"/>
        </w:rPr>
      </w:pPr>
    </w:p>
    <w:p w:rsidR="00E125A3" w:rsidRPr="007A27A5" w:rsidRDefault="00E125A3" w:rsidP="00E125A3">
      <w:pPr>
        <w:spacing w:after="0" w:line="240" w:lineRule="auto"/>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V. Tengan como finalidad acceder beneficios indebidos.</w:t>
      </w:r>
    </w:p>
    <w:p w:rsidR="00E125A3" w:rsidRPr="007A27A5" w:rsidRDefault="00E125A3" w:rsidP="00E125A3">
      <w:pPr>
        <w:spacing w:after="0" w:line="240" w:lineRule="auto"/>
        <w:rPr>
          <w:rFonts w:ascii="Times New Roman" w:eastAsia="Times New Roman" w:hAnsi="Times New Roman" w:cs="Times New Roman"/>
          <w:b/>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VI. Cuando busquen dañar la reputación de la persona suplantada o causar algún daño a otra, o imputar algún tipo de hecho ilícito a la persona suplantada.</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b/>
          <w:sz w:val="24"/>
          <w:szCs w:val="24"/>
        </w:rPr>
      </w:pPr>
      <w:r w:rsidRPr="007A27A5">
        <w:rPr>
          <w:rFonts w:ascii="Times New Roman" w:eastAsia="Bookman Old Style" w:hAnsi="Times New Roman" w:cs="Times New Roman"/>
          <w:b/>
          <w:sz w:val="24"/>
          <w:szCs w:val="24"/>
        </w:rPr>
        <w:t>Las sanciones previstas en este artículo se impondrán con independencia de las que correspondan por la comisión de otro u otros delitos.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center"/>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TRANSITORIOS</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PRIMERO</w:t>
      </w:r>
      <w:r w:rsidRPr="007A27A5">
        <w:rPr>
          <w:rFonts w:ascii="Times New Roman" w:eastAsia="Bookman Old Style" w:hAnsi="Times New Roman" w:cs="Times New Roman"/>
          <w:sz w:val="24"/>
          <w:szCs w:val="24"/>
        </w:rPr>
        <w:t>. Publíquese el presente Decreto en el Periódico Oficial "Gaceta del Gobierno" del Estado Libre y Soberano de México.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SEGUNDO</w:t>
      </w:r>
      <w:r w:rsidRPr="007A27A5">
        <w:rPr>
          <w:rFonts w:ascii="Times New Roman" w:eastAsia="Bookman Old Style" w:hAnsi="Times New Roman" w:cs="Times New Roman"/>
          <w:sz w:val="24"/>
          <w:szCs w:val="24"/>
        </w:rPr>
        <w:t>. El presente decreto entrará en vigor al día siguiente de su publicación en el Periódico Oficial “Gaceta del Gobierno”.</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b/>
          <w:sz w:val="24"/>
          <w:szCs w:val="24"/>
        </w:rPr>
        <w:t>TERCERO</w:t>
      </w:r>
      <w:r w:rsidRPr="007A27A5">
        <w:rPr>
          <w:rFonts w:ascii="Times New Roman" w:eastAsia="Bookman Old Style" w:hAnsi="Times New Roman" w:cs="Times New Roman"/>
          <w:sz w:val="24"/>
          <w:szCs w:val="24"/>
        </w:rPr>
        <w:t xml:space="preserve">. En un plazo no mayor a 180 días naturales, el Poder Ejecutivo del Estado, por conducto de la Consejería Jurídica y la Secretaría de Justicia y Derechos Humanos, deberá emitir </w:t>
      </w:r>
      <w:r w:rsidRPr="007A27A5">
        <w:rPr>
          <w:rFonts w:ascii="Times New Roman" w:eastAsia="Bookman Old Style" w:hAnsi="Times New Roman" w:cs="Times New Roman"/>
          <w:sz w:val="24"/>
          <w:szCs w:val="24"/>
        </w:rPr>
        <w:lastRenderedPageBreak/>
        <w:t>los lineamientos administrativos necesarios para la implementación segura del derecho a la identidad digital.</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Lo tendrá entendido la Gobernadora del Estado, haciendo que se publique y se cumpla.</w:t>
      </w:r>
    </w:p>
    <w:p w:rsidR="00E125A3" w:rsidRPr="007A27A5" w:rsidRDefault="00E125A3" w:rsidP="00E125A3">
      <w:pPr>
        <w:spacing w:after="0" w:line="240" w:lineRule="auto"/>
        <w:rPr>
          <w:rFonts w:ascii="Times New Roman" w:eastAsia="Times New Roman" w:hAnsi="Times New Roman" w:cs="Times New Roman"/>
          <w:sz w:val="24"/>
          <w:szCs w:val="24"/>
        </w:rPr>
      </w:pPr>
    </w:p>
    <w:p w:rsidR="00E125A3" w:rsidRPr="007A27A5" w:rsidRDefault="00E125A3" w:rsidP="00E125A3">
      <w:pPr>
        <w:spacing w:after="0" w:line="240" w:lineRule="auto"/>
        <w:jc w:val="both"/>
        <w:rPr>
          <w:rFonts w:ascii="Times New Roman" w:eastAsia="Bookman Old Style" w:hAnsi="Times New Roman" w:cs="Times New Roman"/>
          <w:sz w:val="24"/>
          <w:szCs w:val="24"/>
        </w:rPr>
      </w:pPr>
      <w:r w:rsidRPr="007A27A5">
        <w:rPr>
          <w:rFonts w:ascii="Times New Roman" w:eastAsia="Bookman Old Style" w:hAnsi="Times New Roman" w:cs="Times New Roman"/>
          <w:sz w:val="24"/>
          <w:szCs w:val="24"/>
        </w:rPr>
        <w:t>Dado en el Palacio del Poder Legislativo, en la ciudad de Toluca de Lerdo, capital del Estado de México, a los</w:t>
      </w:r>
      <w:r w:rsidRPr="007A27A5">
        <w:rPr>
          <w:rFonts w:ascii="Times New Roman" w:eastAsia="Bookman Old Style" w:hAnsi="Times New Roman" w:cs="Times New Roman"/>
          <w:sz w:val="24"/>
          <w:szCs w:val="24"/>
          <w:u w:val="single" w:color="000000"/>
        </w:rPr>
        <w:t xml:space="preserve">      </w:t>
      </w:r>
      <w:r w:rsidRPr="007A27A5">
        <w:rPr>
          <w:rFonts w:ascii="Times New Roman" w:eastAsia="Bookman Old Style" w:hAnsi="Times New Roman" w:cs="Times New Roman"/>
          <w:sz w:val="24"/>
          <w:szCs w:val="24"/>
        </w:rPr>
        <w:t xml:space="preserve"> días del mes de </w:t>
      </w:r>
      <w:r w:rsidRPr="007A27A5">
        <w:rPr>
          <w:rFonts w:ascii="Times New Roman" w:eastAsia="Bookman Old Style" w:hAnsi="Times New Roman" w:cs="Times New Roman"/>
          <w:sz w:val="24"/>
          <w:szCs w:val="24"/>
          <w:u w:val="single" w:color="000000"/>
        </w:rPr>
        <w:t xml:space="preserve">                       </w:t>
      </w:r>
      <w:r w:rsidRPr="007A27A5">
        <w:rPr>
          <w:rFonts w:ascii="Times New Roman" w:eastAsia="Bookman Old Style" w:hAnsi="Times New Roman" w:cs="Times New Roman"/>
          <w:sz w:val="24"/>
          <w:szCs w:val="24"/>
        </w:rPr>
        <w:t>del año dos mil veinticinco.</w:t>
      </w:r>
    </w:p>
    <w:p w:rsidR="00E125A3" w:rsidRPr="007A27A5" w:rsidRDefault="00E125A3" w:rsidP="00DC676A">
      <w:pPr>
        <w:spacing w:after="0" w:line="240" w:lineRule="auto"/>
        <w:jc w:val="center"/>
        <w:rPr>
          <w:rFonts w:ascii="Times New Roman" w:hAnsi="Times New Roman"/>
          <w:sz w:val="24"/>
          <w:szCs w:val="24"/>
        </w:rPr>
      </w:pPr>
    </w:p>
    <w:p w:rsidR="00E125A3" w:rsidRPr="007A27A5" w:rsidRDefault="00E125A3" w:rsidP="00DC676A">
      <w:pPr>
        <w:spacing w:after="0" w:line="240" w:lineRule="auto"/>
        <w:jc w:val="center"/>
        <w:rPr>
          <w:rFonts w:ascii="Times New Roman" w:hAnsi="Times New Roman"/>
          <w:i/>
          <w:sz w:val="24"/>
          <w:szCs w:val="24"/>
        </w:rPr>
      </w:pPr>
      <w:r w:rsidRPr="007A27A5">
        <w:rPr>
          <w:rFonts w:ascii="Times New Roman" w:hAnsi="Times New Roman"/>
          <w:i/>
          <w:sz w:val="24"/>
          <w:szCs w:val="24"/>
        </w:rPr>
        <w:t>(Fin del documento)</w:t>
      </w:r>
    </w:p>
    <w:p w:rsidR="00E125A3" w:rsidRPr="007A27A5" w:rsidRDefault="00E125A3" w:rsidP="00DC676A">
      <w:pPr>
        <w:spacing w:after="0" w:line="240" w:lineRule="auto"/>
        <w:jc w:val="center"/>
        <w:rPr>
          <w:rFonts w:ascii="Times New Roman" w:hAnsi="Times New Roman"/>
          <w:sz w:val="24"/>
          <w:szCs w:val="24"/>
        </w:rPr>
      </w:pPr>
    </w:p>
    <w:p w:rsidR="007C2166" w:rsidRPr="007A27A5" w:rsidRDefault="007C2166" w:rsidP="007C2166">
      <w:pPr>
        <w:pStyle w:val="Sinespaciado"/>
      </w:pPr>
      <w:r w:rsidRPr="007A27A5">
        <w:rPr>
          <w:kern w:val="2"/>
          <w:lang w:eastAsia="es-MX"/>
        </w:rPr>
        <w:t xml:space="preserve">PRESIDENTA DIP. MARTHA AZUCENA CAMACHO REYNOSO. </w:t>
      </w:r>
      <w:r w:rsidRPr="007A27A5">
        <w:t xml:space="preserve">Gracias diputada Brenda Colette Miranda Vargas. </w:t>
      </w:r>
    </w:p>
    <w:p w:rsidR="007C2166" w:rsidRPr="007A27A5" w:rsidRDefault="007C2166" w:rsidP="007C2166">
      <w:pPr>
        <w:pStyle w:val="Sinespaciado"/>
      </w:pPr>
      <w:r w:rsidRPr="007A27A5">
        <w:tab/>
        <w:t>Se registra la iniciativa y se remite a la Comisión Legislativa de Procuración y Administración de Justicia para su estudio y dictamen.</w:t>
      </w:r>
    </w:p>
    <w:p w:rsidR="007C2166" w:rsidRPr="007A27A5" w:rsidRDefault="007C2166" w:rsidP="007C2166">
      <w:pPr>
        <w:pStyle w:val="Sinespaciado"/>
      </w:pPr>
      <w:r w:rsidRPr="007A27A5">
        <w:tab/>
        <w:t>De conformidad con el punto número 12, el diputado Isaías Peláez Soria, presenta en nombre del Grupo Parlamentario del Partido Verde Ecologista de México, Iniciativa con Proyecto de Decreto por el que se reforman los artículos 53 y 53 Bis de la Ley del Agua para el Estado de México y Municipios en materia de sustentabilidad hídrica.</w:t>
      </w:r>
    </w:p>
    <w:p w:rsidR="007C2166" w:rsidRPr="007A27A5" w:rsidRDefault="007C2166" w:rsidP="007C2166">
      <w:pPr>
        <w:pStyle w:val="Sinespaciado"/>
      </w:pPr>
      <w:r w:rsidRPr="007A27A5">
        <w:rPr>
          <w:kern w:val="2"/>
          <w:lang w:eastAsia="es-MX"/>
        </w:rPr>
        <w:t xml:space="preserve">DIP. ISAÍAS PELÁEZ SORIA. </w:t>
      </w:r>
      <w:r w:rsidRPr="007A27A5">
        <w:t>Con su venia diputada Presidenta.</w:t>
      </w:r>
    </w:p>
    <w:p w:rsidR="007C2166" w:rsidRPr="007A27A5" w:rsidRDefault="007C2166" w:rsidP="007C2166">
      <w:pPr>
        <w:pStyle w:val="Sinespaciado"/>
      </w:pPr>
      <w:r w:rsidRPr="007A27A5">
        <w:tab/>
        <w:t xml:space="preserve">Saludo a los integrantes de la Mesa, Diputadas, Diputados. Muy buenas tardes. </w:t>
      </w:r>
    </w:p>
    <w:p w:rsidR="007C2166" w:rsidRPr="007A27A5" w:rsidRDefault="007C2166" w:rsidP="007C2166">
      <w:pPr>
        <w:pStyle w:val="Sinespaciado"/>
      </w:pPr>
      <w:r w:rsidRPr="007A27A5">
        <w:tab/>
        <w:t xml:space="preserve">La Organización de las Naciones Unidas, estima que en 2030, más de la mitad de la población mundial vivirá en situación de escasez de agua, esto a pesar de que el 71% de la superficie de la tierra está cubierta de este recurso natural, únicamente el 2.5% es agua dulce y solo el 1% es para consumo humano, aunado a lo anterior, la crisis hídrica que enfrentamos actualmente no es un fenómeno aislado ni temporal, es resultado de la sobreexplotación de los mantos acuíferos, del cambio climático, del crecimiento urbano acelerado; así como la falta de mantenimiento de la infraestructura hídrica. La suma de todos estos factores ya es visible en gran parte del mundo de México y lamentablemente también del Estado de México. </w:t>
      </w:r>
    </w:p>
    <w:p w:rsidR="007C2166" w:rsidRPr="007A27A5" w:rsidRDefault="007C2166" w:rsidP="007C2166">
      <w:pPr>
        <w:pStyle w:val="Sinespaciado"/>
      </w:pPr>
      <w:r w:rsidRPr="007A27A5">
        <w:tab/>
        <w:t xml:space="preserve">En nuestro país más del 60% del territorio está en condiciones de sequía y nuestra Entidad se encuentra entre las que más sufren, mayor desabasto, dentro de esta problemática encontramos que tan solo en la zona metropolitana del Estado de México casi el 50% del agua potable; es decir, más de 12 millones de litros se pierden por fugas, falta de mantenimiento en la infraestructura. </w:t>
      </w:r>
    </w:p>
    <w:p w:rsidR="007C2166" w:rsidRPr="007A27A5" w:rsidRDefault="007C2166" w:rsidP="007C2166">
      <w:pPr>
        <w:pStyle w:val="Sinespaciado"/>
      </w:pPr>
      <w:r w:rsidRPr="007A27A5">
        <w:tab/>
        <w:t>El Estado de México atraviesa una situación alarmante, ejemplo de ello son los municipios de la región del Valle de México, con más de 12 millones de habitantes que sufren de escasez de agua que deteriora su calidad de vida, su salud, también el Sistema Cutzamala, si bien durante este año gracias a las lluvias, alcanzó un 97% de su capacidad, dado el crecimiento poblacional y urbano, aún no logra abastecer la demanda.</w:t>
      </w:r>
    </w:p>
    <w:p w:rsidR="007C2166" w:rsidRPr="007A27A5" w:rsidRDefault="007C2166" w:rsidP="002E3F02">
      <w:pPr>
        <w:pStyle w:val="Sinespaciado"/>
        <w:ind w:firstLine="709"/>
      </w:pPr>
      <w:r w:rsidRPr="007A27A5">
        <w:t xml:space="preserve">Es de resaltar que anualmente precipitan sobre el Estado de México billones de metros cúbicos de agua pluvial, del total solo se aprovecha alrededor del 2.4%, aun cuando especialistas han señalado que, si se captara el 10% de esta lluvia, se podría abastecer a 20 millones de personas o cubrir el consumo de la Ciudad de México durante 3 años. </w:t>
      </w:r>
    </w:p>
    <w:p w:rsidR="007C2166" w:rsidRPr="007A27A5" w:rsidRDefault="007C2166" w:rsidP="002E3F02">
      <w:pPr>
        <w:pStyle w:val="Sinespaciado"/>
        <w:ind w:firstLine="709"/>
      </w:pPr>
      <w:r w:rsidRPr="007A27A5">
        <w:t xml:space="preserve">Frente a esta problemática que viven miles de mexiquenses todos los días y considerando la cantidad de precipitación que podría ser aprovechada, los sistemas de captación de agua de lluvia son una alternativa sustentable para la obtención y abastecimiento de este recurso vital. </w:t>
      </w:r>
    </w:p>
    <w:p w:rsidR="007C2166" w:rsidRPr="007A27A5" w:rsidRDefault="007C2166" w:rsidP="002E3F02">
      <w:pPr>
        <w:pStyle w:val="Sinespaciado"/>
        <w:ind w:firstLine="709"/>
      </w:pPr>
      <w:r w:rsidRPr="007A27A5">
        <w:t xml:space="preserve">De acuerdo con el Instituto Mexicano de Tecnología de Agua, estos sistemas pueden abastecer viviendas, escuelas, edificios públicos entre 5 y 8 meses al año, disminuyendo la dependencia de la red municipal y promoviendo una cultura de uso eficiente del agua. La captación pluvial es una técnica que ya está siendo implementada con mucho éxito en viviendas, edificios gubernamentales, escuelas, hospitales públicos, en todo el mundo, ejemplo de ello es Singapur, </w:t>
      </w:r>
      <w:r w:rsidRPr="007A27A5">
        <w:lastRenderedPageBreak/>
        <w:t xml:space="preserve">donde tienen como objetivo que en 2030 al menos el 80% de sus edificios y escuelas sean ecológicos, este ejemplo da cuenta de que la captación de agua pluvial es una política pública sustentable, rentable y con un impacto positivo tanto para las arcas públicas como para el medio ambiente, en nuestro país, varias instituciones ya han tomado medidas. </w:t>
      </w:r>
    </w:p>
    <w:p w:rsidR="007C2166" w:rsidRPr="007A27A5" w:rsidRDefault="007C2166" w:rsidP="002E3F02">
      <w:pPr>
        <w:pStyle w:val="Sinespaciado"/>
        <w:ind w:firstLine="709"/>
      </w:pPr>
      <w:r w:rsidRPr="007A27A5">
        <w:t>La Suprema Corte de Justicia de la Nación tiene más de 13 proyectos de captación de agua pluvial, en estas se captan más de 1.3 millones de litros de agua al año, la Ciudad de México también es un referente, ya que tienen el captador de agua de lluvia más grande del país, su programa de cosecha de lluvia ha colocado más de 73 mil sistemas entre 2019 y 2024; mientras tanto, en nuestra Entidad, la Comisión Estatal de Parques Naturales y de la Fauna ha colocado 230 captadores en sitios icónicos como el Centro Ceremonial Otomí, el Parque Estatal Sierra Morelos, el Parque Hermenegildo Galeana, el Centro Ceremonial Mazahua, entre otros, logrando captar más de 100 mil litros para riego y uso en sanitarios.</w:t>
      </w:r>
    </w:p>
    <w:p w:rsidR="007C2166" w:rsidRPr="007A27A5" w:rsidRDefault="007C2166" w:rsidP="002E3F02">
      <w:pPr>
        <w:pStyle w:val="Sinespaciado"/>
        <w:ind w:firstLine="709"/>
      </w:pPr>
      <w:r w:rsidRPr="007A27A5">
        <w:t>La escasez hídrica es un problema latente, nuestra Entidad limita el bienestar y la salud de los mexiquenses, afecta la productividad, la educación y el desarrollo económico.</w:t>
      </w:r>
    </w:p>
    <w:p w:rsidR="007C2166" w:rsidRPr="007A27A5" w:rsidRDefault="007C2166" w:rsidP="002E3F02">
      <w:pPr>
        <w:pStyle w:val="Sinespaciado"/>
        <w:ind w:firstLine="709"/>
      </w:pPr>
      <w:r w:rsidRPr="007A27A5">
        <w:t xml:space="preserve">Por estos motivos, las y los legisladores del Partido Verde, creemos que la instalación de sistemas captadores de agua son una estrategia para la reducción del gasto público y promover la fortaleza climática. </w:t>
      </w:r>
    </w:p>
    <w:p w:rsidR="007C2166" w:rsidRPr="007A27A5" w:rsidRDefault="007C2166" w:rsidP="002E3F02">
      <w:pPr>
        <w:pStyle w:val="Sinespaciado"/>
        <w:ind w:firstLine="709"/>
      </w:pPr>
      <w:r w:rsidRPr="007A27A5">
        <w:t xml:space="preserve">La iniciativa que hoy presentamos, tiene el objetivo de promover e instalar infraestructura de captación de almacenamiento y uso del agua pluvial en todos los edificios y escuelas públicas; es decir, transformar las dependencias gubernamentales en ejemplos de manejo hídrico sostenible a nivel nacional. </w:t>
      </w:r>
    </w:p>
    <w:p w:rsidR="007C2166" w:rsidRPr="007A27A5" w:rsidRDefault="007C2166" w:rsidP="002E3F02">
      <w:pPr>
        <w:pStyle w:val="Sinespaciado"/>
        <w:ind w:firstLine="709"/>
      </w:pPr>
      <w:r w:rsidRPr="007A27A5">
        <w:t xml:space="preserve">Buscamos consolidar al Estado de México como un referente de eficiencia en el uso del agua, esto en congruencia con los principios de conservación, justicia y desarrollo sostenible, tenemos la oportunidad de posicionarnos como un modelo de innovación hídrica; pero sobre todo garantizar el derecho humano al agua potable. </w:t>
      </w:r>
    </w:p>
    <w:p w:rsidR="007C2166" w:rsidRPr="007A27A5" w:rsidRDefault="007C2166" w:rsidP="002E3F02">
      <w:pPr>
        <w:pStyle w:val="Sinespaciado"/>
        <w:ind w:firstLine="709"/>
      </w:pPr>
      <w:r w:rsidRPr="007A27A5">
        <w:t xml:space="preserve">Finalmente, consideramos indispensable impulsar soluciones que reduzcan la presión sobre nuestras fuentes naturales de abastecimiento y la captación de agua pluvial, es precisamente una de las medidas más eficientes para avanzar hacia el manejo hídrico sostenible en nuestro Estado de México. </w:t>
      </w:r>
    </w:p>
    <w:p w:rsidR="007C2166" w:rsidRPr="007A27A5" w:rsidRDefault="007C2166" w:rsidP="002E3F02">
      <w:pPr>
        <w:pStyle w:val="Sinespaciado"/>
        <w:ind w:firstLine="709"/>
      </w:pPr>
      <w:r w:rsidRPr="007A27A5">
        <w:t>Es cuanto y muchas gracias, compañeras y compañeros.</w:t>
      </w:r>
    </w:p>
    <w:p w:rsidR="00323B1A" w:rsidRPr="007A27A5" w:rsidRDefault="00323B1A" w:rsidP="00DC676A">
      <w:pPr>
        <w:pStyle w:val="Sinespaciado"/>
      </w:pPr>
    </w:p>
    <w:p w:rsidR="00323B1A" w:rsidRPr="007A27A5" w:rsidRDefault="00323B1A" w:rsidP="00DC676A">
      <w:pPr>
        <w:spacing w:after="0" w:line="240" w:lineRule="auto"/>
        <w:jc w:val="center"/>
        <w:rPr>
          <w:rFonts w:ascii="Times New Roman" w:hAnsi="Times New Roman"/>
          <w:i/>
          <w:sz w:val="24"/>
          <w:szCs w:val="24"/>
        </w:rPr>
      </w:pPr>
      <w:r w:rsidRPr="007A27A5">
        <w:rPr>
          <w:rFonts w:ascii="Times New Roman" w:hAnsi="Times New Roman"/>
          <w:i/>
          <w:sz w:val="24"/>
          <w:szCs w:val="24"/>
        </w:rPr>
        <w:t>(Se inserta documento)</w:t>
      </w:r>
    </w:p>
    <w:p w:rsidR="00323B1A" w:rsidRPr="007A27A5" w:rsidRDefault="00323B1A" w:rsidP="00DC676A">
      <w:pPr>
        <w:spacing w:after="0" w:line="240" w:lineRule="auto"/>
        <w:jc w:val="center"/>
        <w:rPr>
          <w:rFonts w:ascii="Times New Roman" w:hAnsi="Times New Roman"/>
          <w:sz w:val="24"/>
          <w:szCs w:val="24"/>
        </w:rPr>
      </w:pP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GRUPO PARLAMENTARIO DEL PARTIDO VERDE ECOLOGISTA DE MEXICO</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“2025. BICENTENARIO DE LA VIDA MUNICIPAL DEL ESTADO DE MÉXICO”.</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right"/>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Toluca de Lerdo, Estado de México, a </w:t>
      </w:r>
      <w:r w:rsidRPr="007A27A5">
        <w:rPr>
          <w:rFonts w:ascii="Times New Roman" w:eastAsia="Arial" w:hAnsi="Times New Roman" w:cs="Times New Roman"/>
          <w:sz w:val="24"/>
          <w:szCs w:val="24"/>
          <w:u w:val="single" w:color="000000"/>
        </w:rPr>
        <w:t xml:space="preserve">    </w:t>
      </w:r>
      <w:r w:rsidRPr="007A27A5">
        <w:rPr>
          <w:rFonts w:ascii="Times New Roman" w:eastAsia="Arial" w:hAnsi="Times New Roman" w:cs="Times New Roman"/>
          <w:sz w:val="24"/>
          <w:szCs w:val="24"/>
        </w:rPr>
        <w:t xml:space="preserve"> de </w:t>
      </w:r>
      <w:r w:rsidRPr="007A27A5">
        <w:rPr>
          <w:rFonts w:ascii="Times New Roman" w:eastAsia="Arial" w:hAnsi="Times New Roman" w:cs="Times New Roman"/>
          <w:sz w:val="24"/>
          <w:szCs w:val="24"/>
          <w:u w:val="single" w:color="000000"/>
        </w:rPr>
        <w:t xml:space="preserve">    </w:t>
      </w:r>
      <w:r w:rsidRPr="007A27A5">
        <w:rPr>
          <w:rFonts w:ascii="Times New Roman" w:eastAsia="Arial" w:hAnsi="Times New Roman" w:cs="Times New Roman"/>
          <w:sz w:val="24"/>
          <w:szCs w:val="24"/>
        </w:rPr>
        <w:t xml:space="preserve"> </w:t>
      </w:r>
      <w:proofErr w:type="spellStart"/>
      <w:r w:rsidRPr="007A27A5">
        <w:rPr>
          <w:rFonts w:ascii="Times New Roman" w:eastAsia="Arial" w:hAnsi="Times New Roman" w:cs="Times New Roman"/>
          <w:sz w:val="24"/>
          <w:szCs w:val="24"/>
        </w:rPr>
        <w:t>de</w:t>
      </w:r>
      <w:proofErr w:type="spellEnd"/>
      <w:r w:rsidRPr="007A27A5">
        <w:rPr>
          <w:rFonts w:ascii="Times New Roman" w:eastAsia="Arial" w:hAnsi="Times New Roman" w:cs="Times New Roman"/>
          <w:sz w:val="24"/>
          <w:szCs w:val="24"/>
        </w:rPr>
        <w:t xml:space="preserve"> 2025.</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DIP. MARTHA AZUCENA CAMACHO REYNOSO</w:t>
      </w:r>
    </w:p>
    <w:p w:rsidR="00DC676A" w:rsidRPr="007A27A5" w:rsidRDefault="00DC676A" w:rsidP="00DC676A">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PRESIDENTA DE LA MESA DIRECTIVA</w:t>
      </w:r>
    </w:p>
    <w:p w:rsidR="00DC676A" w:rsidRPr="007A27A5" w:rsidRDefault="00DC676A" w:rsidP="00DC676A">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LXII LEGISLATURA DEL H. PODER LEGISLATIVO</w:t>
      </w:r>
    </w:p>
    <w:p w:rsidR="00DC676A" w:rsidRPr="007A27A5" w:rsidRDefault="00DC676A" w:rsidP="00DC676A">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DEL ESTADO LIBRE Y SOBERANO DE MÉXICO</w:t>
      </w:r>
    </w:p>
    <w:p w:rsidR="00DC676A" w:rsidRPr="007A27A5" w:rsidRDefault="00DC676A" w:rsidP="00DC676A">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P R E S E N T E</w:t>
      </w:r>
    </w:p>
    <w:p w:rsidR="00DC676A" w:rsidRPr="007A27A5" w:rsidRDefault="00DC676A" w:rsidP="00DC676A">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Honorable Asamblea:</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Quienes suscriben </w:t>
      </w:r>
      <w:r w:rsidRPr="007A27A5">
        <w:rPr>
          <w:rFonts w:ascii="Times New Roman" w:eastAsia="Arial" w:hAnsi="Times New Roman" w:cs="Times New Roman"/>
          <w:b/>
          <w:sz w:val="24"/>
          <w:szCs w:val="24"/>
        </w:rPr>
        <w:t xml:space="preserve">JOSÉ ALBERTO COUTTOLENC BUENTELLO, HÉCTOR RAÚL GARCÍA GONZÁLEZ, HONORIA ARELLANO OCAMPO, ALEJANDRA FIGUEROA ADAME, GLORIA VANESSA LINARES ZETINA, CARLOS ALBERTO LÓPEZ IMM, </w:t>
      </w:r>
      <w:r w:rsidRPr="007A27A5">
        <w:rPr>
          <w:rFonts w:ascii="Times New Roman" w:eastAsia="Arial" w:hAnsi="Times New Roman" w:cs="Times New Roman"/>
          <w:b/>
          <w:sz w:val="24"/>
          <w:szCs w:val="24"/>
        </w:rPr>
        <w:lastRenderedPageBreak/>
        <w:t xml:space="preserve">ISAÍAS PELÁEZ SORIA, ITZEL GUADALUPE PÉREZ CORREA Y MIRIAM SILVA MATA </w:t>
      </w:r>
      <w:r w:rsidRPr="007A27A5">
        <w:rPr>
          <w:rFonts w:ascii="Times New Roman" w:eastAsia="Arial" w:hAnsi="Times New Roman" w:cs="Times New Roman"/>
          <w:sz w:val="24"/>
          <w:szCs w:val="24"/>
        </w:rPr>
        <w:t xml:space="preserve">diputadas y diputados integrantes del </w:t>
      </w:r>
      <w:r w:rsidRPr="007A27A5">
        <w:rPr>
          <w:rFonts w:ascii="Times New Roman" w:eastAsia="Arial" w:hAnsi="Times New Roman" w:cs="Times New Roman"/>
          <w:b/>
          <w:sz w:val="24"/>
          <w:szCs w:val="24"/>
        </w:rPr>
        <w:t xml:space="preserve">GRUPO PARLAMENTARIO DEL PARTIDO VERDE ECOLOGISTA DE MÉXICO </w:t>
      </w:r>
      <w:r w:rsidRPr="007A27A5">
        <w:rPr>
          <w:rFonts w:ascii="Times New Roman" w:eastAsia="Arial" w:hAnsi="Times New Roman" w:cs="Times New Roman"/>
          <w:sz w:val="24"/>
          <w:szCs w:val="24"/>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w:t>
      </w:r>
      <w:r w:rsidRPr="007A27A5">
        <w:rPr>
          <w:rFonts w:ascii="Times New Roman" w:eastAsia="Arial" w:hAnsi="Times New Roman" w:cs="Times New Roman"/>
          <w:b/>
          <w:sz w:val="24"/>
          <w:szCs w:val="24"/>
        </w:rPr>
        <w:t xml:space="preserve">INICIATIVA CON PROYECTO DE DECRETO POR LA QUE SE REFORMA EL ARTÍCULO 53 Y 53 BIS DE LA LEY DEL AGUA PARA EL ESTADO DE MÉXICO Y MUNICIPIOS, EN MATERIA DE SUSTENTABILIDAD HÍDRICA, </w:t>
      </w:r>
      <w:r w:rsidRPr="007A27A5">
        <w:rPr>
          <w:rFonts w:ascii="Times New Roman" w:eastAsia="Arial" w:hAnsi="Times New Roman" w:cs="Times New Roman"/>
          <w:sz w:val="24"/>
          <w:szCs w:val="24"/>
        </w:rPr>
        <w:t>con sustento en la siguiente:</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EXPOSICIÓN DE MOTIVOS</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El agua es un recurso vital para la subsistencia humana; no solo para su consumo, sino también para la preservación de ecosistemas, el balance climático y la seguridad alimentaria, sin embargo, debido a la creciente presión sobre las fuentes hídricas y el crecimiento poblacional su disponibilidad está cada vez más limitada.</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Por ello, la crisis del agua es una amenaza global, pues representa uno de los principales retos para las generaciones presentes y por venir. A pesar de que el planeta está cubierto de agua, el 97.5% de esta es salada y solo el 2.5% es dulce.</w:t>
      </w:r>
      <w:r w:rsidRPr="007A27A5">
        <w:rPr>
          <w:rFonts w:ascii="Times New Roman" w:eastAsia="Arial" w:hAnsi="Times New Roman" w:cs="Times New Roman"/>
          <w:color w:val="FF0000"/>
          <w:sz w:val="24"/>
          <w:szCs w:val="24"/>
          <w:vertAlign w:val="superscript"/>
        </w:rPr>
        <w:t>1</w:t>
      </w:r>
      <w:r w:rsidRPr="007A27A5">
        <w:rPr>
          <w:rFonts w:ascii="Times New Roman" w:eastAsia="Arial" w:hAnsi="Times New Roman" w:cs="Times New Roman"/>
          <w:sz w:val="24"/>
          <w:szCs w:val="24"/>
        </w:rPr>
        <w:t xml:space="preserve"> De este porcentaje de agua dulce, solo el 1% se encuentra accesible para el consumo humano, el resto está congelado o en acuíferos de difícil acceso</w:t>
      </w:r>
      <w:r w:rsidRPr="007A27A5">
        <w:rPr>
          <w:rFonts w:ascii="Times New Roman" w:eastAsia="Arial" w:hAnsi="Times New Roman" w:cs="Times New Roman"/>
          <w:color w:val="FF0000"/>
          <w:sz w:val="24"/>
          <w:szCs w:val="24"/>
          <w:vertAlign w:val="superscript"/>
        </w:rPr>
        <w:t>2</w:t>
      </w:r>
      <w:r w:rsidRPr="007A27A5">
        <w:rPr>
          <w:rFonts w:ascii="Times New Roman" w:eastAsia="Arial" w:hAnsi="Times New Roman" w:cs="Times New Roman"/>
          <w:sz w:val="24"/>
          <w:szCs w:val="24"/>
        </w:rPr>
        <w:t>.</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De acuerdo con la Organización de las Naciones Unidas (ONU), más del 40% de la población mundial vivirá en situación de escasez de agua para 2030.</w:t>
      </w:r>
      <w:r w:rsidRPr="007A27A5">
        <w:rPr>
          <w:rFonts w:ascii="Times New Roman" w:eastAsia="Arial" w:hAnsi="Times New Roman" w:cs="Times New Roman"/>
          <w:color w:val="FF0000"/>
          <w:sz w:val="24"/>
          <w:szCs w:val="24"/>
          <w:vertAlign w:val="superscript"/>
        </w:rPr>
        <w:t>3</w:t>
      </w:r>
      <w:r w:rsidRPr="007A27A5">
        <w:rPr>
          <w:rFonts w:ascii="Times New Roman" w:eastAsia="Arial" w:hAnsi="Times New Roman" w:cs="Times New Roman"/>
          <w:sz w:val="24"/>
          <w:szCs w:val="24"/>
        </w:rPr>
        <w:t xml:space="preserve"> Una de las principales causas de este problema son las pérdidas en las redes de distribución. Se calcula que el agua no contabilizada (la que se pierde por fugas o ineficiencias en las redes de distribución), supera el 40% del agua total distribuida, lo que se traduce en más de 45 millones de metros cúbicos de agua desperdiciados cada día en el mundo.</w:t>
      </w:r>
      <w:r w:rsidRPr="007A27A5">
        <w:rPr>
          <w:rFonts w:ascii="Times New Roman" w:eastAsia="Arial" w:hAnsi="Times New Roman" w:cs="Times New Roman"/>
          <w:color w:val="FF0000"/>
          <w:sz w:val="24"/>
          <w:szCs w:val="24"/>
          <w:vertAlign w:val="superscript"/>
        </w:rPr>
        <w:t>4</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color w:val="FF0000"/>
          <w:sz w:val="24"/>
          <w:szCs w:val="24"/>
          <w:vertAlign w:val="superscript"/>
        </w:rPr>
      </w:pPr>
      <w:r w:rsidRPr="007A27A5">
        <w:rPr>
          <w:rFonts w:ascii="Times New Roman" w:eastAsia="Arial" w:hAnsi="Times New Roman" w:cs="Times New Roman"/>
          <w:sz w:val="24"/>
          <w:szCs w:val="24"/>
        </w:rPr>
        <w:t>Y en México la situación no es diferente, más de 35 millones de personas no tienen acceso suficiente al agua y el 60% del territorio nacional está en condiciones de sequía.</w:t>
      </w:r>
      <w:r w:rsidRPr="007A27A5">
        <w:rPr>
          <w:rFonts w:ascii="Times New Roman" w:eastAsia="Arial" w:hAnsi="Times New Roman" w:cs="Times New Roman"/>
          <w:color w:val="FF0000"/>
          <w:sz w:val="24"/>
          <w:szCs w:val="24"/>
          <w:vertAlign w:val="superscript"/>
        </w:rPr>
        <w:t>5</w:t>
      </w:r>
    </w:p>
    <w:p w:rsidR="00DC676A" w:rsidRPr="007A27A5" w:rsidRDefault="00DC676A" w:rsidP="00DC676A">
      <w:pPr>
        <w:spacing w:after="0" w:line="240" w:lineRule="auto"/>
        <w:jc w:val="both"/>
        <w:rPr>
          <w:rFonts w:ascii="Times New Roman" w:eastAsia="Arial"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En los últimos veinte años se ha reducido en un 30% la disponibilidad de agua por habitante. Informes de la UNAM señalan que casi el 50% del agua potable que se transporta por la red pública se pierde en fugas; es decir, más de 12 mil litros por segundo, tan solo en la Zona Metropolitana del Valle de México.</w:t>
      </w:r>
      <w:r w:rsidRPr="007A27A5">
        <w:rPr>
          <w:rFonts w:ascii="Times New Roman" w:eastAsia="Arial" w:hAnsi="Times New Roman" w:cs="Times New Roman"/>
          <w:color w:val="FF0000"/>
          <w:sz w:val="24"/>
          <w:szCs w:val="24"/>
          <w:vertAlign w:val="superscript"/>
        </w:rPr>
        <w:t>6</w:t>
      </w:r>
    </w:p>
    <w:p w:rsidR="00DC676A" w:rsidRPr="007A27A5" w:rsidRDefault="00DC676A" w:rsidP="00DC676A">
      <w:pPr>
        <w:spacing w:after="0" w:line="240" w:lineRule="auto"/>
        <w:jc w:val="both"/>
        <w:rPr>
          <w:rFonts w:ascii="Times New Roman" w:eastAsia="Times New Roman" w:hAnsi="Times New Roman" w:cs="Times New Roman"/>
          <w:sz w:val="24"/>
          <w:szCs w:val="24"/>
        </w:rPr>
      </w:pPr>
    </w:p>
    <w:p w:rsidR="00DC676A" w:rsidRPr="007A27A5" w:rsidRDefault="00DC676A" w:rsidP="00DC676A">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w:t>
      </w:r>
      <w:r w:rsidRPr="007A27A5">
        <w:rPr>
          <w:rFonts w:ascii="Times New Roman" w:eastAsia="Arial" w:hAnsi="Times New Roman" w:cs="Times New Roman"/>
          <w:sz w:val="20"/>
          <w:szCs w:val="24"/>
        </w:rPr>
        <w:t xml:space="preserve"> Fundación </w:t>
      </w:r>
      <w:proofErr w:type="spellStart"/>
      <w:r w:rsidRPr="007A27A5">
        <w:rPr>
          <w:rFonts w:ascii="Times New Roman" w:eastAsia="Arial" w:hAnsi="Times New Roman" w:cs="Times New Roman"/>
          <w:sz w:val="20"/>
          <w:szCs w:val="24"/>
        </w:rPr>
        <w:t>Aquae</w:t>
      </w:r>
      <w:proofErr w:type="spellEnd"/>
      <w:r w:rsidRPr="007A27A5">
        <w:rPr>
          <w:rFonts w:ascii="Times New Roman" w:eastAsia="Arial" w:hAnsi="Times New Roman" w:cs="Times New Roman"/>
          <w:sz w:val="20"/>
          <w:szCs w:val="24"/>
        </w:rPr>
        <w:t xml:space="preserve">. 10 de septiembre de 2025. </w:t>
      </w:r>
      <w:r w:rsidRPr="007A27A5">
        <w:rPr>
          <w:rFonts w:ascii="Times New Roman" w:eastAsia="Arial" w:hAnsi="Times New Roman" w:cs="Times New Roman"/>
          <w:i/>
          <w:sz w:val="20"/>
          <w:szCs w:val="24"/>
        </w:rPr>
        <w:t xml:space="preserve">¿Cuánta agua potable hay en la Tierra? </w:t>
      </w:r>
      <w:r w:rsidRPr="007A27A5">
        <w:rPr>
          <w:rFonts w:ascii="Times New Roman" w:eastAsia="Arial" w:hAnsi="Times New Roman" w:cs="Times New Roman"/>
          <w:sz w:val="20"/>
          <w:szCs w:val="24"/>
        </w:rPr>
        <w:t xml:space="preserve">Fundación </w:t>
      </w:r>
      <w:proofErr w:type="spellStart"/>
      <w:r w:rsidRPr="007A27A5">
        <w:rPr>
          <w:rFonts w:ascii="Times New Roman" w:eastAsia="Arial" w:hAnsi="Times New Roman" w:cs="Times New Roman"/>
          <w:sz w:val="20"/>
          <w:szCs w:val="24"/>
        </w:rPr>
        <w:t>Aquae</w:t>
      </w:r>
      <w:proofErr w:type="spellEnd"/>
      <w:r w:rsidRPr="007A27A5">
        <w:rPr>
          <w:rFonts w:ascii="Times New Roman" w:eastAsia="Arial" w:hAnsi="Times New Roman" w:cs="Times New Roman"/>
          <w:sz w:val="20"/>
          <w:szCs w:val="24"/>
        </w:rPr>
        <w:t xml:space="preserve">. Véase en: </w:t>
      </w:r>
      <w:hyperlink r:id="rId16">
        <w:r w:rsidRPr="007A27A5">
          <w:rPr>
            <w:rFonts w:ascii="Times New Roman" w:eastAsia="Arial" w:hAnsi="Times New Roman" w:cs="Times New Roman"/>
            <w:sz w:val="20"/>
            <w:szCs w:val="24"/>
            <w:u w:val="single" w:color="0000FF"/>
          </w:rPr>
          <w:t>https://www.fundacionaquae.org/wiki/cantidad-de-agua-potable-fuente-de-vida/</w:t>
        </w:r>
      </w:hyperlink>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2</w:t>
      </w:r>
      <w:r w:rsidRPr="007A27A5">
        <w:rPr>
          <w:rFonts w:ascii="Times New Roman" w:eastAsia="Arial" w:hAnsi="Times New Roman" w:cs="Times New Roman"/>
          <w:sz w:val="20"/>
          <w:szCs w:val="24"/>
        </w:rPr>
        <w:t xml:space="preserve"> Puntualizando. 1 de julio de 2024. </w:t>
      </w:r>
      <w:r w:rsidRPr="007A27A5">
        <w:rPr>
          <w:rFonts w:ascii="Times New Roman" w:eastAsia="Arial" w:hAnsi="Times New Roman" w:cs="Times New Roman"/>
          <w:i/>
          <w:sz w:val="20"/>
          <w:szCs w:val="24"/>
        </w:rPr>
        <w:t xml:space="preserve">Solo el uno por ciento del agua dulce está accesible para consumo humano, señala especialista </w:t>
      </w:r>
      <w:r w:rsidRPr="007A27A5">
        <w:rPr>
          <w:rFonts w:ascii="Times New Roman" w:eastAsia="Arial" w:hAnsi="Times New Roman" w:cs="Times New Roman"/>
          <w:sz w:val="20"/>
          <w:szCs w:val="24"/>
        </w:rPr>
        <w:t>Puntualizando.com. (</w:t>
      </w:r>
      <w:proofErr w:type="spellStart"/>
      <w:r w:rsidRPr="007A27A5">
        <w:rPr>
          <w:rFonts w:ascii="Times New Roman" w:eastAsia="Arial" w:hAnsi="Times New Roman" w:cs="Times New Roman"/>
          <w:sz w:val="20"/>
          <w:szCs w:val="24"/>
        </w:rPr>
        <w:t>n.d</w:t>
      </w:r>
      <w:proofErr w:type="spellEnd"/>
      <w:r w:rsidRPr="007A27A5">
        <w:rPr>
          <w:rFonts w:ascii="Times New Roman" w:eastAsia="Arial" w:hAnsi="Times New Roman" w:cs="Times New Roman"/>
          <w:sz w:val="20"/>
          <w:szCs w:val="24"/>
        </w:rPr>
        <w:t xml:space="preserve">.). Véase en: </w:t>
      </w:r>
      <w:hyperlink r:id="rId17">
        <w:r w:rsidRPr="007A27A5">
          <w:rPr>
            <w:rFonts w:ascii="Times New Roman" w:eastAsia="Arial" w:hAnsi="Times New Roman" w:cs="Times New Roman"/>
            <w:sz w:val="20"/>
            <w:szCs w:val="24"/>
            <w:u w:val="single" w:color="0000FF"/>
          </w:rPr>
          <w:t>https://www.puntualizando.com/solo-el-uno-por-ciento-del-agua-dulce-esta-accesible-para-</w:t>
        </w:r>
      </w:hyperlink>
      <w:hyperlink r:id="rId18">
        <w:r w:rsidRPr="007A27A5">
          <w:rPr>
            <w:rFonts w:ascii="Times New Roman" w:eastAsia="Arial" w:hAnsi="Times New Roman" w:cs="Times New Roman"/>
            <w:sz w:val="20"/>
            <w:szCs w:val="24"/>
            <w:u w:val="single" w:color="0000FF"/>
          </w:rPr>
          <w:t>consumo-humano-senala-especialista/</w:t>
        </w:r>
      </w:hyperlink>
    </w:p>
    <w:p w:rsidR="00DC676A" w:rsidRPr="007A27A5" w:rsidRDefault="00DC676A" w:rsidP="00DC676A">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3</w:t>
      </w:r>
      <w:r w:rsidRPr="007A27A5">
        <w:rPr>
          <w:rFonts w:ascii="Times New Roman" w:eastAsia="Arial" w:hAnsi="Times New Roman" w:cs="Times New Roman"/>
          <w:sz w:val="20"/>
          <w:szCs w:val="24"/>
        </w:rPr>
        <w:t xml:space="preserve"> Fundación </w:t>
      </w:r>
      <w:proofErr w:type="spellStart"/>
      <w:r w:rsidRPr="007A27A5">
        <w:rPr>
          <w:rFonts w:ascii="Times New Roman" w:eastAsia="Arial" w:hAnsi="Times New Roman" w:cs="Times New Roman"/>
          <w:sz w:val="20"/>
          <w:szCs w:val="24"/>
        </w:rPr>
        <w:t>Aquae</w:t>
      </w:r>
      <w:proofErr w:type="spellEnd"/>
      <w:r w:rsidRPr="007A27A5">
        <w:rPr>
          <w:rFonts w:ascii="Times New Roman" w:eastAsia="Arial" w:hAnsi="Times New Roman" w:cs="Times New Roman"/>
          <w:sz w:val="20"/>
          <w:szCs w:val="24"/>
        </w:rPr>
        <w:t xml:space="preserve">. 12 de abril de 2023. </w:t>
      </w:r>
      <w:r w:rsidRPr="007A27A5">
        <w:rPr>
          <w:rFonts w:ascii="Times New Roman" w:eastAsia="Arial" w:hAnsi="Times New Roman" w:cs="Times New Roman"/>
          <w:i/>
          <w:sz w:val="20"/>
          <w:szCs w:val="24"/>
        </w:rPr>
        <w:t xml:space="preserve">Conferencia de la ONU sobre el Agua de 2023 </w:t>
      </w:r>
      <w:r w:rsidRPr="007A27A5">
        <w:rPr>
          <w:rFonts w:ascii="Times New Roman" w:eastAsia="Arial" w:hAnsi="Times New Roman" w:cs="Times New Roman"/>
          <w:sz w:val="20"/>
          <w:szCs w:val="24"/>
        </w:rPr>
        <w:t xml:space="preserve">- Fundación </w:t>
      </w:r>
      <w:proofErr w:type="spellStart"/>
      <w:r w:rsidRPr="007A27A5">
        <w:rPr>
          <w:rFonts w:ascii="Times New Roman" w:eastAsia="Arial" w:hAnsi="Times New Roman" w:cs="Times New Roman"/>
          <w:sz w:val="20"/>
          <w:szCs w:val="24"/>
        </w:rPr>
        <w:t>Aquae</w:t>
      </w:r>
      <w:proofErr w:type="spellEnd"/>
      <w:r w:rsidRPr="007A27A5">
        <w:rPr>
          <w:rFonts w:ascii="Times New Roman" w:eastAsia="Arial" w:hAnsi="Times New Roman" w:cs="Times New Roman"/>
          <w:sz w:val="20"/>
          <w:szCs w:val="24"/>
        </w:rPr>
        <w:t xml:space="preserve">. Véase en:  </w:t>
      </w:r>
      <w:hyperlink r:id="rId19">
        <w:r w:rsidRPr="007A27A5">
          <w:rPr>
            <w:rFonts w:ascii="Times New Roman" w:eastAsia="Arial" w:hAnsi="Times New Roman" w:cs="Times New Roman"/>
            <w:sz w:val="20"/>
            <w:szCs w:val="24"/>
            <w:u w:val="single" w:color="0000FF"/>
          </w:rPr>
          <w:t>Conferencia</w:t>
        </w:r>
      </w:hyperlink>
      <w:r w:rsidRPr="007A27A5">
        <w:rPr>
          <w:rFonts w:ascii="Times New Roman" w:eastAsia="Arial" w:hAnsi="Times New Roman" w:cs="Times New Roman"/>
          <w:sz w:val="20"/>
          <w:szCs w:val="24"/>
        </w:rPr>
        <w:t xml:space="preserve"> </w:t>
      </w:r>
      <w:hyperlink r:id="rId20">
        <w:r w:rsidRPr="007A27A5">
          <w:rPr>
            <w:rFonts w:ascii="Times New Roman" w:eastAsia="Arial" w:hAnsi="Times New Roman" w:cs="Times New Roman"/>
            <w:sz w:val="20"/>
            <w:szCs w:val="24"/>
            <w:u w:val="single" w:color="0000FF"/>
          </w:rPr>
          <w:t xml:space="preserve">de la ONU sobre el Agua de 2023 - Fundación </w:t>
        </w:r>
        <w:proofErr w:type="spellStart"/>
        <w:r w:rsidRPr="007A27A5">
          <w:rPr>
            <w:rFonts w:ascii="Times New Roman" w:eastAsia="Arial" w:hAnsi="Times New Roman" w:cs="Times New Roman"/>
            <w:sz w:val="20"/>
            <w:szCs w:val="24"/>
            <w:u w:val="single" w:color="0000FF"/>
          </w:rPr>
          <w:t>Aquae</w:t>
        </w:r>
        <w:proofErr w:type="spellEnd"/>
      </w:hyperlink>
    </w:p>
    <w:p w:rsidR="00DC676A" w:rsidRPr="007A27A5" w:rsidRDefault="00DC676A" w:rsidP="00DC676A">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4</w:t>
      </w:r>
      <w:r w:rsidRPr="007A27A5">
        <w:rPr>
          <w:rFonts w:ascii="Times New Roman" w:eastAsia="Arial" w:hAnsi="Times New Roman" w:cs="Times New Roman"/>
          <w:sz w:val="20"/>
          <w:szCs w:val="24"/>
        </w:rPr>
        <w:t xml:space="preserve"> </w:t>
      </w:r>
      <w:proofErr w:type="spellStart"/>
      <w:r w:rsidRPr="007A27A5">
        <w:rPr>
          <w:rFonts w:ascii="Times New Roman" w:eastAsia="Arial" w:hAnsi="Times New Roman" w:cs="Times New Roman"/>
          <w:sz w:val="20"/>
          <w:szCs w:val="24"/>
        </w:rPr>
        <w:t>DiCYT</w:t>
      </w:r>
      <w:proofErr w:type="spellEnd"/>
      <w:r w:rsidRPr="007A27A5">
        <w:rPr>
          <w:rFonts w:ascii="Times New Roman" w:eastAsia="Arial" w:hAnsi="Times New Roman" w:cs="Times New Roman"/>
          <w:sz w:val="20"/>
          <w:szCs w:val="24"/>
        </w:rPr>
        <w:t>, A. (</w:t>
      </w:r>
      <w:proofErr w:type="spellStart"/>
      <w:r w:rsidRPr="007A27A5">
        <w:rPr>
          <w:rFonts w:ascii="Times New Roman" w:eastAsia="Arial" w:hAnsi="Times New Roman" w:cs="Times New Roman"/>
          <w:sz w:val="20"/>
          <w:szCs w:val="24"/>
        </w:rPr>
        <w:t>n.d</w:t>
      </w:r>
      <w:proofErr w:type="spellEnd"/>
      <w:r w:rsidRPr="007A27A5">
        <w:rPr>
          <w:rFonts w:ascii="Times New Roman" w:eastAsia="Arial" w:hAnsi="Times New Roman" w:cs="Times New Roman"/>
          <w:sz w:val="20"/>
          <w:szCs w:val="24"/>
        </w:rPr>
        <w:t xml:space="preserve">.). </w:t>
      </w:r>
      <w:r w:rsidRPr="007A27A5">
        <w:rPr>
          <w:rFonts w:ascii="Times New Roman" w:eastAsia="Arial" w:hAnsi="Times New Roman" w:cs="Times New Roman"/>
          <w:i/>
          <w:sz w:val="20"/>
          <w:szCs w:val="24"/>
        </w:rPr>
        <w:t>En México se pierde el 40 por ciento del agua potable por fugas en redes</w:t>
      </w:r>
      <w:r w:rsidRPr="007A27A5">
        <w:rPr>
          <w:rFonts w:ascii="Times New Roman" w:eastAsia="Arial" w:hAnsi="Times New Roman" w:cs="Times New Roman"/>
          <w:sz w:val="20"/>
          <w:szCs w:val="24"/>
        </w:rPr>
        <w:t xml:space="preserve">. Véase en: </w:t>
      </w:r>
      <w:hyperlink r:id="rId21">
        <w:r w:rsidRPr="007A27A5">
          <w:rPr>
            <w:rFonts w:ascii="Times New Roman" w:eastAsia="Arial" w:hAnsi="Times New Roman" w:cs="Times New Roman"/>
            <w:sz w:val="20"/>
            <w:szCs w:val="24"/>
            <w:u w:val="single" w:color="0000FF"/>
          </w:rPr>
          <w:t>https://www.dicyt.com/noticias/en-mexico-se-pierde-el-40-por-ciento-del-agua-potable-por-fugas-en-redes</w:t>
        </w:r>
      </w:hyperlink>
    </w:p>
    <w:p w:rsidR="00DC676A" w:rsidRPr="007A27A5" w:rsidRDefault="00DC676A" w:rsidP="00DC676A">
      <w:pPr>
        <w:spacing w:after="0" w:line="240" w:lineRule="auto"/>
        <w:jc w:val="both"/>
        <w:rPr>
          <w:rFonts w:ascii="Times New Roman" w:eastAsia="Times New Roman" w:hAnsi="Times New Roman" w:cs="Times New Roman"/>
          <w:sz w:val="20"/>
          <w:szCs w:val="24"/>
        </w:rPr>
      </w:pPr>
      <w:r w:rsidRPr="007A27A5">
        <w:rPr>
          <w:rFonts w:ascii="Times New Roman" w:eastAsia="Arial" w:hAnsi="Times New Roman" w:cs="Times New Roman"/>
          <w:color w:val="FF0000"/>
          <w:sz w:val="20"/>
          <w:szCs w:val="24"/>
          <w:vertAlign w:val="superscript"/>
        </w:rPr>
        <w:lastRenderedPageBreak/>
        <w:t>5</w:t>
      </w:r>
      <w:r w:rsidRPr="007A27A5">
        <w:rPr>
          <w:rFonts w:ascii="Times New Roman" w:eastAsia="Arial" w:hAnsi="Times New Roman" w:cs="Times New Roman"/>
          <w:sz w:val="20"/>
          <w:szCs w:val="24"/>
        </w:rPr>
        <w:t xml:space="preserve"> Estrada, E. 27 de octubre de 2025. </w:t>
      </w:r>
      <w:r w:rsidRPr="007A27A5">
        <w:rPr>
          <w:rFonts w:ascii="Times New Roman" w:eastAsia="Arial" w:hAnsi="Times New Roman" w:cs="Times New Roman"/>
          <w:i/>
          <w:sz w:val="20"/>
          <w:szCs w:val="24"/>
        </w:rPr>
        <w:t xml:space="preserve">México enfrenta crisis hídrica por mala gestión del recurso agua: Rotoplas. </w:t>
      </w:r>
      <w:r w:rsidRPr="007A27A5">
        <w:rPr>
          <w:rFonts w:ascii="Times New Roman" w:eastAsia="Arial" w:hAnsi="Times New Roman" w:cs="Times New Roman"/>
          <w:sz w:val="20"/>
          <w:szCs w:val="24"/>
        </w:rPr>
        <w:t>LA PRENSA. Véase en</w:t>
      </w:r>
      <w:r w:rsidRPr="007A27A5">
        <w:rPr>
          <w:rFonts w:ascii="Times New Roman" w:eastAsia="Arial" w:hAnsi="Times New Roman" w:cs="Times New Roman"/>
          <w:i/>
          <w:sz w:val="20"/>
          <w:szCs w:val="24"/>
        </w:rPr>
        <w:t>:</w:t>
      </w:r>
      <w:r w:rsidRPr="007A27A5">
        <w:rPr>
          <w:rFonts w:ascii="Times New Roman" w:eastAsia="Arial" w:hAnsi="Times New Roman" w:cs="Times New Roman"/>
          <w:sz w:val="20"/>
          <w:szCs w:val="24"/>
        </w:rPr>
        <w:t xml:space="preserve"> </w:t>
      </w:r>
      <w:hyperlink r:id="rId22">
        <w:r w:rsidRPr="007A27A5">
          <w:rPr>
            <w:rFonts w:ascii="Times New Roman" w:eastAsia="Arial" w:hAnsi="Times New Roman" w:cs="Times New Roman"/>
            <w:sz w:val="20"/>
            <w:szCs w:val="24"/>
            <w:u w:val="single" w:color="0000FF"/>
          </w:rPr>
          <w:t>https://oem.com.mx/la-prensa/mexico/mexico-enfrenta-crisis-hidrica-por-mala-gestion-del-recurso-agua-rotoplas-</w:t>
        </w:r>
      </w:hyperlink>
      <w:hyperlink r:id="rId23">
        <w:r w:rsidRPr="007A27A5">
          <w:rPr>
            <w:rFonts w:ascii="Times New Roman" w:eastAsia="Arial" w:hAnsi="Times New Roman" w:cs="Times New Roman"/>
            <w:sz w:val="20"/>
            <w:szCs w:val="24"/>
            <w:u w:val="single" w:color="0000FF"/>
          </w:rPr>
          <w:t>26505502</w:t>
        </w:r>
      </w:hyperlink>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A pesar de que anualmente precipitan sobre el territorio nacional más de 1.5 billones de metros cúbicos de agua pluvial, del total, solo se aprovecha el 2.4%. Especialistas calculan que, si se capturara tan solo el 10% de esa lluvia, se podría abastecer a 20 millones de personas o cubrir el consumo de la Ciudad de México durante tres años.</w:t>
      </w:r>
      <w:r w:rsidRPr="007A27A5">
        <w:rPr>
          <w:rFonts w:ascii="Times New Roman" w:eastAsia="Arial" w:hAnsi="Times New Roman" w:cs="Times New Roman"/>
          <w:color w:val="FF0000"/>
          <w:sz w:val="24"/>
          <w:szCs w:val="24"/>
          <w:vertAlign w:val="superscript"/>
        </w:rPr>
        <w:t>7</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El Estado de México atraviesa una situación igual de alarmante, nuestra entidad depende en gran medida del Sistema Cutzamala, mismo que durante los últimos años se ha encontrado en los por debajo del 50% de su nivel en algunos de sus principales embalses. Si bien, a partir del segundo semestre del 2025, superó el 97% de su capacidad total, el nivel más alto en la última década, esto fue ocasionado por las lluvias atípicas de este año.</w:t>
      </w:r>
      <w:r w:rsidRPr="007A27A5">
        <w:rPr>
          <w:rFonts w:ascii="Times New Roman" w:eastAsia="Arial" w:hAnsi="Times New Roman" w:cs="Times New Roman"/>
          <w:color w:val="FF0000"/>
          <w:sz w:val="24"/>
          <w:szCs w:val="24"/>
          <w:vertAlign w:val="superscript"/>
        </w:rPr>
        <w:t>8</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La </w:t>
      </w:r>
      <w:proofErr w:type="spellStart"/>
      <w:r w:rsidRPr="007A27A5">
        <w:rPr>
          <w:rFonts w:ascii="Times New Roman" w:eastAsia="Arial" w:hAnsi="Times New Roman" w:cs="Times New Roman"/>
          <w:sz w:val="24"/>
          <w:szCs w:val="24"/>
        </w:rPr>
        <w:t>sobreurbanización</w:t>
      </w:r>
      <w:proofErr w:type="spellEnd"/>
      <w:r w:rsidRPr="007A27A5">
        <w:rPr>
          <w:rFonts w:ascii="Times New Roman" w:eastAsia="Arial" w:hAnsi="Times New Roman" w:cs="Times New Roman"/>
          <w:sz w:val="24"/>
          <w:szCs w:val="24"/>
        </w:rPr>
        <w:t xml:space="preserve"> ha disminuido drásticamente la disponibilidad del vital líquido, tanto por la presión a los mantos, como la disminución de suelo para la recarga natural de los acuíferos; se estima que por cada hectárea construida se pierde la recarga equivalente a 170 litros por metro cuadrado al año, cantidad suficiente para abastecer a 500 familias</w:t>
      </w:r>
      <w:r w:rsidRPr="007A27A5">
        <w:rPr>
          <w:rFonts w:ascii="Times New Roman" w:eastAsia="Arial" w:hAnsi="Times New Roman" w:cs="Times New Roman"/>
          <w:color w:val="FF0000"/>
          <w:sz w:val="24"/>
          <w:szCs w:val="24"/>
          <w:vertAlign w:val="superscript"/>
        </w:rPr>
        <w:t>9</w:t>
      </w:r>
      <w:r w:rsidRPr="007A27A5">
        <w:rPr>
          <w:rFonts w:ascii="Times New Roman" w:eastAsia="Arial" w:hAnsi="Times New Roman" w:cs="Times New Roman"/>
          <w:sz w:val="24"/>
          <w:szCs w:val="24"/>
        </w:rPr>
        <w:t>. Municipios como Ecatepec y Nezahualcóyotl, con más de dos millones de habitantes, sufren escasez perenne de agua que deteriora la calidad de vida y la salud de la población.</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6</w:t>
      </w:r>
      <w:r w:rsidRPr="007A27A5">
        <w:rPr>
          <w:rFonts w:ascii="Times New Roman" w:eastAsia="Arial" w:hAnsi="Times New Roman" w:cs="Times New Roman"/>
          <w:sz w:val="20"/>
          <w:szCs w:val="24"/>
        </w:rPr>
        <w:t xml:space="preserve"> Hernández, L. 4 de marzo de 2024. </w:t>
      </w:r>
      <w:r w:rsidRPr="007A27A5">
        <w:rPr>
          <w:rFonts w:ascii="Times New Roman" w:eastAsia="Arial" w:hAnsi="Times New Roman" w:cs="Times New Roman"/>
          <w:i/>
          <w:sz w:val="20"/>
          <w:szCs w:val="24"/>
        </w:rPr>
        <w:t>Cerca del 50% del agua del Valle de México se pierde ¿A dónde va y cuánto costaría recuperarla?</w:t>
      </w:r>
      <w:r w:rsidRPr="007A27A5">
        <w:rPr>
          <w:rFonts w:ascii="Times New Roman" w:eastAsia="Arial" w:hAnsi="Times New Roman" w:cs="Times New Roman"/>
          <w:sz w:val="20"/>
          <w:szCs w:val="24"/>
        </w:rPr>
        <w:t xml:space="preserve">. MILENIO. Véase en: </w:t>
      </w:r>
      <w:hyperlink r:id="rId24">
        <w:r w:rsidRPr="007A27A5">
          <w:rPr>
            <w:rFonts w:ascii="Times New Roman" w:eastAsia="Arial" w:hAnsi="Times New Roman" w:cs="Times New Roman"/>
            <w:sz w:val="20"/>
            <w:szCs w:val="24"/>
            <w:u w:val="single" w:color="0000FF"/>
          </w:rPr>
          <w:t>https://www.milenio.com/ciencia-y-salud/cerca-del-50-del-agua-del-valle-de-mexico-se-pierde-a-</w:t>
        </w:r>
      </w:hyperlink>
      <w:r w:rsidRPr="007A27A5">
        <w:rPr>
          <w:rFonts w:ascii="Times New Roman" w:eastAsia="Arial" w:hAnsi="Times New Roman" w:cs="Times New Roman"/>
          <w:sz w:val="20"/>
          <w:szCs w:val="24"/>
        </w:rPr>
        <w:t xml:space="preserve"> </w:t>
      </w:r>
      <w:hyperlink r:id="rId25">
        <w:r w:rsidRPr="007A27A5">
          <w:rPr>
            <w:rFonts w:ascii="Times New Roman" w:eastAsia="Arial" w:hAnsi="Times New Roman" w:cs="Times New Roman"/>
            <w:sz w:val="20"/>
            <w:szCs w:val="24"/>
            <w:u w:val="single" w:color="0000FF"/>
          </w:rPr>
          <w:t>donde-va</w:t>
        </w:r>
      </w:hyperlink>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7</w:t>
      </w:r>
      <w:r w:rsidRPr="007A27A5">
        <w:rPr>
          <w:rFonts w:ascii="Times New Roman" w:eastAsia="Arial" w:hAnsi="Times New Roman" w:cs="Times New Roman"/>
          <w:sz w:val="20"/>
          <w:szCs w:val="24"/>
        </w:rPr>
        <w:t xml:space="preserve"> Salazar, S. 2 de julio de 2025. </w:t>
      </w:r>
      <w:r w:rsidRPr="007A27A5">
        <w:rPr>
          <w:rFonts w:ascii="Times New Roman" w:eastAsia="Arial" w:hAnsi="Times New Roman" w:cs="Times New Roman"/>
          <w:i/>
          <w:sz w:val="20"/>
          <w:szCs w:val="24"/>
        </w:rPr>
        <w:t xml:space="preserve">Pese a lluvias torrenciales en México, se desperdicia casi toda el agua: el 97.6% ‘va al caño.’ </w:t>
      </w:r>
      <w:r w:rsidRPr="007A27A5">
        <w:rPr>
          <w:rFonts w:ascii="Times New Roman" w:eastAsia="Arial" w:hAnsi="Times New Roman" w:cs="Times New Roman"/>
          <w:sz w:val="20"/>
          <w:szCs w:val="24"/>
        </w:rPr>
        <w:t xml:space="preserve">Publimetro México. Véase en: </w:t>
      </w:r>
      <w:hyperlink r:id="rId26" w:history="1">
        <w:r w:rsidRPr="007A27A5">
          <w:rPr>
            <w:rFonts w:ascii="Times New Roman" w:eastAsia="Arial" w:hAnsi="Times New Roman" w:cs="Times New Roman"/>
            <w:color w:val="0000FF"/>
            <w:sz w:val="20"/>
            <w:szCs w:val="24"/>
            <w:u w:val="single"/>
          </w:rPr>
          <w:t>https://www.publimetro.com.mx/noticias/2025/07/03/pese-a-lluvias-torrenciales-en-mexico-se-</w:t>
        </w:r>
      </w:hyperlink>
      <w:hyperlink r:id="rId27">
        <w:r w:rsidRPr="007A27A5">
          <w:rPr>
            <w:rFonts w:ascii="Times New Roman" w:eastAsia="Arial" w:hAnsi="Times New Roman" w:cs="Times New Roman"/>
            <w:sz w:val="20"/>
            <w:szCs w:val="24"/>
            <w:u w:val="single" w:color="0000FF"/>
          </w:rPr>
          <w:t>desperdicia-casi-toda-el-agua-el-976-va-al-cano/</w:t>
        </w:r>
      </w:hyperlink>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8</w:t>
      </w:r>
      <w:r w:rsidRPr="007A27A5">
        <w:rPr>
          <w:rFonts w:ascii="Times New Roman" w:eastAsia="Arial" w:hAnsi="Times New Roman" w:cs="Times New Roman"/>
          <w:sz w:val="20"/>
          <w:szCs w:val="24"/>
        </w:rPr>
        <w:t xml:space="preserve"> </w:t>
      </w:r>
      <w:proofErr w:type="spellStart"/>
      <w:r w:rsidRPr="007A27A5">
        <w:rPr>
          <w:rFonts w:ascii="Times New Roman" w:eastAsia="Arial" w:hAnsi="Times New Roman" w:cs="Times New Roman"/>
          <w:sz w:val="20"/>
          <w:szCs w:val="24"/>
        </w:rPr>
        <w:t>Cancino</w:t>
      </w:r>
      <w:proofErr w:type="spellEnd"/>
      <w:r w:rsidRPr="007A27A5">
        <w:rPr>
          <w:rFonts w:ascii="Times New Roman" w:eastAsia="Arial" w:hAnsi="Times New Roman" w:cs="Times New Roman"/>
          <w:sz w:val="20"/>
          <w:szCs w:val="24"/>
        </w:rPr>
        <w:t xml:space="preserve"> G. 4 de noviembre de 2025. </w:t>
      </w:r>
      <w:r w:rsidRPr="007A27A5">
        <w:rPr>
          <w:rFonts w:ascii="Times New Roman" w:eastAsia="Arial" w:hAnsi="Times New Roman" w:cs="Times New Roman"/>
          <w:i/>
          <w:sz w:val="20"/>
          <w:szCs w:val="24"/>
        </w:rPr>
        <w:t xml:space="preserve">Sistema Cutzamala alcanza 97.4% de su capacidad, su nivel más alto en 10 años. </w:t>
      </w:r>
      <w:r w:rsidRPr="007A27A5">
        <w:rPr>
          <w:rFonts w:ascii="Times New Roman" w:eastAsia="Arial" w:hAnsi="Times New Roman" w:cs="Times New Roman"/>
          <w:sz w:val="20"/>
          <w:szCs w:val="24"/>
        </w:rPr>
        <w:t>La Verdad</w:t>
      </w:r>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sz w:val="20"/>
          <w:szCs w:val="24"/>
        </w:rPr>
        <w:t xml:space="preserve">Noticias. Véase en: </w:t>
      </w:r>
      <w:hyperlink r:id="rId28">
        <w:r w:rsidRPr="007A27A5">
          <w:rPr>
            <w:rFonts w:ascii="Times New Roman" w:eastAsia="Arial" w:hAnsi="Times New Roman" w:cs="Times New Roman"/>
            <w:sz w:val="20"/>
            <w:szCs w:val="24"/>
            <w:u w:val="single" w:color="0000FF"/>
          </w:rPr>
          <w:t>https://laverdadnoticias.com/mexico/sistema-cutzamala-alcanza-97-4-de-su-capacidad-su-nivel-mas-alto-en-10-</w:t>
        </w:r>
      </w:hyperlink>
      <w:r w:rsidRPr="007A27A5">
        <w:rPr>
          <w:rFonts w:ascii="Times New Roman" w:eastAsia="Arial" w:hAnsi="Times New Roman" w:cs="Times New Roman"/>
          <w:sz w:val="20"/>
          <w:szCs w:val="24"/>
        </w:rPr>
        <w:t xml:space="preserve"> </w:t>
      </w:r>
      <w:hyperlink r:id="rId29">
        <w:r w:rsidRPr="007A27A5">
          <w:rPr>
            <w:rFonts w:ascii="Times New Roman" w:eastAsia="Arial" w:hAnsi="Times New Roman" w:cs="Times New Roman"/>
            <w:sz w:val="20"/>
            <w:szCs w:val="24"/>
            <w:u w:val="single" w:color="0000FF"/>
          </w:rPr>
          <w:t>anos-20251104</w:t>
        </w:r>
      </w:hyperlink>
    </w:p>
    <w:p w:rsidR="00DC676A" w:rsidRPr="007A27A5" w:rsidRDefault="00DC676A" w:rsidP="00DC676A">
      <w:pPr>
        <w:spacing w:after="0" w:line="240" w:lineRule="auto"/>
        <w:jc w:val="both"/>
        <w:rPr>
          <w:rFonts w:ascii="Times New Roman" w:eastAsia="Times New Roman" w:hAnsi="Times New Roman" w:cs="Times New Roman"/>
          <w:sz w:val="20"/>
          <w:szCs w:val="20"/>
        </w:rPr>
      </w:pPr>
      <w:r w:rsidRPr="007A27A5">
        <w:rPr>
          <w:rFonts w:ascii="Times New Roman" w:eastAsia="Arial" w:hAnsi="Times New Roman" w:cs="Times New Roman"/>
          <w:color w:val="FF0000"/>
          <w:sz w:val="20"/>
          <w:szCs w:val="24"/>
          <w:vertAlign w:val="superscript"/>
        </w:rPr>
        <w:t>9</w:t>
      </w:r>
      <w:r w:rsidRPr="007A27A5">
        <w:rPr>
          <w:rFonts w:ascii="Times New Roman" w:eastAsia="Arial" w:hAnsi="Times New Roman" w:cs="Times New Roman"/>
          <w:sz w:val="20"/>
          <w:szCs w:val="24"/>
        </w:rPr>
        <w:t xml:space="preserve"> Ortiz, M. Experimentación piloto del proceso de potabilización del agua de recarga dé la planta cerro de la estrella. (2015). [Tesis de Ingeniería, FACULTAD DE ESTUDIOS SUPERIORES ZARAGOZA]. Véase en: </w:t>
      </w:r>
      <w:hyperlink r:id="rId30">
        <w:r w:rsidRPr="007A27A5">
          <w:rPr>
            <w:rFonts w:ascii="Times New Roman" w:eastAsia="Arial" w:hAnsi="Times New Roman" w:cs="Times New Roman"/>
            <w:sz w:val="20"/>
            <w:szCs w:val="20"/>
            <w:u w:val="single" w:color="0000FF"/>
          </w:rPr>
          <w:t>https://www.zaragoza.unam.mx/wp-</w:t>
        </w:r>
      </w:hyperlink>
      <w:hyperlink r:id="rId31">
        <w:r w:rsidRPr="007A27A5">
          <w:rPr>
            <w:rFonts w:ascii="Times New Roman" w:eastAsia="Arial" w:hAnsi="Times New Roman" w:cs="Times New Roman"/>
            <w:sz w:val="20"/>
            <w:szCs w:val="20"/>
            <w:u w:val="single" w:color="0000FF"/>
          </w:rPr>
          <w:t>content/Portal2015/Licenciaturas/iq/tesis/tesis_bollas_yepez.pdf</w:t>
        </w:r>
      </w:hyperlink>
    </w:p>
    <w:p w:rsidR="00DC676A" w:rsidRPr="007A27A5" w:rsidRDefault="00DC676A" w:rsidP="00DC676A">
      <w:pPr>
        <w:spacing w:after="0" w:line="240" w:lineRule="auto"/>
        <w:jc w:val="both"/>
        <w:rPr>
          <w:rFonts w:ascii="Times New Roman" w:eastAsia="Arial"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Ante esta situación, los sistemas de captación de agua lluvia SCALL se han posicionado como una alternativa sustentable para la obtención de este recurso. Según el Instituto Mexicano de Tecnología del Agua, estos sistemas pueden abastecer viviendas, escuelas y edificios públicos entre cinco y ocho meses al año, disminuyendo la dependencia de la red municipal y promoviendo una cultura de uso eficiente del agua.</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Desde el ámbito jurídico internacional, la Agenda 2030 para el Desarrollo Sostenible, en su Objetivo 6, consagra el deber de </w:t>
      </w:r>
      <w:r w:rsidRPr="007A27A5">
        <w:rPr>
          <w:rFonts w:ascii="Times New Roman" w:eastAsia="Arial" w:hAnsi="Times New Roman" w:cs="Times New Roman"/>
          <w:i/>
          <w:sz w:val="24"/>
          <w:szCs w:val="24"/>
        </w:rPr>
        <w:t>“garantizar la disponibilidad y la gestión sostenible del agua y el saneamiento para todos”</w:t>
      </w:r>
      <w:r w:rsidRPr="007A27A5">
        <w:rPr>
          <w:rFonts w:ascii="Times New Roman" w:eastAsia="Arial" w:hAnsi="Times New Roman" w:cs="Times New Roman"/>
          <w:sz w:val="24"/>
          <w:szCs w:val="24"/>
        </w:rPr>
        <w:t>. También la Convención de las Naciones Unidas para Combatir la Desertificación (1994), el Acuerdo de París (2015), la Declaración de Dublín sobre el Agua y el Desarrollo Sostenible (1992) consideran al agua como un bien público. Además, recomiendan políticas nacionales para su uso sostenible, eficiencia y resistencia al cambio climático.</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La captación pluvial es una técnica que ha sido implementada con éxito en viviendas, edificios gubernamentales, escuelas y hospitales públicos en todo el mundo. Por ejemplo, en Singapur, se </w:t>
      </w:r>
      <w:r w:rsidRPr="007A27A5">
        <w:rPr>
          <w:rFonts w:ascii="Times New Roman" w:eastAsia="Arial" w:hAnsi="Times New Roman" w:cs="Times New Roman"/>
          <w:sz w:val="24"/>
          <w:szCs w:val="24"/>
        </w:rPr>
        <w:lastRenderedPageBreak/>
        <w:t>tiene como objetivo transformar al menos un 80% de todos los edificios en ecológicos para el año 2030, además de las innovaciones que desarrollaron para la gestión del agua.</w:t>
      </w:r>
      <w:r w:rsidRPr="007A27A5">
        <w:rPr>
          <w:rFonts w:ascii="Times New Roman" w:eastAsia="Arial" w:hAnsi="Times New Roman" w:cs="Times New Roman"/>
          <w:color w:val="FF0000"/>
          <w:sz w:val="24"/>
          <w:szCs w:val="24"/>
          <w:vertAlign w:val="superscript"/>
        </w:rPr>
        <w:t>10</w:t>
      </w:r>
      <w:r w:rsidRPr="007A27A5">
        <w:rPr>
          <w:rFonts w:ascii="Times New Roman" w:eastAsia="Arial" w:hAnsi="Times New Roman" w:cs="Times New Roman"/>
          <w:sz w:val="24"/>
          <w:szCs w:val="24"/>
        </w:rPr>
        <w:t xml:space="preserve"> En Tokio se promueve la recolección y la utilización de agua de lluvia, en la ciudad un promedio de 750 edificios públicos y privados utiliza sistemas para la recolección de este recurso.</w:t>
      </w:r>
      <w:r w:rsidRPr="007A27A5">
        <w:rPr>
          <w:rFonts w:ascii="Times New Roman" w:eastAsia="Arial" w:hAnsi="Times New Roman" w:cs="Times New Roman"/>
          <w:color w:val="FF0000"/>
          <w:sz w:val="24"/>
          <w:szCs w:val="24"/>
          <w:vertAlign w:val="superscript"/>
        </w:rPr>
        <w:t>11</w:t>
      </w:r>
      <w:r w:rsidRPr="007A27A5">
        <w:rPr>
          <w:rFonts w:ascii="Times New Roman" w:eastAsia="Arial" w:hAnsi="Times New Roman" w:cs="Times New Roman"/>
          <w:sz w:val="24"/>
          <w:szCs w:val="24"/>
        </w:rPr>
        <w:t xml:space="preserve"> Los sistemas de captación de agua de lluvia en techos son obligatorios en las nuevas construcciones en 18 de los 28 estados de India.</w:t>
      </w:r>
      <w:r w:rsidRPr="007A27A5">
        <w:rPr>
          <w:rFonts w:ascii="Times New Roman" w:eastAsia="Arial" w:hAnsi="Times New Roman" w:cs="Times New Roman"/>
          <w:color w:val="FF0000"/>
          <w:sz w:val="24"/>
          <w:szCs w:val="24"/>
          <w:vertAlign w:val="superscript"/>
        </w:rPr>
        <w:t xml:space="preserve">12 </w:t>
      </w:r>
      <w:r w:rsidRPr="007A27A5">
        <w:rPr>
          <w:rFonts w:ascii="Times New Roman" w:eastAsia="Arial" w:hAnsi="Times New Roman" w:cs="Times New Roman"/>
          <w:sz w:val="24"/>
          <w:szCs w:val="24"/>
        </w:rPr>
        <w:t>Estos casos internacionales demuestran que la captación de agua en edificios públicos no es una quimera tecnológica, sino una política ya verificada, rentable y con impactos positivos para las arcas públicas y el medio ambiente.</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10</w:t>
      </w:r>
      <w:r w:rsidRPr="007A27A5">
        <w:rPr>
          <w:rFonts w:ascii="Times New Roman" w:eastAsia="Arial" w:hAnsi="Times New Roman" w:cs="Times New Roman"/>
          <w:sz w:val="20"/>
          <w:szCs w:val="24"/>
        </w:rPr>
        <w:t xml:space="preserve"> </w:t>
      </w:r>
      <w:proofErr w:type="spellStart"/>
      <w:r w:rsidRPr="007A27A5">
        <w:rPr>
          <w:rFonts w:ascii="Times New Roman" w:eastAsia="Arial" w:hAnsi="Times New Roman" w:cs="Times New Roman"/>
          <w:sz w:val="20"/>
          <w:szCs w:val="24"/>
        </w:rPr>
        <w:t>Perez</w:t>
      </w:r>
      <w:proofErr w:type="spellEnd"/>
      <w:r w:rsidRPr="007A27A5">
        <w:rPr>
          <w:rFonts w:ascii="Times New Roman" w:eastAsia="Arial" w:hAnsi="Times New Roman" w:cs="Times New Roman"/>
          <w:sz w:val="20"/>
          <w:szCs w:val="24"/>
        </w:rPr>
        <w:t xml:space="preserve">, M. (2023). </w:t>
      </w:r>
      <w:r w:rsidRPr="007A27A5">
        <w:rPr>
          <w:rFonts w:ascii="Times New Roman" w:eastAsia="Arial" w:hAnsi="Times New Roman" w:cs="Times New Roman"/>
          <w:i/>
          <w:sz w:val="20"/>
          <w:szCs w:val="24"/>
        </w:rPr>
        <w:t xml:space="preserve">Estrategias del Gobierno de Singapur para la gestión sostenible del agua (2000-2018). </w:t>
      </w:r>
      <w:r w:rsidRPr="007A27A5">
        <w:rPr>
          <w:rFonts w:ascii="Times New Roman" w:eastAsia="Arial" w:hAnsi="Times New Roman" w:cs="Times New Roman"/>
          <w:sz w:val="20"/>
          <w:szCs w:val="24"/>
        </w:rPr>
        <w:t xml:space="preserve">[Facultad de Estudios Superiores Acatlán]. Véase en: </w:t>
      </w:r>
      <w:hyperlink r:id="rId32">
        <w:r w:rsidRPr="007A27A5">
          <w:rPr>
            <w:rFonts w:ascii="Times New Roman" w:eastAsia="Arial" w:hAnsi="Times New Roman" w:cs="Times New Roman"/>
            <w:sz w:val="20"/>
            <w:szCs w:val="24"/>
            <w:u w:val="single" w:color="0000FF"/>
          </w:rPr>
          <w:t>https://ru.dgb.unam.mx/server/api/core/bitstreams/49f7677c-87d2-4286-b8c3-767e92003ae1/content</w:t>
        </w:r>
      </w:hyperlink>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11</w:t>
      </w:r>
      <w:r w:rsidRPr="007A27A5">
        <w:rPr>
          <w:rFonts w:ascii="Times New Roman" w:eastAsia="Arial" w:hAnsi="Times New Roman" w:cs="Times New Roman"/>
          <w:sz w:val="20"/>
          <w:szCs w:val="24"/>
        </w:rPr>
        <w:t xml:space="preserve"> Soluciones </w:t>
      </w:r>
      <w:proofErr w:type="spellStart"/>
      <w:r w:rsidRPr="007A27A5">
        <w:rPr>
          <w:rFonts w:ascii="Times New Roman" w:eastAsia="Arial" w:hAnsi="Times New Roman" w:cs="Times New Roman"/>
          <w:sz w:val="20"/>
          <w:szCs w:val="24"/>
        </w:rPr>
        <w:t>Hidropluviales</w:t>
      </w:r>
      <w:proofErr w:type="spellEnd"/>
      <w:r w:rsidRPr="007A27A5">
        <w:rPr>
          <w:rFonts w:ascii="Times New Roman" w:eastAsia="Arial" w:hAnsi="Times New Roman" w:cs="Times New Roman"/>
          <w:sz w:val="20"/>
          <w:szCs w:val="24"/>
        </w:rPr>
        <w:t xml:space="preserve">. 29 de noviembre de 2012. Captación en el mundo. Véase en: </w:t>
      </w:r>
      <w:hyperlink r:id="rId33">
        <w:r w:rsidRPr="007A27A5">
          <w:rPr>
            <w:rFonts w:ascii="Times New Roman" w:eastAsia="Arial" w:hAnsi="Times New Roman" w:cs="Times New Roman"/>
            <w:sz w:val="20"/>
            <w:szCs w:val="24"/>
            <w:u w:val="single" w:color="0000FF"/>
          </w:rPr>
          <w:t>https://hidropluviales.com/2012/11/29/captacion-en-el-mundo/</w:t>
        </w:r>
      </w:hyperlink>
    </w:p>
    <w:p w:rsidR="00DC676A" w:rsidRPr="007A27A5" w:rsidRDefault="00DC676A" w:rsidP="00DC676A">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12</w:t>
      </w:r>
      <w:r w:rsidRPr="007A27A5">
        <w:rPr>
          <w:rFonts w:ascii="Times New Roman" w:eastAsia="Arial" w:hAnsi="Times New Roman" w:cs="Times New Roman"/>
          <w:sz w:val="20"/>
          <w:szCs w:val="24"/>
        </w:rPr>
        <w:t xml:space="preserve"> Ídem.</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A nivel nacional, el párrafo octavo del artículo 4º de la Constitución Política de los Estados Unidos Mexicanos establece que:</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“Toda persona tiene derecho al acceso, disposición y saneamiento de agua para consumo personal y doméstico en forma suficiente, salubre, aceptable y asequible. El Estado garantizará este derecho y la ley definirá las bases, apoyos y modalidades para el acceso y uso equitativo y sustentable de los recursos hídricos, estableciendo la participación de la Federación, las entidades federativas y los municipios, así como la participación de la ciudadanía para la consecución de dichos fines.”</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Esta disposición es recogida en el ámbito estatal; el artículo 18 de la Constitución Política del Estado Libre y Soberano de México reitera este derecho y obliga a las autoridades a fomentarlo de manera racional y accesible. Además, la Ley del Agua para el Estado de México y Municipios establece que los gobiernos municipales tienen la obligación de garantizar la prestación de los servicios públicos del agua y definen las bases para su aprovechamiento y control.</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color w:val="FF0000"/>
          <w:sz w:val="24"/>
          <w:szCs w:val="24"/>
          <w:vertAlign w:val="superscript"/>
        </w:rPr>
      </w:pPr>
      <w:r w:rsidRPr="007A27A5">
        <w:rPr>
          <w:rFonts w:ascii="Times New Roman" w:eastAsia="Arial" w:hAnsi="Times New Roman" w:cs="Times New Roman"/>
          <w:sz w:val="24"/>
          <w:szCs w:val="24"/>
        </w:rPr>
        <w:t>En México, varias instituciones ya han tomado medidas. La Suprema Corte de Justicia de la Nación tiene más de 13 proyectos de captación pluvial en Casas de la Cultura Jurídica, donde se capturan más de 1.3 millones de litros de agua de lluvia al año</w:t>
      </w:r>
      <w:r w:rsidRPr="007A27A5">
        <w:rPr>
          <w:rFonts w:ascii="Times New Roman" w:eastAsia="Arial" w:hAnsi="Times New Roman" w:cs="Times New Roman"/>
          <w:color w:val="FF0000"/>
          <w:sz w:val="24"/>
          <w:szCs w:val="24"/>
          <w:vertAlign w:val="superscript"/>
        </w:rPr>
        <w:t>13</w:t>
      </w:r>
      <w:r w:rsidRPr="007A27A5">
        <w:rPr>
          <w:rFonts w:ascii="Times New Roman" w:eastAsia="Arial" w:hAnsi="Times New Roman" w:cs="Times New Roman"/>
          <w:sz w:val="24"/>
          <w:szCs w:val="24"/>
        </w:rPr>
        <w:t>. En la Alberca Olímpica “Francisco Márquez” en la Ciudad de México, funciona el sistema captador más grande del país, con capacidad de 16 millones de litros, equivalentes a 2,500 pipas de agua de 10 mil litros.</w:t>
      </w:r>
      <w:r w:rsidRPr="007A27A5">
        <w:rPr>
          <w:rFonts w:ascii="Times New Roman" w:eastAsia="Arial" w:hAnsi="Times New Roman" w:cs="Times New Roman"/>
          <w:color w:val="FF0000"/>
          <w:sz w:val="24"/>
          <w:szCs w:val="24"/>
          <w:vertAlign w:val="superscript"/>
        </w:rPr>
        <w:t>14</w:t>
      </w:r>
      <w:r w:rsidRPr="007A27A5">
        <w:rPr>
          <w:rFonts w:ascii="Times New Roman" w:eastAsia="Arial" w:hAnsi="Times New Roman" w:cs="Times New Roman"/>
          <w:sz w:val="24"/>
          <w:szCs w:val="24"/>
        </w:rPr>
        <w:t xml:space="preserve"> El programa Cosecha de Lluvia del Gobierno de la Ciudad de México ha colocado más de 73 mil sistemas entre 2019 y 2024 en escuelas y hogares. Solo las escuelas asociadas utilizan cada año más de 918 millones de litros para limpieza y servicios sanitarios.</w:t>
      </w:r>
      <w:r w:rsidRPr="007A27A5">
        <w:rPr>
          <w:rFonts w:ascii="Times New Roman" w:eastAsia="Arial" w:hAnsi="Times New Roman" w:cs="Times New Roman"/>
          <w:color w:val="FF0000"/>
          <w:sz w:val="24"/>
          <w:szCs w:val="24"/>
          <w:vertAlign w:val="superscript"/>
        </w:rPr>
        <w:t>15</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13</w:t>
      </w:r>
      <w:r w:rsidRPr="007A27A5">
        <w:rPr>
          <w:rFonts w:ascii="Times New Roman" w:eastAsia="Arial" w:hAnsi="Times New Roman" w:cs="Times New Roman"/>
          <w:sz w:val="20"/>
          <w:szCs w:val="24"/>
        </w:rPr>
        <w:t xml:space="preserve"> Soluciones </w:t>
      </w:r>
      <w:proofErr w:type="spellStart"/>
      <w:r w:rsidRPr="007A27A5">
        <w:rPr>
          <w:rFonts w:ascii="Times New Roman" w:eastAsia="Arial" w:hAnsi="Times New Roman" w:cs="Times New Roman"/>
          <w:sz w:val="20"/>
          <w:szCs w:val="24"/>
        </w:rPr>
        <w:t>Hidropluviales</w:t>
      </w:r>
      <w:proofErr w:type="spellEnd"/>
      <w:r w:rsidRPr="007A27A5">
        <w:rPr>
          <w:rFonts w:ascii="Times New Roman" w:eastAsia="Arial" w:hAnsi="Times New Roman" w:cs="Times New Roman"/>
          <w:sz w:val="20"/>
          <w:szCs w:val="24"/>
        </w:rPr>
        <w:t xml:space="preserve">. 22 de mayo de 2019. </w:t>
      </w:r>
      <w:r w:rsidRPr="007A27A5">
        <w:rPr>
          <w:rFonts w:ascii="Times New Roman" w:eastAsia="Arial" w:hAnsi="Times New Roman" w:cs="Times New Roman"/>
          <w:i/>
          <w:sz w:val="20"/>
          <w:szCs w:val="24"/>
        </w:rPr>
        <w:t xml:space="preserve">Captación edificios públicos - Casas de la cultura SCJN </w:t>
      </w:r>
      <w:r w:rsidRPr="007A27A5">
        <w:rPr>
          <w:rFonts w:ascii="Times New Roman" w:eastAsia="Arial" w:hAnsi="Times New Roman" w:cs="Times New Roman"/>
          <w:sz w:val="20"/>
          <w:szCs w:val="24"/>
        </w:rPr>
        <w:t xml:space="preserve">Véase en: </w:t>
      </w:r>
      <w:hyperlink r:id="rId34">
        <w:r w:rsidRPr="007A27A5">
          <w:rPr>
            <w:rFonts w:ascii="Times New Roman" w:eastAsia="Arial" w:hAnsi="Times New Roman" w:cs="Times New Roman"/>
            <w:sz w:val="20"/>
            <w:szCs w:val="24"/>
            <w:u w:val="single" w:color="0000FF"/>
          </w:rPr>
          <w:t>https://hidropluviales.com/2019/05/22/captacion-edificios-publicos-casas-de-la-cultura-scjn/</w:t>
        </w:r>
      </w:hyperlink>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14</w:t>
      </w:r>
      <w:r w:rsidRPr="007A27A5">
        <w:rPr>
          <w:rFonts w:ascii="Times New Roman" w:eastAsia="Arial" w:hAnsi="Times New Roman" w:cs="Times New Roman"/>
          <w:sz w:val="20"/>
          <w:szCs w:val="24"/>
        </w:rPr>
        <w:t xml:space="preserve"> López, J. 9 de febrero de 2024. </w:t>
      </w:r>
      <w:r w:rsidRPr="007A27A5">
        <w:rPr>
          <w:rFonts w:ascii="Times New Roman" w:eastAsia="Arial" w:hAnsi="Times New Roman" w:cs="Times New Roman"/>
          <w:i/>
          <w:sz w:val="20"/>
          <w:szCs w:val="24"/>
        </w:rPr>
        <w:t>Recolectan en BJ 25 millones de litros de agua pluvial de edificios públicos</w:t>
      </w:r>
      <w:r w:rsidRPr="007A27A5">
        <w:rPr>
          <w:rFonts w:ascii="Times New Roman" w:eastAsia="Arial" w:hAnsi="Times New Roman" w:cs="Times New Roman"/>
          <w:sz w:val="20"/>
          <w:szCs w:val="24"/>
        </w:rPr>
        <w:t xml:space="preserve">. EXCELSIOR. </w:t>
      </w:r>
      <w:hyperlink r:id="rId35">
        <w:r w:rsidRPr="007A27A5">
          <w:rPr>
            <w:rFonts w:ascii="Times New Roman" w:eastAsia="Arial" w:hAnsi="Times New Roman" w:cs="Times New Roman"/>
            <w:sz w:val="20"/>
            <w:szCs w:val="24"/>
            <w:u w:val="single" w:color="0000FF"/>
          </w:rPr>
          <w:t>https://www.excelsior.com.mx/comunidad/agua-en-cdmx-recolectan-en-bj-agua-pluvial-de-edificios-publicos/1634459</w:t>
        </w:r>
      </w:hyperlink>
    </w:p>
    <w:p w:rsidR="00DC676A" w:rsidRPr="007A27A5" w:rsidRDefault="00DC676A" w:rsidP="00DC676A">
      <w:pPr>
        <w:spacing w:after="0" w:line="240" w:lineRule="auto"/>
        <w:jc w:val="both"/>
        <w:rPr>
          <w:rFonts w:ascii="Times New Roman" w:eastAsia="Arial" w:hAnsi="Times New Roman" w:cs="Times New Roman"/>
          <w:sz w:val="20"/>
          <w:szCs w:val="24"/>
          <w:u w:val="single" w:color="0000FF"/>
        </w:rPr>
      </w:pPr>
      <w:r w:rsidRPr="007A27A5">
        <w:rPr>
          <w:rFonts w:ascii="Times New Roman" w:eastAsia="Arial" w:hAnsi="Times New Roman" w:cs="Times New Roman"/>
          <w:color w:val="FF0000"/>
          <w:sz w:val="20"/>
          <w:szCs w:val="24"/>
          <w:vertAlign w:val="superscript"/>
        </w:rPr>
        <w:t>15</w:t>
      </w:r>
      <w:r w:rsidRPr="007A27A5">
        <w:rPr>
          <w:rFonts w:ascii="Times New Roman" w:eastAsia="Arial" w:hAnsi="Times New Roman" w:cs="Times New Roman"/>
          <w:sz w:val="20"/>
          <w:szCs w:val="24"/>
        </w:rPr>
        <w:t xml:space="preserve"> Gobierno de la Ciudad de México. 21 de agosto de 2024. </w:t>
      </w:r>
      <w:r w:rsidRPr="007A27A5">
        <w:rPr>
          <w:rFonts w:ascii="Times New Roman" w:eastAsia="Arial" w:hAnsi="Times New Roman" w:cs="Times New Roman"/>
          <w:i/>
          <w:sz w:val="20"/>
          <w:szCs w:val="24"/>
        </w:rPr>
        <w:t xml:space="preserve">Concluye </w:t>
      </w:r>
      <w:proofErr w:type="spellStart"/>
      <w:r w:rsidRPr="007A27A5">
        <w:rPr>
          <w:rFonts w:ascii="Times New Roman" w:eastAsia="Arial" w:hAnsi="Times New Roman" w:cs="Times New Roman"/>
          <w:i/>
          <w:sz w:val="20"/>
          <w:szCs w:val="24"/>
        </w:rPr>
        <w:t>Sedema</w:t>
      </w:r>
      <w:proofErr w:type="spellEnd"/>
      <w:r w:rsidRPr="007A27A5">
        <w:rPr>
          <w:rFonts w:ascii="Times New Roman" w:eastAsia="Arial" w:hAnsi="Times New Roman" w:cs="Times New Roman"/>
          <w:i/>
          <w:sz w:val="20"/>
          <w:szCs w:val="24"/>
        </w:rPr>
        <w:t xml:space="preserve"> instalación de más de 73 mil cosechadores de lluvia en viviendas de la Ciudad de México. </w:t>
      </w:r>
      <w:r w:rsidRPr="007A27A5">
        <w:rPr>
          <w:rFonts w:ascii="Times New Roman" w:eastAsia="Arial" w:hAnsi="Times New Roman" w:cs="Times New Roman"/>
          <w:sz w:val="20"/>
          <w:szCs w:val="24"/>
        </w:rPr>
        <w:t xml:space="preserve">Secretaría Del Medio Ambiente. Véase en: </w:t>
      </w:r>
      <w:hyperlink r:id="rId36">
        <w:r w:rsidRPr="007A27A5">
          <w:rPr>
            <w:rFonts w:ascii="Times New Roman" w:eastAsia="Arial" w:hAnsi="Times New Roman" w:cs="Times New Roman"/>
            <w:sz w:val="20"/>
            <w:szCs w:val="24"/>
            <w:u w:val="single" w:color="0000FF"/>
          </w:rPr>
          <w:t>https://sedema.cdmx.gob.mx/comunicacion/nota/concluye-sedema-instalacion-de-mas-de-73-mil-cosechadores-de-lluvia-en-</w:t>
        </w:r>
      </w:hyperlink>
      <w:hyperlink r:id="rId37">
        <w:r w:rsidRPr="007A27A5">
          <w:rPr>
            <w:rFonts w:ascii="Times New Roman" w:eastAsia="Arial" w:hAnsi="Times New Roman" w:cs="Times New Roman"/>
            <w:sz w:val="20"/>
            <w:szCs w:val="24"/>
            <w:u w:val="single" w:color="0000FF"/>
          </w:rPr>
          <w:t>viviendas-de-la-ciudad-de-mexico</w:t>
        </w:r>
      </w:hyperlink>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lastRenderedPageBreak/>
        <w:t xml:space="preserve">A nivel estatal, el Estado de México ha desarrollado proyectos en escuelas, parques y edificios públicos. La Comisión Estatal de Parques Naturales y de la Fauna (CEPANAF) colocó 230 captadores en sitios icónicos como el Centro Ceremonial Otomí, en Temoaya; el Parque Estatal Sierra Morelos, en Toluca; el Parque Hermenegildo Galeana, en Tenancingo; el Centro Ceremonial Mazahua, en San Felipe del Progreso; el Parque Sierra de </w:t>
      </w:r>
      <w:proofErr w:type="spellStart"/>
      <w:r w:rsidRPr="007A27A5">
        <w:rPr>
          <w:rFonts w:ascii="Times New Roman" w:eastAsia="Arial" w:hAnsi="Times New Roman" w:cs="Times New Roman"/>
          <w:sz w:val="24"/>
          <w:szCs w:val="24"/>
        </w:rPr>
        <w:t>Nanchititla</w:t>
      </w:r>
      <w:proofErr w:type="spellEnd"/>
      <w:r w:rsidRPr="007A27A5">
        <w:rPr>
          <w:rFonts w:ascii="Times New Roman" w:eastAsia="Arial" w:hAnsi="Times New Roman" w:cs="Times New Roman"/>
          <w:sz w:val="24"/>
          <w:szCs w:val="24"/>
        </w:rPr>
        <w:t>, en Luvianos; el Parque Atlacomulco; El Salto de Chihuahua, en Ixtapan del Oro; así como el Parque Ecológico Zacango y las oficinas centrales de CEPANAF, capturando más de 100 mil litros para riego y uso en sanitarios.</w:t>
      </w:r>
      <w:r w:rsidRPr="007A27A5">
        <w:rPr>
          <w:rFonts w:ascii="Times New Roman" w:eastAsia="Arial" w:hAnsi="Times New Roman" w:cs="Times New Roman"/>
          <w:color w:val="FF0000"/>
          <w:sz w:val="24"/>
          <w:szCs w:val="24"/>
          <w:vertAlign w:val="superscript"/>
        </w:rPr>
        <w:t>16</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Asimismo, la Comisión del Agua del Estado de México (CAEM) instaló sistemas de captación de agua pluvial en espacios públicos de Zinacantepec, Toluca, Lerma, Metepec y Calimaya, como parte del proyecto “Colectivos de Lluvia”, con el objetivo de almacenar anualmente más de un millón de litros del vital líquido.</w:t>
      </w:r>
      <w:r w:rsidRPr="007A27A5">
        <w:rPr>
          <w:rFonts w:ascii="Times New Roman" w:eastAsia="Arial" w:hAnsi="Times New Roman" w:cs="Times New Roman"/>
          <w:color w:val="FF0000"/>
          <w:sz w:val="24"/>
          <w:szCs w:val="24"/>
          <w:vertAlign w:val="superscript"/>
        </w:rPr>
        <w:t>17</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Estos ejemplos demuestran que los beneficios son reales: reducción del gasto público y mayor resiliencia climática. Por ello, el propósito de esta iniciativa es promover la infraestructura para la recolección, almacenamiento y uso del agua pluvial en todos los edificios públicos que están bajo su custodia, transformando las dependencias gubernamentales en ejemplos de sostenibilidad.</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Los fines que busca la iniciativa incluyen reducir el uso de agua potable que se obtiene de la red hidráulica, disminuir el gasto público en el suministro y minimizar el peligro de inundaciones en las ciudades, así como promover la educación ambiental y robustecer a nivel institucional la gestión hídrica sostenible.</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Desde el Partido Verde Ecologista del Estado de México impulsamos que los inmuebles públicos, se consoliden como referentes de eficiencia en el uso del agua, en congruencia con los principios de conservación, justicia y desarrollo sostenible. La incorporación de infraestructura de captación y aprovechamiento pluvial en edificaciones gubernamentales no solo resguarda un recurso estratégico; también representa un cambio de paradigma: de la gestión reactiva a la prevención, del gasto improductivo a la inversión sostenible y del discurso ambiental a la acción institucional verificable.</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16</w:t>
      </w:r>
      <w:r w:rsidRPr="007A27A5">
        <w:rPr>
          <w:rFonts w:ascii="Times New Roman" w:eastAsia="Arial" w:hAnsi="Times New Roman" w:cs="Times New Roman"/>
          <w:sz w:val="20"/>
          <w:szCs w:val="24"/>
        </w:rPr>
        <w:t xml:space="preserve"> EL VALLE. 28 de mayo de 2025. </w:t>
      </w:r>
      <w:r w:rsidRPr="007A27A5">
        <w:rPr>
          <w:rFonts w:ascii="Times New Roman" w:eastAsia="Arial" w:hAnsi="Times New Roman" w:cs="Times New Roman"/>
          <w:i/>
          <w:sz w:val="20"/>
          <w:szCs w:val="24"/>
        </w:rPr>
        <w:t xml:space="preserve">Promueve </w:t>
      </w:r>
      <w:proofErr w:type="spellStart"/>
      <w:r w:rsidRPr="007A27A5">
        <w:rPr>
          <w:rFonts w:ascii="Times New Roman" w:eastAsia="Arial" w:hAnsi="Times New Roman" w:cs="Times New Roman"/>
          <w:i/>
          <w:sz w:val="20"/>
          <w:szCs w:val="24"/>
        </w:rPr>
        <w:t>EdoMéx</w:t>
      </w:r>
      <w:proofErr w:type="spellEnd"/>
      <w:r w:rsidRPr="007A27A5">
        <w:rPr>
          <w:rFonts w:ascii="Times New Roman" w:eastAsia="Arial" w:hAnsi="Times New Roman" w:cs="Times New Roman"/>
          <w:i/>
          <w:sz w:val="20"/>
          <w:szCs w:val="24"/>
        </w:rPr>
        <w:t xml:space="preserve"> sistema de captación de agua pluvial en parques estatales</w:t>
      </w:r>
      <w:r w:rsidRPr="007A27A5">
        <w:rPr>
          <w:rFonts w:ascii="Times New Roman" w:eastAsia="Arial" w:hAnsi="Times New Roman" w:cs="Times New Roman"/>
          <w:sz w:val="20"/>
          <w:szCs w:val="24"/>
        </w:rPr>
        <w:t xml:space="preserve">. EL VALLE. Véase en: </w:t>
      </w:r>
      <w:hyperlink r:id="rId38">
        <w:r w:rsidRPr="007A27A5">
          <w:rPr>
            <w:rFonts w:ascii="Times New Roman" w:eastAsia="Arial" w:hAnsi="Times New Roman" w:cs="Times New Roman"/>
            <w:sz w:val="20"/>
            <w:szCs w:val="24"/>
            <w:u w:val="single" w:color="0000FF"/>
          </w:rPr>
          <w:t>https://elvalle.com.mx/2025/05/28/promueve-edomex-sistema-de-captacion-de-agua-pluvial-en-parques-estatales/</w:t>
        </w:r>
      </w:hyperlink>
    </w:p>
    <w:p w:rsidR="00DC676A" w:rsidRPr="007A27A5" w:rsidRDefault="00DC676A" w:rsidP="00DC676A">
      <w:pPr>
        <w:spacing w:after="0" w:line="240" w:lineRule="auto"/>
        <w:jc w:val="both"/>
        <w:rPr>
          <w:rFonts w:ascii="Times New Roman" w:eastAsia="Arial" w:hAnsi="Times New Roman" w:cs="Times New Roman"/>
          <w:sz w:val="20"/>
          <w:szCs w:val="24"/>
          <w:u w:val="single" w:color="0000FF"/>
        </w:rPr>
      </w:pPr>
      <w:r w:rsidRPr="007A27A5">
        <w:rPr>
          <w:rFonts w:ascii="Times New Roman" w:eastAsia="Arial" w:hAnsi="Times New Roman" w:cs="Times New Roman"/>
          <w:color w:val="FF0000"/>
          <w:sz w:val="20"/>
          <w:szCs w:val="24"/>
          <w:vertAlign w:val="superscript"/>
        </w:rPr>
        <w:t>17</w:t>
      </w:r>
      <w:r w:rsidRPr="007A27A5">
        <w:rPr>
          <w:rFonts w:ascii="Times New Roman" w:eastAsia="Arial" w:hAnsi="Times New Roman" w:cs="Times New Roman"/>
          <w:sz w:val="20"/>
          <w:szCs w:val="24"/>
        </w:rPr>
        <w:t xml:space="preserve"> Luna, A. 12 de octubre de 2025. </w:t>
      </w:r>
      <w:r w:rsidRPr="007A27A5">
        <w:rPr>
          <w:rFonts w:ascii="Times New Roman" w:eastAsia="Arial" w:hAnsi="Times New Roman" w:cs="Times New Roman"/>
          <w:i/>
          <w:sz w:val="20"/>
          <w:szCs w:val="24"/>
        </w:rPr>
        <w:t xml:space="preserve">Instalan 10 sistemas de captación de agua pluvial en el Valle de Toluca; almacenarán más de 1 millón de litros. </w:t>
      </w:r>
      <w:r w:rsidRPr="007A27A5">
        <w:rPr>
          <w:rFonts w:ascii="Times New Roman" w:eastAsia="Arial" w:hAnsi="Times New Roman" w:cs="Times New Roman"/>
          <w:sz w:val="20"/>
          <w:szCs w:val="24"/>
        </w:rPr>
        <w:t xml:space="preserve">Sistema Mexiquense. Véase en: </w:t>
      </w:r>
      <w:hyperlink r:id="rId39">
        <w:r w:rsidRPr="007A27A5">
          <w:rPr>
            <w:rFonts w:ascii="Times New Roman" w:eastAsia="Arial" w:hAnsi="Times New Roman" w:cs="Times New Roman"/>
            <w:sz w:val="20"/>
            <w:szCs w:val="24"/>
            <w:u w:val="single" w:color="0000FF"/>
          </w:rPr>
          <w:t>https://sistemamexiquense.mx/noticia/instalan-10-sistemas-captacion-agua-pluvial-</w:t>
        </w:r>
      </w:hyperlink>
      <w:hyperlink r:id="rId40">
        <w:r w:rsidRPr="007A27A5">
          <w:rPr>
            <w:rFonts w:ascii="Times New Roman" w:eastAsia="Arial" w:hAnsi="Times New Roman" w:cs="Times New Roman"/>
            <w:sz w:val="20"/>
            <w:szCs w:val="24"/>
            <w:u w:val="single" w:color="0000FF"/>
          </w:rPr>
          <w:t>el-valle-toluca-almacenaran-mas-1-millon-litros</w:t>
        </w:r>
      </w:hyperlink>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Con esta medida, el Estado de México tiene la oportunidad de posicionarse como modelo nacional en innovación hídrica, demostrando que la sostenibilidad, aplicada con compromiso y visión, se traduce en bienestar social y progreso.</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Con la intención de contar con más elementos para facilitar la comprensión de las modificaciones planteadas en la presente iniciativa, se hace un estudio comparativo entre el texto vigente y el que se propone modificar:</w:t>
      </w:r>
    </w:p>
    <w:p w:rsidR="00DC676A" w:rsidRPr="007A27A5" w:rsidRDefault="00DC676A" w:rsidP="00DC676A">
      <w:pPr>
        <w:spacing w:after="0" w:line="240" w:lineRule="auto"/>
        <w:rPr>
          <w:rFonts w:ascii="Times New Roman" w:eastAsia="Times New Roman" w:hAnsi="Times New Roman" w:cs="Times New Roman"/>
          <w:sz w:val="24"/>
          <w:szCs w:val="24"/>
        </w:rPr>
      </w:pPr>
    </w:p>
    <w:tbl>
      <w:tblPr>
        <w:tblStyle w:val="Tablaconcuadrcu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DC676A" w:rsidRPr="007A27A5" w:rsidTr="00E810E6">
        <w:trPr>
          <w:jc w:val="center"/>
        </w:trPr>
        <w:tc>
          <w:tcPr>
            <w:tcW w:w="9590" w:type="dxa"/>
          </w:tcPr>
          <w:p w:rsidR="00DC676A" w:rsidRPr="007A27A5" w:rsidRDefault="00DC676A" w:rsidP="00DC676A">
            <w:pPr>
              <w:spacing w:line="240" w:lineRule="auto"/>
              <w:rPr>
                <w:sz w:val="24"/>
                <w:szCs w:val="24"/>
                <w:lang w:val="es-MX"/>
              </w:rPr>
            </w:pPr>
          </w:p>
          <w:p w:rsidR="00DC676A" w:rsidRPr="007A27A5" w:rsidRDefault="00DC676A" w:rsidP="00DC676A">
            <w:pPr>
              <w:spacing w:line="240" w:lineRule="auto"/>
              <w:rPr>
                <w:sz w:val="24"/>
                <w:szCs w:val="24"/>
                <w:lang w:val="es-MX"/>
              </w:rPr>
            </w:pPr>
            <w:r w:rsidRPr="007A27A5">
              <w:rPr>
                <w:noProof/>
              </w:rPr>
              <w:lastRenderedPageBreak/>
              <w:drawing>
                <wp:inline distT="0" distB="0" distL="0" distR="0" wp14:anchorId="12BE503F" wp14:editId="2A194E84">
                  <wp:extent cx="5942989" cy="3459315"/>
                  <wp:effectExtent l="0" t="0" r="635"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65793" cy="3472589"/>
                          </a:xfrm>
                          <a:prstGeom prst="rect">
                            <a:avLst/>
                          </a:prstGeom>
                        </pic:spPr>
                      </pic:pic>
                    </a:graphicData>
                  </a:graphic>
                </wp:inline>
              </w:drawing>
            </w:r>
          </w:p>
          <w:p w:rsidR="00DC676A" w:rsidRPr="007A27A5" w:rsidRDefault="00DC676A" w:rsidP="00DC676A">
            <w:pPr>
              <w:spacing w:line="240" w:lineRule="auto"/>
              <w:rPr>
                <w:sz w:val="24"/>
                <w:szCs w:val="24"/>
                <w:lang w:val="es-MX"/>
              </w:rPr>
            </w:pPr>
          </w:p>
        </w:tc>
      </w:tr>
    </w:tbl>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7A27A5">
        <w:rPr>
          <w:rFonts w:ascii="Times New Roman" w:eastAsia="Arial" w:hAnsi="Times New Roman" w:cs="Times New Roman"/>
          <w:b/>
          <w:sz w:val="24"/>
          <w:szCs w:val="24"/>
        </w:rPr>
        <w:t>INICIATIVA CON PROYECTO DE DECRETO POR LA QUE SE REFORMA EL ARTÍCULO 53 Y 53 BIS DE LA LEY DEL AGUA PARA EL ESTADO DE MÉXICO Y MUNICIPIOS, EN MATERIA DE SUSTENTABILIDAD HÍDRICA.</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A T E N T A M E N T E</w:t>
      </w:r>
    </w:p>
    <w:p w:rsidR="00DC676A" w:rsidRPr="007A27A5" w:rsidRDefault="00DC676A" w:rsidP="00DC676A">
      <w:pPr>
        <w:spacing w:after="0" w:line="240" w:lineRule="auto"/>
        <w:jc w:val="center"/>
        <w:rPr>
          <w:rFonts w:ascii="Times New Roman" w:eastAsia="Arial" w:hAnsi="Times New Roman" w:cs="Times New Roman"/>
          <w:b/>
          <w:sz w:val="24"/>
          <w:szCs w:val="24"/>
        </w:rPr>
      </w:pPr>
      <w:r w:rsidRPr="007A27A5">
        <w:rPr>
          <w:rFonts w:ascii="Times New Roman" w:eastAsia="Arial" w:hAnsi="Times New Roman" w:cs="Times New Roman"/>
          <w:b/>
          <w:sz w:val="24"/>
          <w:szCs w:val="24"/>
        </w:rPr>
        <w:t>DIP. JOSÉ ALBERTO COUTTOLENC BUENTELLO</w:t>
      </w: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sz w:val="24"/>
          <w:szCs w:val="24"/>
        </w:rPr>
        <w:t>COORDINADOR DEL GRUPO PARLAMENTARIO DEL</w:t>
      </w: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sz w:val="24"/>
          <w:szCs w:val="24"/>
        </w:rPr>
        <w:t>PARTIDO VERDE ECOLOGISTA DE MÉXICO</w:t>
      </w:r>
    </w:p>
    <w:p w:rsidR="00DC676A" w:rsidRPr="007A27A5" w:rsidRDefault="00DC676A" w:rsidP="00DC676A">
      <w:pPr>
        <w:spacing w:after="0" w:line="240" w:lineRule="auto"/>
        <w:jc w:val="center"/>
        <w:rPr>
          <w:rFonts w:ascii="Times New Roman" w:eastAsia="Times New Roman" w:hAnsi="Times New Roman" w:cs="Times New Roman"/>
          <w:sz w:val="24"/>
          <w:szCs w:val="24"/>
        </w:rPr>
      </w:pPr>
    </w:p>
    <w:p w:rsidR="00DC676A" w:rsidRPr="007A27A5" w:rsidRDefault="00DC676A" w:rsidP="00DC676A">
      <w:pPr>
        <w:spacing w:after="0" w:line="240" w:lineRule="auto"/>
        <w:jc w:val="center"/>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DECRETO NÚMERO</w:t>
      </w:r>
    </w:p>
    <w:p w:rsidR="00DC676A" w:rsidRPr="007A27A5" w:rsidRDefault="00DC676A" w:rsidP="00DC676A">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LA LXII LEGISLATURA DEL ESTADO DE MÉXICO</w:t>
      </w:r>
    </w:p>
    <w:p w:rsidR="00DC676A" w:rsidRPr="007A27A5" w:rsidRDefault="00DC676A" w:rsidP="00DC676A">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DECRETA:</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ÚNICO</w:t>
      </w:r>
      <w:r w:rsidRPr="007A27A5">
        <w:rPr>
          <w:rFonts w:ascii="Times New Roman" w:eastAsia="Arial" w:hAnsi="Times New Roman" w:cs="Times New Roman"/>
          <w:sz w:val="24"/>
          <w:szCs w:val="24"/>
        </w:rPr>
        <w:t>. Se reforma el artículo 53 y 53 Bis de la Ley del Agua para el Estado de México, para quedar como sigue:</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sz w:val="24"/>
          <w:szCs w:val="24"/>
        </w:rPr>
        <w:t>CAPÍTULO SEXTO</w:t>
      </w: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sz w:val="24"/>
          <w:szCs w:val="24"/>
        </w:rPr>
        <w:t>DE LA INFRAESTRUCTURA HIDRÁULICA</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53. </w:t>
      </w:r>
      <w:r w:rsidRPr="007A27A5">
        <w:rPr>
          <w:rFonts w:ascii="Times New Roman" w:eastAsia="Arial" w:hAnsi="Times New Roman" w:cs="Times New Roman"/>
          <w:sz w:val="24"/>
          <w:szCs w:val="24"/>
        </w:rPr>
        <w:t xml:space="preserve">Las autoridades del agua </w:t>
      </w:r>
      <w:r w:rsidRPr="007A27A5">
        <w:rPr>
          <w:rFonts w:ascii="Times New Roman" w:eastAsia="Arial" w:hAnsi="Times New Roman" w:cs="Times New Roman"/>
          <w:b/>
          <w:sz w:val="24"/>
          <w:szCs w:val="24"/>
        </w:rPr>
        <w:t xml:space="preserve">garantizarán </w:t>
      </w:r>
      <w:r w:rsidRPr="007A27A5">
        <w:rPr>
          <w:rFonts w:ascii="Times New Roman" w:eastAsia="Arial" w:hAnsi="Times New Roman" w:cs="Times New Roman"/>
          <w:sz w:val="24"/>
          <w:szCs w:val="24"/>
        </w:rPr>
        <w:t>la construcción de la infraestructura hidráulica que permita el aprovechamiento del agua pluvial para la conservación de reservas hídricas y la recarga de acuíferos, y fomentarán la construcción y conservación de instalaciones alternas que sustituyan al drenaje cuando éste no pueda construirse</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lastRenderedPageBreak/>
        <w:t xml:space="preserve">Artículo 53 Bis.- </w:t>
      </w:r>
      <w:r w:rsidRPr="007A27A5">
        <w:rPr>
          <w:rFonts w:ascii="Times New Roman" w:eastAsia="Arial" w:hAnsi="Times New Roman" w:cs="Times New Roman"/>
          <w:sz w:val="24"/>
          <w:szCs w:val="24"/>
        </w:rPr>
        <w:t xml:space="preserve">Las Dependencias y Organismos Auxiliares estatales y municipales, de acuerdo con su naturaleza jurídica y según corresponda, </w:t>
      </w:r>
      <w:r w:rsidRPr="007A27A5">
        <w:rPr>
          <w:rFonts w:ascii="Times New Roman" w:eastAsia="Arial" w:hAnsi="Times New Roman" w:cs="Times New Roman"/>
          <w:b/>
          <w:sz w:val="24"/>
          <w:szCs w:val="24"/>
        </w:rPr>
        <w:t xml:space="preserve">aseguraran la implementación de </w:t>
      </w:r>
      <w:r w:rsidRPr="007A27A5">
        <w:rPr>
          <w:rFonts w:ascii="Times New Roman" w:eastAsia="Arial" w:hAnsi="Times New Roman" w:cs="Times New Roman"/>
          <w:sz w:val="24"/>
          <w:szCs w:val="24"/>
        </w:rPr>
        <w:t xml:space="preserve">sistemas de </w:t>
      </w:r>
      <w:proofErr w:type="spellStart"/>
      <w:r w:rsidRPr="007A27A5">
        <w:rPr>
          <w:rFonts w:ascii="Times New Roman" w:eastAsia="Arial" w:hAnsi="Times New Roman" w:cs="Times New Roman"/>
          <w:sz w:val="24"/>
          <w:szCs w:val="24"/>
        </w:rPr>
        <w:t>naturación</w:t>
      </w:r>
      <w:proofErr w:type="spellEnd"/>
      <w:r w:rsidRPr="007A27A5">
        <w:rPr>
          <w:rFonts w:ascii="Times New Roman" w:eastAsia="Arial" w:hAnsi="Times New Roman" w:cs="Times New Roman"/>
          <w:sz w:val="24"/>
          <w:szCs w:val="24"/>
        </w:rPr>
        <w:t xml:space="preserve"> y/o sistemas necesarios para la captación y aprovechamiento de agua pluvial en los inmuebles destinados a un servicio público que tengan a su cargo, siempre y cuando, las características físicas de los mismos sean aptas para ello y permitan su instalación, operación y mantenimiento.</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T R A N S I T O R I O S</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PRIMERO. </w:t>
      </w:r>
      <w:r w:rsidRPr="007A27A5">
        <w:rPr>
          <w:rFonts w:ascii="Times New Roman" w:eastAsia="Arial" w:hAnsi="Times New Roman" w:cs="Times New Roman"/>
          <w:sz w:val="24"/>
          <w:szCs w:val="24"/>
        </w:rPr>
        <w:t>Publíquese el presente decreto en el Periódico Oficial “Gaceta de Gobierno”.</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SEGUNDO. </w:t>
      </w:r>
      <w:r w:rsidRPr="007A27A5">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rsidR="00DC676A" w:rsidRPr="007A27A5" w:rsidRDefault="00DC676A" w:rsidP="00DC676A">
      <w:pPr>
        <w:spacing w:after="0" w:line="240" w:lineRule="auto"/>
        <w:jc w:val="both"/>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TERCERO. </w:t>
      </w:r>
      <w:r w:rsidRPr="007A27A5">
        <w:rPr>
          <w:rFonts w:ascii="Times New Roman" w:eastAsia="Arial" w:hAnsi="Times New Roman" w:cs="Times New Roman"/>
          <w:sz w:val="24"/>
          <w:szCs w:val="24"/>
        </w:rPr>
        <w:t>Las autoridades a las que hace referencia el artículo 53 bis, deberán realizar las adecuaciones en sus edificios públicos en un periodo máximo de 365 días contados a partir de la publicación del presente decreto.</w:t>
      </w:r>
    </w:p>
    <w:p w:rsidR="00DC676A" w:rsidRPr="007A27A5" w:rsidRDefault="00DC676A" w:rsidP="00DC676A">
      <w:pPr>
        <w:spacing w:after="0" w:line="240" w:lineRule="auto"/>
        <w:rPr>
          <w:rFonts w:ascii="Times New Roman" w:eastAsia="Times New Roman" w:hAnsi="Times New Roman" w:cs="Times New Roman"/>
          <w:sz w:val="24"/>
          <w:szCs w:val="24"/>
        </w:rPr>
      </w:pPr>
    </w:p>
    <w:p w:rsidR="00DC676A" w:rsidRPr="007A27A5" w:rsidRDefault="00DC676A" w:rsidP="00DC676A">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Dado en el Palacio del Poder Legislativo en la Ciudad de Toluca, Capital del Estado de México, a los </w:t>
      </w:r>
      <w:r w:rsidRPr="007A27A5">
        <w:rPr>
          <w:rFonts w:ascii="Times New Roman" w:eastAsia="Arial" w:hAnsi="Times New Roman" w:cs="Times New Roman"/>
          <w:sz w:val="24"/>
          <w:szCs w:val="24"/>
          <w:u w:val="single" w:color="000000"/>
        </w:rPr>
        <w:t xml:space="preserve">     </w:t>
      </w:r>
      <w:r w:rsidRPr="007A27A5">
        <w:rPr>
          <w:rFonts w:ascii="Times New Roman" w:eastAsia="Arial" w:hAnsi="Times New Roman" w:cs="Times New Roman"/>
          <w:sz w:val="24"/>
          <w:szCs w:val="24"/>
        </w:rPr>
        <w:t xml:space="preserve"> días del mes de </w:t>
      </w:r>
      <w:r w:rsidRPr="007A27A5">
        <w:rPr>
          <w:rFonts w:ascii="Times New Roman" w:eastAsia="Arial" w:hAnsi="Times New Roman" w:cs="Times New Roman"/>
          <w:sz w:val="24"/>
          <w:szCs w:val="24"/>
          <w:u w:val="single" w:color="000000"/>
        </w:rPr>
        <w:t xml:space="preserve">      </w:t>
      </w:r>
      <w:r w:rsidRPr="007A27A5">
        <w:rPr>
          <w:rFonts w:ascii="Times New Roman" w:eastAsia="Arial" w:hAnsi="Times New Roman" w:cs="Times New Roman"/>
          <w:sz w:val="24"/>
          <w:szCs w:val="24"/>
        </w:rPr>
        <w:t xml:space="preserve"> </w:t>
      </w:r>
      <w:proofErr w:type="spellStart"/>
      <w:r w:rsidRPr="007A27A5">
        <w:rPr>
          <w:rFonts w:ascii="Times New Roman" w:eastAsia="Arial" w:hAnsi="Times New Roman" w:cs="Times New Roman"/>
          <w:sz w:val="24"/>
          <w:szCs w:val="24"/>
        </w:rPr>
        <w:t>de</w:t>
      </w:r>
      <w:proofErr w:type="spellEnd"/>
      <w:r w:rsidRPr="007A27A5">
        <w:rPr>
          <w:rFonts w:ascii="Times New Roman" w:eastAsia="Arial" w:hAnsi="Times New Roman" w:cs="Times New Roman"/>
          <w:sz w:val="24"/>
          <w:szCs w:val="24"/>
        </w:rPr>
        <w:t xml:space="preserve"> dos mil veinticinco.</w:t>
      </w:r>
    </w:p>
    <w:p w:rsidR="00323B1A" w:rsidRPr="007A27A5" w:rsidRDefault="00323B1A" w:rsidP="00DC676A">
      <w:pPr>
        <w:spacing w:after="0" w:line="240" w:lineRule="auto"/>
        <w:jc w:val="center"/>
        <w:rPr>
          <w:rFonts w:ascii="Times New Roman" w:hAnsi="Times New Roman"/>
          <w:sz w:val="24"/>
          <w:szCs w:val="24"/>
        </w:rPr>
      </w:pPr>
    </w:p>
    <w:p w:rsidR="00323B1A" w:rsidRPr="007A27A5" w:rsidRDefault="00323B1A" w:rsidP="00DC676A">
      <w:pPr>
        <w:spacing w:after="0" w:line="240" w:lineRule="auto"/>
        <w:jc w:val="center"/>
        <w:rPr>
          <w:rFonts w:ascii="Times New Roman" w:hAnsi="Times New Roman"/>
          <w:i/>
          <w:sz w:val="24"/>
          <w:szCs w:val="24"/>
        </w:rPr>
      </w:pPr>
      <w:r w:rsidRPr="007A27A5">
        <w:rPr>
          <w:rFonts w:ascii="Times New Roman" w:hAnsi="Times New Roman"/>
          <w:i/>
          <w:sz w:val="24"/>
          <w:szCs w:val="24"/>
        </w:rPr>
        <w:t>(Fin del documento)</w:t>
      </w:r>
    </w:p>
    <w:p w:rsidR="00323B1A" w:rsidRPr="007A27A5" w:rsidRDefault="00323B1A" w:rsidP="00DC676A">
      <w:pPr>
        <w:spacing w:after="0" w:line="240" w:lineRule="auto"/>
        <w:jc w:val="center"/>
        <w:rPr>
          <w:rFonts w:ascii="Times New Roman" w:hAnsi="Times New Roman"/>
          <w:sz w:val="24"/>
          <w:szCs w:val="24"/>
        </w:rPr>
      </w:pPr>
    </w:p>
    <w:p w:rsidR="007C2166" w:rsidRPr="007A27A5" w:rsidRDefault="007C2166" w:rsidP="007C2166">
      <w:pPr>
        <w:pStyle w:val="Sinespaciado"/>
      </w:pPr>
      <w:r w:rsidRPr="007A27A5">
        <w:t>PRESIDENTA DIP. MARTHA AZUCENA CAMACHO REYNOSO. Gracias diputado Isaías Peláez Soria.</w:t>
      </w:r>
    </w:p>
    <w:p w:rsidR="007C2166" w:rsidRPr="007A27A5" w:rsidRDefault="007C2166" w:rsidP="00AF05AC">
      <w:pPr>
        <w:pStyle w:val="Sinespaciado"/>
        <w:ind w:firstLine="709"/>
      </w:pPr>
      <w:r w:rsidRPr="007A27A5">
        <w:t>Se registra la iniciativa y se remite a la Comisión Legislativa de Recursos Hidráulicos para su estudio y dictamen</w:t>
      </w:r>
      <w:r w:rsidR="00F027AC" w:rsidRPr="007A27A5">
        <w:t>.</w:t>
      </w:r>
    </w:p>
    <w:p w:rsidR="007C2166" w:rsidRPr="007A27A5" w:rsidRDefault="007C2166" w:rsidP="00AF05AC">
      <w:pPr>
        <w:spacing w:after="0" w:line="240" w:lineRule="auto"/>
        <w:ind w:firstLine="709"/>
        <w:jc w:val="both"/>
        <w:rPr>
          <w:rFonts w:ascii="Times New Roman" w:hAnsi="Times New Roman" w:cs="Times New Roman"/>
          <w:sz w:val="24"/>
          <w:szCs w:val="24"/>
        </w:rPr>
      </w:pPr>
      <w:r w:rsidRPr="007A27A5">
        <w:rPr>
          <w:rFonts w:ascii="Times New Roman" w:hAnsi="Times New Roman" w:cs="Times New Roman"/>
          <w:sz w:val="24"/>
          <w:szCs w:val="24"/>
        </w:rPr>
        <w:t>En cuanto al punto número 13, el diputado Héctor Raúl García González presenta en nombre del Grupo Parlamentario del Partido Verde Ecologista de México, iniciativa con proyecto de decreto por la que se declara el 20 de noviembre de cada año, “Día del Floricultor Mexiquense”.</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DIP. HÉCTOR RAÚL GARCÍA GONZÁLEZ. Saludo con gusto a quienes integran la Mesa Directiva, a quienes nos siguen a través de las redes sociales y de manera especial a las y los floricultores del Municipio de Villa Guerrero que el día de hoy nos acompañan en este Recinto, para quienes pido un fuerte aplauso, muchas gracias por acompañarnos.</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 xml:space="preserve">También saludo a mi amigo el Presidente Municipal de Villa Guerrero, Carlos </w:t>
      </w:r>
      <w:proofErr w:type="spellStart"/>
      <w:r w:rsidRPr="007A27A5">
        <w:rPr>
          <w:rFonts w:ascii="Times New Roman" w:hAnsi="Times New Roman" w:cs="Times New Roman"/>
          <w:sz w:val="24"/>
          <w:szCs w:val="24"/>
        </w:rPr>
        <w:t>Rogel</w:t>
      </w:r>
      <w:proofErr w:type="spellEnd"/>
      <w:r w:rsidRPr="007A27A5">
        <w:rPr>
          <w:rFonts w:ascii="Times New Roman" w:hAnsi="Times New Roman" w:cs="Times New Roman"/>
          <w:sz w:val="24"/>
          <w:szCs w:val="24"/>
        </w:rPr>
        <w:t xml:space="preserve"> Guadarrama, desde esta tribuna te felicito y te agradezco por ser aliado de las causas de los </w:t>
      </w:r>
      <w:proofErr w:type="spellStart"/>
      <w:r w:rsidRPr="007A27A5">
        <w:rPr>
          <w:rFonts w:ascii="Times New Roman" w:hAnsi="Times New Roman" w:cs="Times New Roman"/>
          <w:sz w:val="24"/>
          <w:szCs w:val="24"/>
        </w:rPr>
        <w:t>villaguerrerenses</w:t>
      </w:r>
      <w:proofErr w:type="spellEnd"/>
      <w:r w:rsidRPr="007A27A5">
        <w:rPr>
          <w:rFonts w:ascii="Times New Roman" w:hAnsi="Times New Roman" w:cs="Times New Roman"/>
          <w:sz w:val="24"/>
          <w:szCs w:val="24"/>
        </w:rPr>
        <w:t>, hermano bienvenido a tu casa.</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 xml:space="preserve">Compañeras, compañeros y </w:t>
      </w:r>
      <w:proofErr w:type="spellStart"/>
      <w:r w:rsidRPr="007A27A5">
        <w:rPr>
          <w:rFonts w:ascii="Times New Roman" w:hAnsi="Times New Roman" w:cs="Times New Roman"/>
          <w:sz w:val="24"/>
          <w:szCs w:val="24"/>
        </w:rPr>
        <w:t>compeñere</w:t>
      </w:r>
      <w:proofErr w:type="spellEnd"/>
      <w:r w:rsidRPr="007A27A5">
        <w:rPr>
          <w:rFonts w:ascii="Times New Roman" w:hAnsi="Times New Roman" w:cs="Times New Roman"/>
          <w:sz w:val="24"/>
          <w:szCs w:val="24"/>
        </w:rPr>
        <w:t>, el sur del Estado de México es una región bendecida por la naturaleza y enaltecida por el trabajo y vocación de sus productores y artesanos, a las 4 de la mañana mientras una gran parte de la ciudadanía mexiquense apenas se está despertando en los Municipios de Villa Guerrero y Tenancingo, Coatepec de Harinas ya se han puesto en marcha uno de los grandes motores económicos de nuestra Entidad, los invernaderos prenden las luces y están nuestros floricultores revisando tallos, alineando cortes, cuidando pétalos, regando y acomodando la tierra, esta escena para alguno extraordinaria es la rutina que nuestras amigas y amigos floricultores han mantenido viva, desde hace muchas generaciones.</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 xml:space="preserve">La disciplina es la que sostiene al sur del Estado de México, principalmente a nuestro querido Municipio de Villa Guerrero, el principal productor y exportador de flores a nivel nacional, hoy la flor mexiquense se reconoce en México y en todo el mundo gracias al trabajo de ustedes, a </w:t>
      </w:r>
      <w:r w:rsidRPr="007A27A5">
        <w:rPr>
          <w:rFonts w:ascii="Times New Roman" w:hAnsi="Times New Roman" w:cs="Times New Roman"/>
          <w:sz w:val="24"/>
          <w:szCs w:val="24"/>
        </w:rPr>
        <w:lastRenderedPageBreak/>
        <w:t>través de su experiencia, su visión y su vocación inquebrantable para poder desempeñar esta actividad tan noble; pero llena de cultura y de tradición.</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No olvidemos algo, los floricultores en nuestra región, no apareció por casualidad, desde los años 40 se inició con estas actividades y han sido las familias de nuestra tierra quienes con trabajo, disciplina y constancia convirtieron en esta herencia en lo que hoy es el corredor floral más importante de México.</w:t>
      </w:r>
    </w:p>
    <w:p w:rsidR="007C2166" w:rsidRPr="007A27A5" w:rsidRDefault="007C2166" w:rsidP="00AF05AC">
      <w:pPr>
        <w:spacing w:after="0" w:line="240" w:lineRule="auto"/>
        <w:ind w:firstLine="709"/>
        <w:jc w:val="both"/>
        <w:rPr>
          <w:rFonts w:ascii="Times New Roman" w:hAnsi="Times New Roman" w:cs="Times New Roman"/>
          <w:sz w:val="24"/>
          <w:szCs w:val="24"/>
        </w:rPr>
      </w:pPr>
      <w:r w:rsidRPr="007A27A5">
        <w:rPr>
          <w:rFonts w:ascii="Times New Roman" w:hAnsi="Times New Roman" w:cs="Times New Roman"/>
          <w:sz w:val="24"/>
          <w:szCs w:val="24"/>
        </w:rPr>
        <w:t>Hoy me dirijo directamente a ustedes productores de Villa Guerrero, de Tenancingo y de todo el Distrito VII, este Congreso los escucha, esta iniciativa nació de caminar a su lado, de entrar a sus invernaderos, de acudir a las reuniones para lograr la remodelación de la central de abastos y platicar con todos ustedes, ver que los retos que enfrentar y entender que legislar significa escuchar; pero también cumplir.</w:t>
      </w:r>
    </w:p>
    <w:p w:rsidR="007C2166" w:rsidRPr="007A27A5" w:rsidRDefault="007C2166" w:rsidP="00AF05AC">
      <w:pPr>
        <w:spacing w:after="0" w:line="240" w:lineRule="auto"/>
        <w:ind w:firstLine="709"/>
        <w:jc w:val="both"/>
        <w:rPr>
          <w:rFonts w:ascii="Times New Roman" w:hAnsi="Times New Roman" w:cs="Times New Roman"/>
          <w:sz w:val="24"/>
          <w:szCs w:val="24"/>
        </w:rPr>
      </w:pPr>
      <w:r w:rsidRPr="007A27A5">
        <w:rPr>
          <w:rFonts w:ascii="Times New Roman" w:hAnsi="Times New Roman" w:cs="Times New Roman"/>
          <w:sz w:val="24"/>
          <w:szCs w:val="24"/>
        </w:rPr>
        <w:t>México es una potencia florícola, en 2024 el sector motivó más de 311 millones de dólares y dentro de esta potencia hay un líder indiscutible, el gran Estado de México.</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Cultivamos el 36% de toda la superficie floral del país y destinamos más del 65% del suelo agrícola estatal a especies ornamentales, y quiénes obtienen esa grandeza Villa Guerrero, Tenancingo, Coatepec de Harinas, quienes aportan el 90% de la producción estatal.</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Lo anterior, no es sólo un dato es un reconocimiento para todos ustedes, porque ustedes han alimentado durante décadas la industria floral de nuestro Estado de México y de todo nuestro país, gracias a ustedes, Villa Guerrero dejó depender casi al 100% de la central de abastos de la Ciudad de México, hoy es el centro de venta y embarque nacional al que llegan compradores de Estados como: Morelos, Puebla, Chiapas y Michoacán, principalmente y es gracias a ustedes que la flor mexiquense no se llega a todas las latitudes del país; sino que se ha vuelto un referente internacional.</w:t>
      </w:r>
    </w:p>
    <w:p w:rsidR="007C2166" w:rsidRPr="007A27A5" w:rsidRDefault="007C2166" w:rsidP="007C2166">
      <w:pPr>
        <w:spacing w:after="0" w:line="240" w:lineRule="auto"/>
        <w:jc w:val="both"/>
        <w:rPr>
          <w:rFonts w:ascii="Times New Roman" w:hAnsi="Times New Roman" w:cs="Times New Roman"/>
          <w:sz w:val="24"/>
          <w:szCs w:val="24"/>
        </w:rPr>
      </w:pPr>
      <w:r w:rsidRPr="007A27A5">
        <w:rPr>
          <w:rFonts w:ascii="Times New Roman" w:hAnsi="Times New Roman" w:cs="Times New Roman"/>
          <w:sz w:val="24"/>
          <w:szCs w:val="24"/>
        </w:rPr>
        <w:tab/>
        <w:t xml:space="preserve">Actualmente nuestra flor, hoy llega a Estados Unidos y Canadá, el 80% de las exportaciones nacionales ornamentales sale de esta región y el 61% del valor económico del sector tienen origen aquí en manos de ustedes; pero también hay que decirlo nuestros floricultores han mantenido esta industria sin reflectores, sin créditos suficientes, enfrentando plagas, incrementos de los insumos, competencia global y los cambios del clima y aun así, todos los días, durante cada madrugada, vuelven a empezar. </w:t>
      </w:r>
    </w:p>
    <w:p w:rsidR="007C2166" w:rsidRPr="007A27A5" w:rsidRDefault="007C2166" w:rsidP="00AF05AC">
      <w:pPr>
        <w:pStyle w:val="Sinespaciado"/>
        <w:ind w:firstLine="709"/>
      </w:pPr>
      <w:r w:rsidRPr="007A27A5">
        <w:t xml:space="preserve">Porque esa es la diferencia entre una actividad económica y una vocación, por eso, desde el Grupo Parlamentario del Partido Verde, reafirmamos nuestro compromiso con ustedes al impulsar el Día del Floricultor Mexiquense, proponiendo que se instaure cada 20 de noviembre como un reconocimiento oficial en el Estado de México, esta fecha nació en Villa Guerrero con la inauguración de la Central de Abastos y la venta de la primera flor y hoy queremos elevarla a nivel estatal para que nadie olvide que ustedes y su trabajo nos representan. </w:t>
      </w:r>
    </w:p>
    <w:p w:rsidR="007C2166" w:rsidRPr="007A27A5" w:rsidRDefault="007C2166" w:rsidP="00AF05AC">
      <w:pPr>
        <w:pStyle w:val="Sinespaciado"/>
        <w:ind w:firstLine="709"/>
      </w:pPr>
      <w:r w:rsidRPr="007A27A5">
        <w:t>El 20 de noviembre es la temporada más intensa cuando el trabajo es más fuerte y los invernaderos no descansan, es la fecha que honra su esfuerzo a todas y a todos los floricultores del Distrito VII, que hoy nos acompañan le reitero, hoy esta tribuna habla y habla fuerte y claro, el sello mexiquense es un sello de excelencia, de tradición, de arraigo, de un producto representado por la naturaleza, nuestra floricultura es testimonio vivo del orgullo comunitario, de un campo que trabaja, que resiste y construye futuro.</w:t>
      </w:r>
    </w:p>
    <w:p w:rsidR="007C2166" w:rsidRPr="007A27A5" w:rsidRDefault="007C2166" w:rsidP="00AF05AC">
      <w:pPr>
        <w:pStyle w:val="Sinespaciado"/>
        <w:ind w:firstLine="709"/>
      </w:pPr>
      <w:r w:rsidRPr="007A27A5">
        <w:t>Hoy damos un paso importante para brindar justicia histórica y reconocimiento a una actividad que nos ha puesto en los ojos del mundo, sigamos reivindicando el sur del Estado de México a sus colores, a sus tradiciones y a su incansable trabajo.</w:t>
      </w:r>
    </w:p>
    <w:p w:rsidR="007C2166" w:rsidRPr="007A27A5" w:rsidRDefault="007C2166" w:rsidP="00AF05AC">
      <w:pPr>
        <w:pStyle w:val="Sinespaciado"/>
        <w:ind w:firstLine="709"/>
      </w:pPr>
      <w:r w:rsidRPr="007A27A5">
        <w:t>Es cuanto Presidenta, muchas gracias.</w:t>
      </w:r>
    </w:p>
    <w:p w:rsidR="0051201E" w:rsidRPr="007A27A5" w:rsidRDefault="0051201E" w:rsidP="00A01B62">
      <w:pPr>
        <w:pStyle w:val="Sinespaciado"/>
      </w:pPr>
    </w:p>
    <w:p w:rsidR="0051201E" w:rsidRPr="007A27A5" w:rsidRDefault="0051201E" w:rsidP="00A01B62">
      <w:pPr>
        <w:spacing w:after="0" w:line="240" w:lineRule="auto"/>
        <w:jc w:val="center"/>
        <w:rPr>
          <w:rFonts w:ascii="Times New Roman" w:hAnsi="Times New Roman"/>
          <w:i/>
          <w:sz w:val="24"/>
          <w:szCs w:val="24"/>
        </w:rPr>
      </w:pPr>
      <w:r w:rsidRPr="007A27A5">
        <w:rPr>
          <w:rFonts w:ascii="Times New Roman" w:hAnsi="Times New Roman"/>
          <w:i/>
          <w:sz w:val="24"/>
          <w:szCs w:val="24"/>
        </w:rPr>
        <w:t>(Se inserta documento)</w:t>
      </w:r>
    </w:p>
    <w:p w:rsidR="0051201E" w:rsidRPr="007A27A5" w:rsidRDefault="0051201E" w:rsidP="00A01B62">
      <w:pPr>
        <w:spacing w:after="0" w:line="240" w:lineRule="auto"/>
        <w:jc w:val="center"/>
        <w:rPr>
          <w:rFonts w:ascii="Times New Roman" w:hAnsi="Times New Roman"/>
          <w:sz w:val="24"/>
          <w:szCs w:val="24"/>
        </w:rPr>
      </w:pPr>
    </w:p>
    <w:p w:rsidR="00874314" w:rsidRPr="007A27A5" w:rsidRDefault="00874314" w:rsidP="00874314">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GRUPO PARLAMENTARIO DEL PARTIDO VERDE ECOLOGISTA DE MEXICO</w:t>
      </w:r>
    </w:p>
    <w:p w:rsidR="00874314" w:rsidRPr="007A27A5" w:rsidRDefault="00874314" w:rsidP="00874314">
      <w:pPr>
        <w:widowControl w:val="0"/>
        <w:autoSpaceDE w:val="0"/>
        <w:autoSpaceDN w:val="0"/>
        <w:spacing w:after="0" w:line="240" w:lineRule="auto"/>
        <w:jc w:val="center"/>
        <w:rPr>
          <w:rFonts w:ascii="Times New Roman" w:eastAsia="Arial MT" w:hAnsi="Times New Roman" w:cs="Times New Roman"/>
          <w:b/>
          <w:sz w:val="24"/>
          <w:szCs w:val="24"/>
        </w:rPr>
      </w:pPr>
    </w:p>
    <w:p w:rsidR="00874314" w:rsidRPr="007A27A5" w:rsidRDefault="00874314" w:rsidP="00874314">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“2025. BICENTENARIO DE LA VIDA MUNICIPAL DEL ESTADO DE MÉXICO”.</w:t>
      </w:r>
    </w:p>
    <w:p w:rsidR="00874314" w:rsidRPr="007A27A5" w:rsidRDefault="00874314" w:rsidP="00874314">
      <w:pPr>
        <w:widowControl w:val="0"/>
        <w:autoSpaceDE w:val="0"/>
        <w:autoSpaceDN w:val="0"/>
        <w:spacing w:after="0" w:line="240" w:lineRule="auto"/>
        <w:jc w:val="center"/>
        <w:rPr>
          <w:rFonts w:ascii="Times New Roman" w:eastAsia="Arial MT" w:hAnsi="Times New Roman" w:cs="Times New Roman"/>
          <w:b/>
          <w:sz w:val="24"/>
          <w:szCs w:val="24"/>
        </w:rPr>
      </w:pPr>
    </w:p>
    <w:p w:rsidR="00874314" w:rsidRPr="007A27A5" w:rsidRDefault="00874314" w:rsidP="00874314">
      <w:pPr>
        <w:widowControl w:val="0"/>
        <w:autoSpaceDE w:val="0"/>
        <w:autoSpaceDN w:val="0"/>
        <w:spacing w:after="0" w:line="240" w:lineRule="auto"/>
        <w:jc w:val="right"/>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Toluca de Lerdo, Estado de México, a </w:t>
      </w:r>
      <w:r w:rsidRPr="007A27A5">
        <w:rPr>
          <w:rFonts w:ascii="Times New Roman" w:eastAsia="Arial MT" w:hAnsi="Times New Roman" w:cs="Times New Roman"/>
          <w:sz w:val="24"/>
          <w:szCs w:val="24"/>
          <w:u w:val="single"/>
        </w:rPr>
        <w:tab/>
      </w:r>
      <w:r w:rsidRPr="007A27A5">
        <w:rPr>
          <w:rFonts w:ascii="Times New Roman" w:eastAsia="Arial MT" w:hAnsi="Times New Roman" w:cs="Times New Roman"/>
          <w:sz w:val="24"/>
          <w:szCs w:val="24"/>
        </w:rPr>
        <w:t xml:space="preserve"> de </w:t>
      </w:r>
      <w:r w:rsidRPr="007A27A5">
        <w:rPr>
          <w:rFonts w:ascii="Times New Roman" w:eastAsia="Arial MT" w:hAnsi="Times New Roman" w:cs="Times New Roman"/>
          <w:sz w:val="24"/>
          <w:szCs w:val="24"/>
          <w:u w:val="single"/>
        </w:rPr>
        <w:tab/>
      </w:r>
      <w:r w:rsidRPr="007A27A5">
        <w:rPr>
          <w:rFonts w:ascii="Times New Roman" w:eastAsia="Arial MT" w:hAnsi="Times New Roman" w:cs="Times New Roman"/>
          <w:sz w:val="24"/>
          <w:szCs w:val="24"/>
        </w:rPr>
        <w:t xml:space="preserve"> de 2025.</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DIP. MARTHA AZUCENA CAMACHO REYNOSO</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PRESIDENTA DE LA MESA DIRECTIVA</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LXII LEGISLATURA DEL H. PODER LEGISLATIVO</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DEL ESTADO LIBRE Y SOBERANO DE MÉXICO</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P R E S E N T E</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Honorable Asamblea:</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Quienes suscriben </w:t>
      </w:r>
      <w:r w:rsidRPr="007A27A5">
        <w:rPr>
          <w:rFonts w:ascii="Times New Roman" w:eastAsia="Arial MT"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Y MIRIAM SILVA MATA </w:t>
      </w:r>
      <w:r w:rsidRPr="007A27A5">
        <w:rPr>
          <w:rFonts w:ascii="Times New Roman" w:eastAsia="Arial MT" w:hAnsi="Times New Roman" w:cs="Times New Roman"/>
          <w:sz w:val="24"/>
          <w:szCs w:val="24"/>
        </w:rPr>
        <w:t xml:space="preserve">diputadas y diputados integrantes del </w:t>
      </w:r>
      <w:r w:rsidRPr="007A27A5">
        <w:rPr>
          <w:rFonts w:ascii="Times New Roman" w:eastAsia="Arial MT" w:hAnsi="Times New Roman" w:cs="Times New Roman"/>
          <w:b/>
          <w:sz w:val="24"/>
          <w:szCs w:val="24"/>
        </w:rPr>
        <w:t xml:space="preserve">GRUPO PARLAMENTARIO DEL PARTIDO VERDE ECOLOGISTA DE MÉXICO </w:t>
      </w:r>
      <w:r w:rsidRPr="007A27A5">
        <w:rPr>
          <w:rFonts w:ascii="Times New Roman" w:eastAsia="Arial MT" w:hAnsi="Times New Roman" w:cs="Times New Roman"/>
          <w:sz w:val="24"/>
          <w:szCs w:val="24"/>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IV, 79 y 81 de la Ley Orgánica del Poder Legislativo del Estado Libre y Soberano de México, sometemos a la consideración de este órgano legislativo, la siguiente </w:t>
      </w:r>
      <w:r w:rsidRPr="007A27A5">
        <w:rPr>
          <w:rFonts w:ascii="Times New Roman" w:eastAsia="Arial MT" w:hAnsi="Times New Roman" w:cs="Times New Roman"/>
          <w:b/>
          <w:sz w:val="24"/>
          <w:szCs w:val="24"/>
        </w:rPr>
        <w:t>INICIATIVA CON PROYECTO DE DECRETO POR LA QUE SE DECLARA AL 20 DE NOVIEMBRE DE CADA AÑO COMO EL DÍA DEL FLORICULTOR MEXIQUENSE</w:t>
      </w:r>
      <w:r w:rsidRPr="007A27A5">
        <w:rPr>
          <w:rFonts w:ascii="Times New Roman" w:eastAsia="Arial MT" w:hAnsi="Times New Roman" w:cs="Times New Roman"/>
          <w:sz w:val="24"/>
          <w:szCs w:val="24"/>
        </w:rPr>
        <w:t>, con sustento en la siguiente:</w:t>
      </w:r>
    </w:p>
    <w:p w:rsidR="00874314" w:rsidRPr="007A27A5" w:rsidRDefault="00874314" w:rsidP="00874314">
      <w:pPr>
        <w:widowControl w:val="0"/>
        <w:autoSpaceDE w:val="0"/>
        <w:autoSpaceDN w:val="0"/>
        <w:spacing w:after="0" w:line="240" w:lineRule="auto"/>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1564"/>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EXPOSICIÓN DE MOTIVOS</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floricultura es una actividad reconocida a nivel internacional, la misma que es resultado del interés histórico del ser humano por cultivar flores y plantas ornamentales. A lo largo del tiempo, esta práctica ha registrado un crecimiento exponencial, consolidando industrias especializadas y generando conocimientos intergeneracionales que se han aplicado con fines comerciales. Su enfoque reside en la producción de plantas con valor estético, decorativo y ornamental, cuya comercialización en gran escala ha permitido la creación de una actividad económica sólida y con permanencia en los mercados.</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Durante los siglos XX y XXI, México se ha posicionado como uno de los principales productores de flor a nivel global, situando a la floricultura como una de las actividades económicas más relevantes del país y como fuente significativa de empleos y cadenas de suministro. De acuerdo con datos de la Secretaría de Economía, para el año 2024 el intercambio comercial total del sector floral ascendió a US$311 millones, lo cual evidencia la competitividad e importancia estratégica de las flores ornamentales en mercados internacionales.</w:t>
      </w:r>
      <w:r w:rsidRPr="007A27A5">
        <w:rPr>
          <w:rFonts w:ascii="Times New Roman" w:eastAsia="Arial MT" w:hAnsi="Times New Roman" w:cs="Times New Roman"/>
          <w:sz w:val="24"/>
          <w:szCs w:val="24"/>
          <w:vertAlign w:val="superscript"/>
        </w:rPr>
        <w:t>1</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En este contexto, el Estado de México ocupa un papel fundamental, al ser una de las principales entidades productoras y exportadoras de flor ornamental del país. Actualmente, cultiva alrededor del 36% de la superficie nacional destinada a especies ornamentales, con aproximadamente 7 mil hectáreas de cultivo, lo que representa el 65% de la superficie agrícola </w:t>
      </w:r>
      <w:r w:rsidRPr="007A27A5">
        <w:rPr>
          <w:rFonts w:ascii="Times New Roman" w:eastAsia="Arial MT" w:hAnsi="Times New Roman" w:cs="Times New Roman"/>
          <w:sz w:val="24"/>
          <w:szCs w:val="24"/>
        </w:rPr>
        <w:lastRenderedPageBreak/>
        <w:t>estatal dedicada a estas especies.</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8"/>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El Estado de México es reconocido nacional e internacionalmente como una de las principales  entidades  productoras  de  flores  ornamentales,  posicionándose  como referente del sector florícola por su volumen de producción, diversidad, calidad, innovación y contribución económica.</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426"/>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1</w:t>
      </w:r>
      <w:r w:rsidRPr="007A27A5">
        <w:rPr>
          <w:rFonts w:ascii="Times New Roman" w:eastAsia="Arial MT" w:hAnsi="Times New Roman" w:cs="Times New Roman"/>
          <w:sz w:val="24"/>
          <w:szCs w:val="24"/>
        </w:rPr>
        <w:t xml:space="preserve"> Plantas Vivas y Productos de Floricultura. Disponible en: </w:t>
      </w:r>
      <w:r w:rsidRPr="007A27A5">
        <w:rPr>
          <w:rFonts w:ascii="Times New Roman" w:eastAsia="Arial MT" w:hAnsi="Times New Roman" w:cs="Times New Roman"/>
          <w:sz w:val="24"/>
          <w:szCs w:val="24"/>
          <w:u w:val="single" w:color="0000FF"/>
        </w:rPr>
        <w:t>https://</w:t>
      </w:r>
      <w:hyperlink r:id="rId42">
        <w:r w:rsidRPr="007A27A5">
          <w:rPr>
            <w:rFonts w:ascii="Times New Roman" w:eastAsia="Arial MT" w:hAnsi="Times New Roman" w:cs="Times New Roman"/>
            <w:sz w:val="24"/>
            <w:szCs w:val="24"/>
            <w:u w:val="single" w:color="0000FF"/>
          </w:rPr>
          <w:t>www.economia.gob.mx/datamexico/es/profile/product/live-plants-</w:t>
        </w:r>
      </w:hyperlink>
      <w:r w:rsidRPr="007A27A5">
        <w:rPr>
          <w:rFonts w:ascii="Times New Roman" w:eastAsia="Arial MT" w:hAnsi="Times New Roman" w:cs="Times New Roman"/>
          <w:sz w:val="24"/>
          <w:szCs w:val="24"/>
        </w:rPr>
        <w:t xml:space="preserve"> </w:t>
      </w:r>
      <w:r w:rsidRPr="007A27A5">
        <w:rPr>
          <w:rFonts w:ascii="Times New Roman" w:eastAsia="Arial MT" w:hAnsi="Times New Roman" w:cs="Times New Roman"/>
          <w:sz w:val="24"/>
          <w:szCs w:val="24"/>
          <w:u w:val="single" w:color="0000FF"/>
        </w:rPr>
        <w:t>and-</w:t>
      </w:r>
      <w:proofErr w:type="spellStart"/>
      <w:r w:rsidRPr="007A27A5">
        <w:rPr>
          <w:rFonts w:ascii="Times New Roman" w:eastAsia="Arial MT" w:hAnsi="Times New Roman" w:cs="Times New Roman"/>
          <w:sz w:val="24"/>
          <w:szCs w:val="24"/>
          <w:u w:val="single" w:color="0000FF"/>
        </w:rPr>
        <w:t>floricultural</w:t>
      </w:r>
      <w:proofErr w:type="spellEnd"/>
      <w:r w:rsidRPr="007A27A5">
        <w:rPr>
          <w:rFonts w:ascii="Times New Roman" w:eastAsia="Arial MT" w:hAnsi="Times New Roman" w:cs="Times New Roman"/>
          <w:sz w:val="24"/>
          <w:szCs w:val="24"/>
          <w:u w:val="single" w:color="0000FF"/>
        </w:rPr>
        <w:t>-</w:t>
      </w:r>
      <w:r w:rsidRPr="007A27A5">
        <w:rPr>
          <w:rFonts w:ascii="Times New Roman" w:eastAsia="Arial MT" w:hAnsi="Times New Roman" w:cs="Times New Roman"/>
          <w:sz w:val="24"/>
          <w:szCs w:val="24"/>
        </w:rPr>
        <w:t xml:space="preserve"> </w:t>
      </w:r>
      <w:r w:rsidRPr="007A27A5">
        <w:rPr>
          <w:rFonts w:ascii="Times New Roman" w:eastAsia="Arial MT" w:hAnsi="Times New Roman" w:cs="Times New Roman"/>
          <w:sz w:val="24"/>
          <w:szCs w:val="24"/>
          <w:u w:val="single" w:color="0000FF"/>
        </w:rPr>
        <w:t>products?tradeBalanceSelector=2022#:~:text=En%202023%2C%20el%20intercambio%20comercial%20total%20de,USD)%20*%2</w:t>
      </w:r>
      <w:r w:rsidRPr="007A27A5">
        <w:rPr>
          <w:rFonts w:ascii="Times New Roman" w:eastAsia="Arial MT" w:hAnsi="Times New Roman" w:cs="Times New Roman"/>
          <w:sz w:val="24"/>
          <w:szCs w:val="24"/>
        </w:rPr>
        <w:t xml:space="preserve"> </w:t>
      </w:r>
      <w:r w:rsidRPr="007A27A5">
        <w:rPr>
          <w:rFonts w:ascii="Times New Roman" w:eastAsia="Arial MT" w:hAnsi="Times New Roman" w:cs="Times New Roman"/>
          <w:sz w:val="24"/>
          <w:szCs w:val="24"/>
          <w:u w:val="single" w:color="0000FF"/>
        </w:rPr>
        <w:t>0Espa%C3%B1a%20(2%2C84%20millones%20de%20USD</w:t>
      </w:r>
      <w:r w:rsidRPr="007A27A5">
        <w:rPr>
          <w:rFonts w:ascii="Times New Roman" w:eastAsia="Arial MT" w:hAnsi="Times New Roman" w:cs="Times New Roman"/>
          <w:sz w:val="24"/>
          <w:szCs w:val="24"/>
        </w:rPr>
        <w:t>)</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historia floricultora en la zona sur del Estado de México se remonta a la década de 1940 con la llegada de inmigrantes japoneses, quienes introdujeron cultivos de ornato como claveles, crisantemos, rosas de campo y gladiolas. Dicha tradición ha sido preservada y fortalecida por las y los productores, permitiendo que el Estado de México se consolide como el mayor productor de flor a nivel nacional, destacando los municipios de Villa Guerrero, Tenancingo y Coatepec Harinas, los cuales aportan aproximadamente el 90% de la producción estatal.</w:t>
      </w:r>
      <w:r w:rsidRPr="007A27A5">
        <w:rPr>
          <w:rFonts w:ascii="Times New Roman" w:eastAsia="Arial MT" w:hAnsi="Times New Roman" w:cs="Times New Roman"/>
          <w:sz w:val="24"/>
          <w:szCs w:val="24"/>
          <w:vertAlign w:val="superscript"/>
        </w:rPr>
        <w:t>2</w:t>
      </w:r>
      <w:r w:rsidRPr="007A27A5">
        <w:rPr>
          <w:rFonts w:ascii="Times New Roman" w:eastAsia="Arial MT" w:hAnsi="Times New Roman" w:cs="Times New Roman"/>
          <w:sz w:val="24"/>
          <w:szCs w:val="24"/>
        </w:rPr>
        <w:t xml:space="preserve"> Esta actividad representa el sustento económico de aproximadamente 20 mil productores y familias, consolidándose como eje productivo, cultural y de desarrollo regional.</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Según la Cámara Nacional de Floricultores, décadas atrás los productores mexiquenses dependían en un 95% de los mayoristas ubicados en la Ciudad de México, particularmente en la Central de Abasto y el Mercado de Jamaica. En la actualidad, dicha dependencia se ha reducido al 50%, resultado de la consolidación de Villa Guerrero como centro de venta y embarque, en donde comerciantes de todo el país e incluso de otros estados productores como Chiapas, Puebla, Morelos y Michoacán, acopian y distribuyen mercancía hacia el norte de México y los Estados Unidos.</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Cabe destacar que California, Estados Unidos, es el principal destino de exportación, logrando que la flor mexiquense llegue en óptimas condiciones mediante transporte especializado, posicionando al Estado de México como responsable del 80% del total nacional de ornamentales exportables, principalmente hacia Estados Unidos y Canadá, además de representar el 61.5% del valor económico nacional del sector.</w:t>
      </w:r>
      <w:r w:rsidRPr="007A27A5">
        <w:rPr>
          <w:rFonts w:ascii="Times New Roman" w:eastAsia="Arial MT" w:hAnsi="Times New Roman" w:cs="Times New Roman"/>
          <w:sz w:val="24"/>
          <w:szCs w:val="24"/>
          <w:vertAlign w:val="superscript"/>
        </w:rPr>
        <w:t>3</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5"/>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2</w:t>
      </w:r>
      <w:r w:rsidRPr="007A27A5">
        <w:rPr>
          <w:rFonts w:ascii="Times New Roman" w:eastAsia="Arial MT" w:hAnsi="Times New Roman" w:cs="Times New Roman"/>
          <w:sz w:val="24"/>
          <w:szCs w:val="24"/>
        </w:rPr>
        <w:t xml:space="preserve">  Floricultura  actividad  económica  </w:t>
      </w:r>
      <w:proofErr w:type="spellStart"/>
      <w:r w:rsidRPr="007A27A5">
        <w:rPr>
          <w:rFonts w:ascii="Times New Roman" w:eastAsia="Arial MT" w:hAnsi="Times New Roman" w:cs="Times New Roman"/>
          <w:sz w:val="24"/>
          <w:szCs w:val="24"/>
        </w:rPr>
        <w:t>mas</w:t>
      </w:r>
      <w:proofErr w:type="spellEnd"/>
      <w:r w:rsidRPr="007A27A5">
        <w:rPr>
          <w:rFonts w:ascii="Times New Roman" w:eastAsia="Arial MT" w:hAnsi="Times New Roman" w:cs="Times New Roman"/>
          <w:sz w:val="24"/>
          <w:szCs w:val="24"/>
        </w:rPr>
        <w:t xml:space="preserve">  importante  del  sector  agropecuario  en  el  Edomex.  Disponible  en: </w:t>
      </w:r>
      <w:r w:rsidRPr="007A27A5">
        <w:rPr>
          <w:rFonts w:ascii="Times New Roman" w:eastAsia="Arial MT" w:hAnsi="Times New Roman" w:cs="Times New Roman"/>
          <w:sz w:val="24"/>
          <w:szCs w:val="24"/>
          <w:u w:val="single" w:color="0000FF"/>
        </w:rPr>
        <w:t>https://</w:t>
      </w:r>
      <w:hyperlink r:id="rId43">
        <w:r w:rsidRPr="007A27A5">
          <w:rPr>
            <w:rFonts w:ascii="Times New Roman" w:eastAsia="Arial MT" w:hAnsi="Times New Roman" w:cs="Times New Roman"/>
            <w:sz w:val="24"/>
            <w:szCs w:val="24"/>
            <w:u w:val="single" w:color="0000FF"/>
          </w:rPr>
          <w:t>www.gob.mx/agricultura%7Cedomex/articulos/floricultura-actividad-economica-mas-importante-del-sector-agropecuario-en-</w:t>
        </w:r>
      </w:hyperlink>
      <w:r w:rsidRPr="007A27A5">
        <w:rPr>
          <w:rFonts w:ascii="Times New Roman" w:eastAsia="Arial MT" w:hAnsi="Times New Roman" w:cs="Times New Roman"/>
          <w:sz w:val="24"/>
          <w:szCs w:val="24"/>
        </w:rPr>
        <w:t xml:space="preserve">  </w:t>
      </w:r>
      <w:r w:rsidRPr="007A27A5">
        <w:rPr>
          <w:rFonts w:ascii="Times New Roman" w:eastAsia="Arial MT" w:hAnsi="Times New Roman" w:cs="Times New Roman"/>
          <w:sz w:val="24"/>
          <w:szCs w:val="24"/>
          <w:u w:val="single" w:color="0000FF"/>
        </w:rPr>
        <w:t>el-</w:t>
      </w:r>
      <w:proofErr w:type="spellStart"/>
      <w:r w:rsidRPr="007A27A5">
        <w:rPr>
          <w:rFonts w:ascii="Times New Roman" w:eastAsia="Arial MT" w:hAnsi="Times New Roman" w:cs="Times New Roman"/>
          <w:sz w:val="24"/>
          <w:szCs w:val="24"/>
          <w:u w:val="single" w:color="0000FF"/>
        </w:rPr>
        <w:t>edomex</w:t>
      </w:r>
      <w:proofErr w:type="spellEnd"/>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3</w:t>
      </w:r>
      <w:r w:rsidRPr="007A27A5">
        <w:rPr>
          <w:rFonts w:ascii="Times New Roman" w:eastAsia="Arial MT" w:hAnsi="Times New Roman" w:cs="Times New Roman"/>
          <w:sz w:val="24"/>
          <w:szCs w:val="24"/>
        </w:rPr>
        <w:t xml:space="preserve"> Ídem.</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En este marco, es necesario resaltar el impulso local que se ha dado a esta actividad en Villa Guerrero, considerado como la "Capital de la Flor en México". Destaca la reciente remodelación de la Central de Abastos, así como el acuerdo de cabildo aprobado en 2021 para declarar el 20 de noviembre de cada año como “Día del Floricultor”, fecha que conmemora la inauguración oficial de la Central de Abastos ocurrida el 20 de noviembre de 2020, día en que se efectuó la primera venta de flor en dicho espacio.</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8"/>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De acuerdo con datos históricos y sectoriales, la floricultura mexiquense ha permitido </w:t>
      </w:r>
      <w:r w:rsidRPr="007A27A5">
        <w:rPr>
          <w:rFonts w:ascii="Times New Roman" w:eastAsia="Arial MT" w:hAnsi="Times New Roman" w:cs="Times New Roman"/>
          <w:sz w:val="24"/>
          <w:szCs w:val="24"/>
        </w:rPr>
        <w:lastRenderedPageBreak/>
        <w:t>consolidar cadenas de valor comercial con alcance nacional e internacional. Ha impulsado procesos de exportación, tecnología productiva, sistemas de invernadero, programas de mejoramiento genético y mercados especializados. Además, tiene presencia en eventos, ferias y festividades de relevancia social, cultural y religiosa.</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 pesar de su relevancia, la labor de las y los floricultores no siempre ha sido visibilizada de manera institucional. Aunque representan un sector productivo que ha sabido enfrentar condiciones adversas como variaciones climáticas, incremento en costos de producción, competencia global, plagas, falta de financiamiento accesible y volatilidad comercial. Asimismo, su labor representa un legado tradicional, intergeneracional y comunitario, que no solo produce flores, sino que preserva un conocimiento ancestral ligado al territorio, la identidad rural y el equilibrio ambiental.</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8"/>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Por eso, es importante reconocer públicamente su contribución al desarrollo económico, cultural y social del Estado de México, creando un día conmemorativo oficial que apoye la política pública de ayuda productiva, su aporte al bienestar rural y su relevancia cultural y turística.</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El 20 de noviembre se propone como fecha conmemorativa debido a que coincide con el ciclo productivo y de mayor comercialización para la temporada de invierno. Destaca que este periodo representa uno de los momentos más relevantes en la economía floral, así como una etapa significativa de trabajo intensivo. Esto demuestra la resiliencia y vocación económica del sector floricultor mexiquense.</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Por lo anterior, se considera indispensable elevar a reconocimiento estatal la celebración del 20 de noviembre como “Día del Floricultor Mexiquense”, con la finalidad de visibilizar, reconocer y fortalecer el valor social, económico, cultural y productivo de quienes preservan y desarrollan la actividad florícola en la entidad.</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En virtud de lo expuesto, el Grupo Parlamentario del Partido Verde Ecologista de México manifiesta su compromiso de respaldar y promover el reconocimiento institucional de la floricultura, considerando la relevancia estratégica del Estado de México y su liderazgo nacional en producción y exportación, con el objetivo de promover en la sociedad su valoración, arraigo e identidad productiva.</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b/>
          <w:sz w:val="24"/>
          <w:szCs w:val="24"/>
        </w:rPr>
      </w:pPr>
      <w:r w:rsidRPr="007A27A5">
        <w:rPr>
          <w:rFonts w:ascii="Times New Roman" w:eastAsia="Arial MT"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7A27A5">
        <w:rPr>
          <w:rFonts w:ascii="Times New Roman" w:eastAsia="Arial MT" w:hAnsi="Times New Roman" w:cs="Times New Roman"/>
          <w:b/>
          <w:sz w:val="24"/>
          <w:szCs w:val="24"/>
        </w:rPr>
        <w:t>INICIATIVA CON PROYECTO DE DECRETO POR LA QUE SE DECLARA AL 20 DE NOVIEMBRE DE CADA AÑO COMO EL DÍA DEL FLORICULTOR MEXIQUENSE.</w:t>
      </w:r>
    </w:p>
    <w:p w:rsidR="00874314" w:rsidRPr="007A27A5" w:rsidRDefault="00874314" w:rsidP="00874314">
      <w:pPr>
        <w:widowControl w:val="0"/>
        <w:autoSpaceDE w:val="0"/>
        <w:autoSpaceDN w:val="0"/>
        <w:spacing w:after="0" w:line="240" w:lineRule="auto"/>
        <w:rPr>
          <w:rFonts w:ascii="Times New Roman" w:eastAsia="Arial MT" w:hAnsi="Times New Roman" w:cs="Times New Roman"/>
          <w:b/>
          <w:sz w:val="24"/>
          <w:szCs w:val="24"/>
        </w:rPr>
      </w:pPr>
    </w:p>
    <w:p w:rsidR="00874314" w:rsidRPr="007A27A5" w:rsidRDefault="00874314" w:rsidP="00874314">
      <w:pPr>
        <w:widowControl w:val="0"/>
        <w:autoSpaceDE w:val="0"/>
        <w:autoSpaceDN w:val="0"/>
        <w:spacing w:after="0" w:line="240" w:lineRule="auto"/>
        <w:ind w:right="1564"/>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A T E N T A M E N T E</w:t>
      </w:r>
    </w:p>
    <w:p w:rsidR="00874314" w:rsidRPr="007A27A5" w:rsidRDefault="00874314" w:rsidP="00874314">
      <w:pPr>
        <w:widowControl w:val="0"/>
        <w:autoSpaceDE w:val="0"/>
        <w:autoSpaceDN w:val="0"/>
        <w:spacing w:after="0" w:line="240" w:lineRule="auto"/>
        <w:ind w:right="1564"/>
        <w:jc w:val="center"/>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DIP. JOSÉ ALBERTO COUTTOLENC BUENTELLO </w:t>
      </w:r>
      <w:r w:rsidRPr="007A27A5">
        <w:rPr>
          <w:rFonts w:ascii="Times New Roman" w:eastAsia="Arial MT" w:hAnsi="Times New Roman" w:cs="Times New Roman"/>
          <w:sz w:val="24"/>
          <w:szCs w:val="24"/>
        </w:rPr>
        <w:t>COORDINADOR DEL GRUPO PARLAMENTARIO DEL PARTIDO VERDE ECOLOGISTA DE MÉXICO</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DECRETO NÚMERO</w:t>
      </w:r>
    </w:p>
    <w:p w:rsidR="00874314" w:rsidRPr="007A27A5" w:rsidRDefault="00874314" w:rsidP="00874314">
      <w:pPr>
        <w:widowControl w:val="0"/>
        <w:autoSpaceDE w:val="0"/>
        <w:autoSpaceDN w:val="0"/>
        <w:spacing w:after="0" w:line="240" w:lineRule="auto"/>
        <w:ind w:right="2928"/>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 xml:space="preserve">LA LXII LEGISLATURA DEL ESTADO DE MÉXICO </w:t>
      </w:r>
      <w:r w:rsidRPr="007A27A5">
        <w:rPr>
          <w:rFonts w:ascii="Times New Roman" w:eastAsia="Arial MT" w:hAnsi="Times New Roman" w:cs="Times New Roman"/>
          <w:b/>
          <w:sz w:val="24"/>
          <w:szCs w:val="24"/>
        </w:rPr>
        <w:lastRenderedPageBreak/>
        <w:t>DECRETA:</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p>
    <w:p w:rsidR="00874314" w:rsidRPr="007A27A5" w:rsidRDefault="00874314" w:rsidP="00874314">
      <w:pPr>
        <w:widowControl w:val="0"/>
        <w:autoSpaceDE w:val="0"/>
        <w:autoSpaceDN w:val="0"/>
        <w:spacing w:after="0" w:line="240" w:lineRule="auto"/>
        <w:ind w:right="358"/>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PRIMERO. </w:t>
      </w:r>
      <w:r w:rsidRPr="007A27A5">
        <w:rPr>
          <w:rFonts w:ascii="Times New Roman" w:eastAsia="Arial MT" w:hAnsi="Times New Roman" w:cs="Times New Roman"/>
          <w:sz w:val="24"/>
          <w:szCs w:val="24"/>
        </w:rPr>
        <w:t>Se declara el 20 de noviembre de cada año como “Día del Floricultor Mexiquense”.</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1564"/>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T R A N S I T O R I O S</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b/>
          <w:sz w:val="24"/>
          <w:szCs w:val="24"/>
        </w:rPr>
      </w:pPr>
    </w:p>
    <w:p w:rsidR="00874314" w:rsidRPr="007A27A5" w:rsidRDefault="00874314" w:rsidP="00874314">
      <w:pPr>
        <w:widowControl w:val="0"/>
        <w:autoSpaceDE w:val="0"/>
        <w:autoSpaceDN w:val="0"/>
        <w:spacing w:after="0" w:line="240" w:lineRule="auto"/>
        <w:ind w:right="358"/>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PRIMERO. </w:t>
      </w:r>
      <w:r w:rsidRPr="007A27A5">
        <w:rPr>
          <w:rFonts w:ascii="Times New Roman" w:eastAsia="Arial MT" w:hAnsi="Times New Roman" w:cs="Times New Roman"/>
          <w:sz w:val="24"/>
          <w:szCs w:val="24"/>
        </w:rPr>
        <w:t>Publíquese el presente decreto en el periódico oficial “Gaceta del Gobierno”.</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8"/>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SEGUNDO. </w:t>
      </w:r>
      <w:r w:rsidRPr="007A27A5">
        <w:rPr>
          <w:rFonts w:ascii="Times New Roman" w:eastAsia="Arial MT" w:hAnsi="Times New Roman" w:cs="Times New Roman"/>
          <w:sz w:val="24"/>
          <w:szCs w:val="24"/>
        </w:rPr>
        <w:t>El presente decreto entrará en vigor el día siguiente al de su publicación en el Periódico Oficial “Gaceta del Gobierno” del Estado de México.</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TERCERO. </w:t>
      </w:r>
      <w:r w:rsidRPr="007A27A5">
        <w:rPr>
          <w:rFonts w:ascii="Times New Roman" w:eastAsia="Arial MT" w:hAnsi="Times New Roman" w:cs="Times New Roman"/>
          <w:sz w:val="24"/>
          <w:szCs w:val="24"/>
        </w:rPr>
        <w:t>Invítese a las instituciones públicas, educativas, de investigación, organismos empresariales, ayuntamientos y comunidad productiva a promover actividades relacionadas con el reconocimiento, fortalecimiento, competitividad, capacitación y preservación cultural de la floricultura mexiquense.</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persona titular del Poder Ejecutivo lo tendrá por entendido, haciendo que se publique y se cumpla.</w:t>
      </w:r>
    </w:p>
    <w:p w:rsidR="00874314" w:rsidRPr="007A27A5" w:rsidRDefault="00874314" w:rsidP="00874314">
      <w:pPr>
        <w:widowControl w:val="0"/>
        <w:autoSpaceDE w:val="0"/>
        <w:autoSpaceDN w:val="0"/>
        <w:spacing w:after="0" w:line="240" w:lineRule="auto"/>
        <w:jc w:val="both"/>
        <w:rPr>
          <w:rFonts w:ascii="Times New Roman" w:eastAsia="Arial MT" w:hAnsi="Times New Roman" w:cs="Times New Roman"/>
          <w:sz w:val="24"/>
          <w:szCs w:val="24"/>
        </w:rPr>
      </w:pPr>
    </w:p>
    <w:p w:rsidR="00874314" w:rsidRPr="007A27A5" w:rsidRDefault="00874314" w:rsidP="00874314">
      <w:pPr>
        <w:widowControl w:val="0"/>
        <w:autoSpaceDE w:val="0"/>
        <w:autoSpaceDN w:val="0"/>
        <w:spacing w:after="0" w:line="240" w:lineRule="auto"/>
        <w:ind w:right="357"/>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Dado en el Palacio del Poder Legislativo en la Ciudad de Toluca, Capital del Estado de México, a los días </w:t>
      </w:r>
      <w:r w:rsidRPr="007A27A5">
        <w:rPr>
          <w:rFonts w:ascii="Times New Roman" w:eastAsia="Arial MT" w:hAnsi="Times New Roman" w:cs="Times New Roman"/>
          <w:sz w:val="24"/>
          <w:szCs w:val="24"/>
          <w:u w:val="single"/>
        </w:rPr>
        <w:t xml:space="preserve">  </w:t>
      </w:r>
      <w:r w:rsidRPr="007A27A5">
        <w:rPr>
          <w:rFonts w:ascii="Times New Roman" w:eastAsia="Arial MT" w:hAnsi="Times New Roman" w:cs="Times New Roman"/>
          <w:sz w:val="24"/>
          <w:szCs w:val="24"/>
        </w:rPr>
        <w:t xml:space="preserve"> del mes de </w:t>
      </w:r>
      <w:r w:rsidRPr="007A27A5">
        <w:rPr>
          <w:rFonts w:ascii="Times New Roman" w:eastAsia="Arial MT" w:hAnsi="Times New Roman" w:cs="Times New Roman"/>
          <w:sz w:val="24"/>
          <w:szCs w:val="24"/>
          <w:u w:val="single"/>
        </w:rPr>
        <w:t xml:space="preserve">   </w:t>
      </w:r>
      <w:r w:rsidRPr="007A27A5">
        <w:rPr>
          <w:rFonts w:ascii="Times New Roman" w:eastAsia="Arial MT" w:hAnsi="Times New Roman" w:cs="Times New Roman"/>
          <w:sz w:val="24"/>
          <w:szCs w:val="24"/>
        </w:rPr>
        <w:t xml:space="preserve"> </w:t>
      </w:r>
      <w:proofErr w:type="spellStart"/>
      <w:r w:rsidRPr="007A27A5">
        <w:rPr>
          <w:rFonts w:ascii="Times New Roman" w:eastAsia="Arial MT" w:hAnsi="Times New Roman" w:cs="Times New Roman"/>
          <w:sz w:val="24"/>
          <w:szCs w:val="24"/>
        </w:rPr>
        <w:t>de</w:t>
      </w:r>
      <w:proofErr w:type="spellEnd"/>
      <w:r w:rsidRPr="007A27A5">
        <w:rPr>
          <w:rFonts w:ascii="Times New Roman" w:eastAsia="Arial MT" w:hAnsi="Times New Roman" w:cs="Times New Roman"/>
          <w:sz w:val="24"/>
          <w:szCs w:val="24"/>
        </w:rPr>
        <w:t xml:space="preserve"> dos mil veinticinco.</w:t>
      </w:r>
    </w:p>
    <w:p w:rsidR="0051201E" w:rsidRPr="007A27A5" w:rsidRDefault="0051201E" w:rsidP="00A01B62">
      <w:pPr>
        <w:spacing w:after="0" w:line="240" w:lineRule="auto"/>
        <w:jc w:val="center"/>
        <w:rPr>
          <w:rFonts w:ascii="Times New Roman" w:hAnsi="Times New Roman"/>
          <w:sz w:val="24"/>
          <w:szCs w:val="24"/>
        </w:rPr>
      </w:pPr>
    </w:p>
    <w:p w:rsidR="0051201E" w:rsidRPr="007A27A5" w:rsidRDefault="0051201E" w:rsidP="00A01B62">
      <w:pPr>
        <w:spacing w:after="0" w:line="240" w:lineRule="auto"/>
        <w:jc w:val="center"/>
        <w:rPr>
          <w:rFonts w:ascii="Times New Roman" w:hAnsi="Times New Roman"/>
          <w:i/>
          <w:sz w:val="24"/>
          <w:szCs w:val="24"/>
        </w:rPr>
      </w:pPr>
      <w:r w:rsidRPr="007A27A5">
        <w:rPr>
          <w:rFonts w:ascii="Times New Roman" w:hAnsi="Times New Roman"/>
          <w:i/>
          <w:sz w:val="24"/>
          <w:szCs w:val="24"/>
        </w:rPr>
        <w:t>(Fin del documento)</w:t>
      </w:r>
    </w:p>
    <w:p w:rsidR="0051201E" w:rsidRPr="007A27A5" w:rsidRDefault="0051201E" w:rsidP="00A01B62">
      <w:pPr>
        <w:spacing w:after="0" w:line="240" w:lineRule="auto"/>
        <w:jc w:val="center"/>
        <w:rPr>
          <w:rFonts w:ascii="Times New Roman" w:hAnsi="Times New Roman"/>
          <w:sz w:val="24"/>
          <w:szCs w:val="24"/>
        </w:rPr>
      </w:pPr>
    </w:p>
    <w:p w:rsidR="007C2166" w:rsidRPr="007A27A5" w:rsidRDefault="007C2166" w:rsidP="007C2166">
      <w:pPr>
        <w:pStyle w:val="Sinespaciado"/>
        <w:rPr>
          <w:lang w:eastAsia="es-MX"/>
        </w:rPr>
      </w:pPr>
      <w:r w:rsidRPr="007A27A5">
        <w:rPr>
          <w:lang w:eastAsia="es-MX"/>
        </w:rPr>
        <w:t>PRESIDENTA DIP. MARTHA AZUCENA CAMACHO REYNOSO. Gracias diputado Héctor Raúl García González.</w:t>
      </w:r>
    </w:p>
    <w:p w:rsidR="007C2166" w:rsidRPr="007A27A5" w:rsidRDefault="007C2166" w:rsidP="004C2A73">
      <w:pPr>
        <w:pStyle w:val="Sinespaciado"/>
        <w:ind w:firstLine="709"/>
        <w:rPr>
          <w:lang w:eastAsia="es-MX"/>
        </w:rPr>
      </w:pPr>
      <w:r w:rsidRPr="007A27A5">
        <w:rPr>
          <w:lang w:eastAsia="es-MX"/>
        </w:rPr>
        <w:t xml:space="preserve">Se registra la iniciativa y se remite a la Comisión Legislativa de Gobernación y Puntos Constitucionales para su estudio y dictamen. </w:t>
      </w:r>
    </w:p>
    <w:p w:rsidR="007C2166" w:rsidRPr="007A27A5" w:rsidRDefault="007C2166" w:rsidP="004C2A73">
      <w:pPr>
        <w:pStyle w:val="Sinespaciado"/>
        <w:ind w:firstLine="709"/>
        <w:rPr>
          <w:lang w:eastAsia="es-MX"/>
        </w:rPr>
      </w:pPr>
      <w:r w:rsidRPr="007A27A5">
        <w:rPr>
          <w:lang w:eastAsia="es-MX"/>
        </w:rPr>
        <w:t>Esta “LXII” Legislatura le da la más cordial bienvenida a todos y cada uno de nuestros floricultores del Municipio de Villa Guerrero, sean todos ustedes bienvenidos a esta su casa, la casa de todos ustedes, muchas gracias. Diputada María José Pérez Domínguez ¿Con qué objeto?</w:t>
      </w:r>
    </w:p>
    <w:p w:rsidR="007C2166" w:rsidRPr="007A27A5" w:rsidRDefault="007C2166" w:rsidP="007C2166">
      <w:pPr>
        <w:pStyle w:val="Sinespaciado"/>
        <w:rPr>
          <w:lang w:eastAsia="es-MX"/>
        </w:rPr>
      </w:pPr>
      <w:r w:rsidRPr="007A27A5">
        <w:rPr>
          <w:lang w:eastAsia="es-MX"/>
        </w:rPr>
        <w:t>DIP. MARÍA JOSÉ PÉREZ DOMÍNGUEZ</w:t>
      </w:r>
      <w:r w:rsidR="005A1369" w:rsidRPr="007A27A5">
        <w:rPr>
          <w:lang w:eastAsia="es-MX"/>
        </w:rPr>
        <w:t xml:space="preserve"> (Desde su curul)</w:t>
      </w:r>
      <w:r w:rsidRPr="007A27A5">
        <w:rPr>
          <w:lang w:eastAsia="es-MX"/>
        </w:rPr>
        <w:t xml:space="preserve">. Sí, Presidenta para </w:t>
      </w:r>
      <w:r w:rsidR="00F027AC" w:rsidRPr="007A27A5">
        <w:rPr>
          <w:lang w:eastAsia="es-MX"/>
        </w:rPr>
        <w:t>hechos</w:t>
      </w:r>
      <w:r w:rsidRPr="007A27A5">
        <w:rPr>
          <w:lang w:eastAsia="es-MX"/>
        </w:rPr>
        <w:t>.</w:t>
      </w:r>
    </w:p>
    <w:p w:rsidR="007C2166" w:rsidRPr="007A27A5" w:rsidRDefault="007C2166" w:rsidP="007C2166">
      <w:pPr>
        <w:pStyle w:val="Sinespaciado"/>
        <w:rPr>
          <w:lang w:eastAsia="es-MX"/>
        </w:rPr>
      </w:pPr>
      <w:r w:rsidRPr="007A27A5">
        <w:rPr>
          <w:lang w:eastAsia="es-MX"/>
        </w:rPr>
        <w:t>PRESIDENTA DIP. MARTHA AZUCENA CAMACHO REYNOSO. Adelante.</w:t>
      </w:r>
    </w:p>
    <w:p w:rsidR="007C2166" w:rsidRPr="007A27A5" w:rsidRDefault="007C2166" w:rsidP="007C2166">
      <w:pPr>
        <w:pStyle w:val="Sinespaciado"/>
        <w:rPr>
          <w:lang w:eastAsia="es-MX"/>
        </w:rPr>
      </w:pPr>
      <w:r w:rsidRPr="007A27A5">
        <w:rPr>
          <w:lang w:eastAsia="es-MX"/>
        </w:rPr>
        <w:t>DIP. MARÍA JOSÉ PÉREZ DOMÍNGUEZ</w:t>
      </w:r>
      <w:r w:rsidR="005A1369" w:rsidRPr="007A27A5">
        <w:rPr>
          <w:lang w:eastAsia="es-MX"/>
        </w:rPr>
        <w:t xml:space="preserve"> (Desde su curul)</w:t>
      </w:r>
      <w:r w:rsidRPr="007A27A5">
        <w:rPr>
          <w:lang w:eastAsia="es-MX"/>
        </w:rPr>
        <w:t>. Sí.</w:t>
      </w:r>
    </w:p>
    <w:p w:rsidR="007C2166" w:rsidRPr="004F1E01" w:rsidRDefault="007C2166" w:rsidP="004C2A73">
      <w:pPr>
        <w:pStyle w:val="Sinespaciado"/>
        <w:ind w:firstLine="993"/>
        <w:rPr>
          <w:rFonts w:eastAsia="Times New Roman"/>
          <w:lang w:eastAsia="es-MX"/>
        </w:rPr>
      </w:pPr>
      <w:r w:rsidRPr="007A27A5">
        <w:rPr>
          <w:rFonts w:eastAsia="Times New Roman"/>
          <w:lang w:eastAsia="es-MX"/>
        </w:rPr>
        <w:t xml:space="preserve">Quisiera hacer una, felicitar a mi compañero por esta iniciativa y también recordar que no solamente la zona sur es productora de floricultores, o sea, digo, no tiene una zona de floricultores, también Texcoco, tenemos una muy importante zona de floricultores en la montaña, somos principales productores de Nochebuena y de Cempasúchil a nivel nacional y así también está Atlacomulco, está Valle de Bravo; entonces, la verdad quisiéramos anexar; quisiera yo anexarme a su propuesta, si me permite y de </w:t>
      </w:r>
      <w:r w:rsidRPr="004F1E01">
        <w:rPr>
          <w:rFonts w:eastAsia="Times New Roman"/>
          <w:lang w:eastAsia="es-MX"/>
        </w:rPr>
        <w:t>verdad reconocer esta labor tan incansable que hacen, efectivamente, traen, además, desafortunadamente, los químicos a veces que utilizan les causan a ellos problemas ya de salud.</w:t>
      </w:r>
    </w:p>
    <w:p w:rsidR="007C2166" w:rsidRPr="004F1E01" w:rsidRDefault="007C2166" w:rsidP="004C2A73">
      <w:pPr>
        <w:pStyle w:val="Sinespaciado"/>
        <w:ind w:firstLine="993"/>
        <w:rPr>
          <w:rFonts w:eastAsia="Times New Roman"/>
          <w:lang w:eastAsia="es-MX"/>
        </w:rPr>
      </w:pPr>
      <w:r w:rsidRPr="004F1E01">
        <w:rPr>
          <w:rFonts w:eastAsia="Times New Roman"/>
          <w:lang w:eastAsia="es-MX"/>
        </w:rPr>
        <w:t>Entonces sí reconocerlo; pero también buscar alternativas para apoyarle, apoyar, o sea que parte del presupuesto también se enfoque en buscar alternativas para solventar esta situación que tienen ellos al utilizar fertilizantes y abono que les causan efectos nocivos para la salud a largo plazo; entonces, si me permite, me voy a unir a su iniciativa.</w:t>
      </w:r>
    </w:p>
    <w:p w:rsidR="007C2166" w:rsidRPr="004F1E01" w:rsidRDefault="007C2166" w:rsidP="004C2A73">
      <w:pPr>
        <w:pStyle w:val="Sinespaciado"/>
        <w:ind w:firstLine="993"/>
        <w:rPr>
          <w:rFonts w:eastAsia="Times New Roman"/>
          <w:lang w:eastAsia="es-MX"/>
        </w:rPr>
      </w:pPr>
      <w:r w:rsidRPr="004F1E01">
        <w:rPr>
          <w:rFonts w:eastAsia="Times New Roman"/>
          <w:lang w:eastAsia="es-MX"/>
        </w:rPr>
        <w:t>Muchas gracias. Gracias Presidenta.</w:t>
      </w:r>
    </w:p>
    <w:p w:rsidR="007C2166" w:rsidRPr="004F1E01" w:rsidRDefault="007C2166" w:rsidP="007C2166">
      <w:pPr>
        <w:pStyle w:val="Sinespaciado"/>
        <w:rPr>
          <w:rFonts w:eastAsia="Times New Roman"/>
          <w:lang w:eastAsia="es-MX"/>
        </w:rPr>
      </w:pPr>
      <w:r w:rsidRPr="004F1E01">
        <w:rPr>
          <w:lang w:eastAsia="es-MX"/>
        </w:rPr>
        <w:lastRenderedPageBreak/>
        <w:t xml:space="preserve">PRESIDENTA DIP. MARTHA AZUCENA CAMACHO REYNOSO. </w:t>
      </w:r>
      <w:r w:rsidRPr="004F1E01">
        <w:rPr>
          <w:rFonts w:eastAsia="Times New Roman"/>
          <w:lang w:eastAsia="es-MX"/>
        </w:rPr>
        <w:t>Gracias diputada María José.</w:t>
      </w:r>
    </w:p>
    <w:p w:rsidR="007C2166" w:rsidRPr="004F1E01" w:rsidRDefault="007C2166" w:rsidP="004C2A73">
      <w:pPr>
        <w:pStyle w:val="Sinespaciado"/>
        <w:ind w:firstLine="709"/>
        <w:rPr>
          <w:rFonts w:eastAsia="Times New Roman"/>
          <w:lang w:eastAsia="es-MX"/>
        </w:rPr>
      </w:pPr>
      <w:r w:rsidRPr="004F1E01">
        <w:rPr>
          <w:rFonts w:eastAsia="Times New Roman"/>
          <w:lang w:eastAsia="es-MX"/>
        </w:rPr>
        <w:t xml:space="preserve">En términos del punto 14, el diputado Óscar González Yáñez, presenta en nombre del Grupo Parlamentario del Partido del Trabajo, iniciativa de reforma a los artículos 28, 73 fracción XXII y 115 de la Constitución Política de los Estados Unidos Mexicanos, sobre el cobro de impuestos al posteado, cableado y ductos subterráneos de telecomunicaciones y de las adecuaciones a la Ley Federal de Telecomunicaciones y a la Ley de Coordinación Fiscal, para que en los Estados y Municipios puedan establecer contribuciones; así como la reforma y adición a diversas disposiciones del Código Financiero del Estado de México y Municipios de la Ley Orgánica Municipal del Estado de México y Municipios y de la Ley de Ingresos del Estado de México y Municipios sobre el derecho por uso de bienes del dominio público para infraestructura de telecomunicaciones y radiodifusión e integrarlo al Código Financiero del Estado de México y Municipios. </w:t>
      </w:r>
    </w:p>
    <w:p w:rsidR="007C2166" w:rsidRPr="004F1E01" w:rsidRDefault="007C2166" w:rsidP="007C2166">
      <w:pPr>
        <w:pStyle w:val="Sinespaciado"/>
        <w:rPr>
          <w:rFonts w:eastAsia="Times New Roman"/>
          <w:lang w:eastAsia="es-MX"/>
        </w:rPr>
      </w:pPr>
      <w:r w:rsidRPr="004F1E01">
        <w:rPr>
          <w:rFonts w:eastAsia="Times New Roman"/>
          <w:lang w:eastAsia="es-MX"/>
        </w:rPr>
        <w:t>DIP. ÓSCAR GONZÁLEZ YÁÑEZ. Con el permiso de la Presidencia, muchas gracias.</w:t>
      </w:r>
    </w:p>
    <w:p w:rsidR="007C2166" w:rsidRPr="004F1E01" w:rsidRDefault="007C2166" w:rsidP="004C2A73">
      <w:pPr>
        <w:pStyle w:val="Sinespaciado"/>
        <w:ind w:firstLine="709"/>
        <w:rPr>
          <w:rFonts w:eastAsia="Times New Roman"/>
          <w:lang w:eastAsia="es-MX"/>
        </w:rPr>
      </w:pPr>
      <w:r w:rsidRPr="004F1E01">
        <w:rPr>
          <w:rFonts w:eastAsia="Times New Roman"/>
          <w:lang w:eastAsia="es-MX"/>
        </w:rPr>
        <w:t xml:space="preserve">Había una vez, un presidente de la </w:t>
      </w:r>
      <w:r w:rsidRPr="004F1E01">
        <w:t>República, llamado Carlos Salinas de Gortari, había una vez, podemos escribir hasta una novela y un cuento, lo malo es que los cuentos y las novelas, se alejan de la realidad y esta es una realidad concreta que ha empobrecido nuestro país.</w:t>
      </w:r>
    </w:p>
    <w:p w:rsidR="000C639D" w:rsidRPr="004F1E01" w:rsidRDefault="000C639D" w:rsidP="000C639D">
      <w:pPr>
        <w:spacing w:after="0" w:line="240" w:lineRule="auto"/>
        <w:jc w:val="both"/>
        <w:rPr>
          <w:rFonts w:ascii="Times New Roman" w:hAnsi="Times New Roman" w:cs="Times New Roman"/>
          <w:sz w:val="24"/>
          <w:szCs w:val="24"/>
        </w:rPr>
      </w:pPr>
      <w:r w:rsidRPr="004F1E01">
        <w:rPr>
          <w:rFonts w:ascii="Times New Roman" w:hAnsi="Times New Roman" w:cs="Times New Roman"/>
          <w:sz w:val="24"/>
          <w:szCs w:val="24"/>
        </w:rPr>
        <w:tab/>
        <w:t>En 1990 se desincorporó o se privatizó la empresa mexicana más rentable en ese momento que era Teléfonos Mexicanos y se hizo para buscar que la deuda mexicana fuera disminuyendo, para eso se hizo, igual que satélite, igual que ferrocarriles; hoy no tenemos ferrocarriles, salvo los que ha promovido nuestro compañero Andrés Manuel López Obrador, no tenemos satélites, no tenemos Telmex, no tenemos FERTIMEX y seguimos teniendo más deuda que la que teníamos en ese entonces, o sea, ese intento fue un intento fallido que se acerca más que a un intento de ayudar a la ergonomía mexicana, se acerca más a la corrupción de ese sexenio.</w:t>
      </w:r>
    </w:p>
    <w:p w:rsidR="000C639D" w:rsidRPr="004F1E01" w:rsidRDefault="000C639D" w:rsidP="000C639D">
      <w:pPr>
        <w:pStyle w:val="Sinespaciado"/>
      </w:pPr>
      <w:r w:rsidRPr="004F1E01">
        <w:tab/>
        <w:t>La Suprema Corte no sé cómo llamarle; pero la Suprema Corte del régimen pasado, apenas ahora, un mes antes de salir falló a favor del señor Carlos Slim y de Telmex, que no se le podían cobrar impuestos a la infraestructura de Teléfonos de México, que no se les podía cobrar, simplemente, a un mes de salir.</w:t>
      </w:r>
    </w:p>
    <w:p w:rsidR="000C639D" w:rsidRPr="004F1E01" w:rsidRDefault="000C639D" w:rsidP="004C2A73">
      <w:pPr>
        <w:pStyle w:val="Sinespaciado"/>
        <w:ind w:firstLine="709"/>
      </w:pPr>
      <w:r w:rsidRPr="004F1E01">
        <w:t>Para aquellos que piensan que cuando nosotros hablamos que el reducto de los neoliberales era la Suprema Corte, esta es una prueba tangible y si bien es cierto pudiéramos decir que la reforma al Poder Judicial no es la más exacta o la que más gustó; pero este tipo de cosas son las que hacen que se modifiquen, este tipo de cosas; así como el fallo que dio la actual Suprema Corte en contra de una televisora, 41 mil millones de pesos.</w:t>
      </w:r>
    </w:p>
    <w:p w:rsidR="000C639D" w:rsidRPr="004F1E01" w:rsidRDefault="000C639D" w:rsidP="000C639D">
      <w:pPr>
        <w:pStyle w:val="Sinespaciado"/>
      </w:pPr>
      <w:r w:rsidRPr="004F1E01">
        <w:tab/>
        <w:t>En el Estado de México hay alrededor de un millón 650 mil postes telefónicos, todos los que ven que son de madera, hay poco más de 100 mil casetas telefónicas, en nuestro Estado y estos señores no solamente no pagan impuestos; sino subarriendan la estructura, a las televisoras, a las cableras, les rentan sus postes y entonces por ende se convierten en una cadena de que no pagan impuestos ellos y tampoco las cableras, ni las de internet, luego, tienen casetas telefónicas en las banquetas de nuestros municipios que no permiten ni siquiera que pase una persona con discapacidad y cobran por tener publicidad ahí en esas casetas y dicen que no tienen que pagar impuestos.</w:t>
      </w:r>
    </w:p>
    <w:p w:rsidR="000C639D" w:rsidRPr="004F1E01" w:rsidRDefault="000C639D" w:rsidP="000C639D">
      <w:pPr>
        <w:pStyle w:val="Sinespaciado"/>
      </w:pPr>
      <w:r w:rsidRPr="004F1E01">
        <w:tab/>
        <w:t xml:space="preserve">Nosotros no estamos buscando que paguen impuestos porque es un acuerdo que se hizo con nuestra Gobernadora, no aumentar los impuestos; pero sí les podemos cobrar derechos, derechos sí se los podemos cobrar y sí les cobráramos 3 pesos, 3 pesos al día ¿Cuánto creen ustedes que le cobran algunos municipios, no todos, le cobran a una persona que vende papas afuera de una escuela? Le cobra 15, 20 pesos, 30; nosotros estamos planteando que se cobren 3 pesos por poste, que es una solicitud bastante amable ¿Cuánto cobra el señor Slim por una llamada? Si es de prepago cuesta 4 pesos, en consecuencia, costaría una llamada y si hay en nuestro país 75 mil millones de </w:t>
      </w:r>
      <w:r w:rsidRPr="004F1E01">
        <w:lastRenderedPageBreak/>
        <w:t>teléfonos celulares, no le va a costar nada, le va a costar una llamada entonces no tiene ningún problema.</w:t>
      </w:r>
    </w:p>
    <w:p w:rsidR="000C639D" w:rsidRPr="004F1E01" w:rsidRDefault="000C639D" w:rsidP="004C2A73">
      <w:pPr>
        <w:pStyle w:val="Sinespaciado"/>
        <w:ind w:firstLine="851"/>
      </w:pPr>
      <w:r w:rsidRPr="004F1E01">
        <w:t>Entonces lo que estamos planteando es que se les pueda cobrar derechos, quiero llamar la atención en esto porque lo podríamos hacer para este año si lo incorporamos en el Código Financiero de este año y entonces le daríamos a nuestros municipios poco más, bueno, municipios y Estado, dependiendo si la infraestructura está en un área estatal o municipal, dependiendo y estaríamos hablando de poco más de 2 mil 500 millones de pesos, 2 mil 500 millones de pesos al año, prácticamente una cuarta parte de lo que tenemos que subsidiar al ISSEMYM.</w:t>
      </w:r>
    </w:p>
    <w:p w:rsidR="000C639D" w:rsidRPr="004F1E01" w:rsidRDefault="000C639D" w:rsidP="004C2A73">
      <w:pPr>
        <w:pStyle w:val="Sinespaciado"/>
        <w:ind w:firstLine="851"/>
      </w:pPr>
      <w:r w:rsidRPr="004F1E01">
        <w:t>Lo que tenemos que hacer nosotros es fortalecer las finanzas de nuestros municipios y del Estado y no permitir que personas como el señor Slim o Grupo Carso o como cada quien lo quiera ver, sigan haciéndose ricos gracias a patrañas legales coludidos con la Suprema Corte, la anterior, la anterior y que no paguen impuestos, de qué privilegio gozan ellos, de que no paguen impuestos.</w:t>
      </w:r>
    </w:p>
    <w:p w:rsidR="000C639D" w:rsidRPr="004F1E01" w:rsidRDefault="000C639D" w:rsidP="004C2A73">
      <w:pPr>
        <w:pStyle w:val="Sinespaciado"/>
        <w:ind w:firstLine="851"/>
      </w:pPr>
      <w:r w:rsidRPr="004F1E01">
        <w:t>Pero en fin, para no meternos nosotros en el problema legal, lo que estamos planteando es que se puedan cobrar derechos y que cada municipio haga su levantamiento, porque cada municipio va a estar en consideración diferente, ejemplo son 350 mil postes telefónicos en zonas rurales y un millón 300 en zonas urbanas y ahí están contaminando el espacio aéreo visual de todos los ciudadanos de nuestro Estado, destruyendo nuestra infraestructura, estorbando a, hay gente que no puede usar una silla de ruedas porque está el poste ahí y no quieren pagar ni 3 pesos al día.</w:t>
      </w:r>
    </w:p>
    <w:p w:rsidR="000C639D" w:rsidRPr="004F1E01" w:rsidRDefault="000C639D" w:rsidP="004C2A73">
      <w:pPr>
        <w:pStyle w:val="Sinespaciado"/>
        <w:ind w:firstLine="851"/>
      </w:pPr>
      <w:r w:rsidRPr="004F1E01">
        <w:t>Cuando logramos hacer, esta telefónica logró hacer al hombre más rico del mundo, explicaciones más o explicaciones menos podríamos dar, lo cierto es que es de justicia que puedan pagar y que nosotros estamos obligados a tener la imaginación y la fortaleza política, en el momento en que lo hagamos nosotros en el Estado de México se va a hacer en todo el país y estaríamos automáticamente fortaleciendo todas las finanzas de todo el país. ¿A costa de qué? Pues, de señores que sacan el acuerdo en la Suprema Corte de no pagar impuestos.</w:t>
      </w:r>
    </w:p>
    <w:p w:rsidR="000C639D" w:rsidRPr="004F1E01" w:rsidRDefault="000C639D" w:rsidP="004C2A73">
      <w:pPr>
        <w:pStyle w:val="Sinespaciado"/>
        <w:ind w:firstLine="851"/>
      </w:pPr>
      <w:r w:rsidRPr="004F1E01">
        <w:t>Vayan ustedes y ampárense de que no van a pagar tenencia y la Suprema Corte te va a decir no, tienes que pagar y estos señores de qué privilegio gozan, de qué privilegios gozas; son rémoras del pasado, por eso les decía e iniciaba mi intervención y con esto termino diciéndoles.</w:t>
      </w:r>
    </w:p>
    <w:p w:rsidR="000C639D" w:rsidRPr="004F1E01" w:rsidRDefault="000C639D" w:rsidP="004C2A73">
      <w:pPr>
        <w:pStyle w:val="Sinespaciado"/>
        <w:ind w:firstLine="851"/>
      </w:pPr>
      <w:r w:rsidRPr="004F1E01">
        <w:t>Había una vez, pero hoy yo quisiera que alguna vez alguien se subiera a esta tribuna dentro de 10, 15 o 20 años, que dijeran; había una vez una Legislatura que se atrevió, una Legislatura de la Cuarta Transformación que se atrevió a enfrentar a los Oligopolios de nuestro querido país, ojalá y que los 75 nombres de nuestro Congreso brillen en las conciencias de muchos seres humanos de nuestro país, que digan: “los del Estado de México sí se atreven, si se echan para adelante y enfrentan a la gran burguesía de nuestro país”. Esa es la 4T. Esa es a la que yo quisiera que aspiramos.</w:t>
      </w:r>
    </w:p>
    <w:p w:rsidR="000C639D" w:rsidRPr="004F1E01" w:rsidRDefault="000C639D" w:rsidP="004C2A73">
      <w:pPr>
        <w:pStyle w:val="Sinespaciado"/>
        <w:ind w:firstLine="851"/>
      </w:pPr>
      <w:r w:rsidRPr="004F1E01">
        <w:t>Muchas gracias.</w:t>
      </w:r>
    </w:p>
    <w:p w:rsidR="006C68BD" w:rsidRPr="004F1E01" w:rsidRDefault="006C68BD" w:rsidP="00A01B62">
      <w:pPr>
        <w:pStyle w:val="Sinespaciado"/>
      </w:pPr>
    </w:p>
    <w:p w:rsidR="006C68BD" w:rsidRPr="004F1E01" w:rsidRDefault="006C68BD" w:rsidP="00A01B62">
      <w:pPr>
        <w:spacing w:after="0" w:line="240" w:lineRule="auto"/>
        <w:jc w:val="center"/>
        <w:rPr>
          <w:rFonts w:ascii="Times New Roman" w:hAnsi="Times New Roman"/>
          <w:i/>
          <w:sz w:val="24"/>
          <w:szCs w:val="24"/>
        </w:rPr>
      </w:pPr>
      <w:r w:rsidRPr="004F1E01">
        <w:rPr>
          <w:rFonts w:ascii="Times New Roman" w:hAnsi="Times New Roman"/>
          <w:i/>
          <w:sz w:val="24"/>
          <w:szCs w:val="24"/>
        </w:rPr>
        <w:t>(Se inserta documento)</w:t>
      </w:r>
    </w:p>
    <w:p w:rsidR="006C68BD" w:rsidRPr="004F1E01" w:rsidRDefault="006C68BD" w:rsidP="00A01B62">
      <w:pPr>
        <w:spacing w:after="0" w:line="240" w:lineRule="auto"/>
        <w:jc w:val="center"/>
        <w:rPr>
          <w:rFonts w:ascii="Times New Roman" w:hAnsi="Times New Roman"/>
          <w:sz w:val="24"/>
          <w:szCs w:val="24"/>
        </w:rPr>
      </w:pPr>
    </w:p>
    <w:p w:rsidR="006C68BD" w:rsidRPr="004F1E01" w:rsidRDefault="006C68BD" w:rsidP="006C68BD">
      <w:pPr>
        <w:spacing w:after="0" w:line="240" w:lineRule="auto"/>
        <w:jc w:val="center"/>
        <w:rPr>
          <w:rFonts w:ascii="Times New Roman" w:eastAsia="Times New Roman" w:hAnsi="Times New Roman" w:cs="Times New Roman"/>
          <w:b/>
          <w:sz w:val="24"/>
          <w:szCs w:val="24"/>
        </w:rPr>
      </w:pPr>
      <w:r w:rsidRPr="004F1E01">
        <w:rPr>
          <w:rFonts w:ascii="Times New Roman" w:eastAsia="Times New Roman" w:hAnsi="Times New Roman" w:cs="Times New Roman"/>
          <w:b/>
          <w:sz w:val="24"/>
          <w:szCs w:val="24"/>
        </w:rPr>
        <w:t>Dip. Óscar González Yáñez</w:t>
      </w:r>
    </w:p>
    <w:p w:rsidR="006C68BD" w:rsidRPr="004F1E01" w:rsidRDefault="006C68BD" w:rsidP="006C68BD">
      <w:pPr>
        <w:spacing w:after="0" w:line="240" w:lineRule="auto"/>
        <w:jc w:val="center"/>
        <w:rPr>
          <w:rFonts w:ascii="Times New Roman" w:eastAsia="Times New Roman" w:hAnsi="Times New Roman" w:cs="Times New Roman"/>
          <w:sz w:val="24"/>
          <w:szCs w:val="24"/>
        </w:rPr>
      </w:pPr>
      <w:r w:rsidRPr="004F1E01">
        <w:rPr>
          <w:rFonts w:ascii="Times New Roman" w:eastAsia="Times New Roman" w:hAnsi="Times New Roman" w:cs="Times New Roman"/>
          <w:sz w:val="24"/>
          <w:szCs w:val="24"/>
        </w:rPr>
        <w:t>Coordinador del Grupo Parlamentario del Partido del Trabajo</w:t>
      </w:r>
    </w:p>
    <w:p w:rsidR="006C68BD" w:rsidRPr="004F1E01" w:rsidRDefault="006C68BD" w:rsidP="006C68BD">
      <w:pPr>
        <w:spacing w:after="0" w:line="240" w:lineRule="auto"/>
        <w:rPr>
          <w:rFonts w:ascii="Times New Roman" w:eastAsia="Calibri" w:hAnsi="Times New Roman" w:cs="Times New Roman"/>
          <w:b/>
          <w:sz w:val="24"/>
          <w:szCs w:val="24"/>
        </w:rPr>
      </w:pPr>
    </w:p>
    <w:p w:rsidR="006C68BD" w:rsidRPr="004F1E01" w:rsidRDefault="006C68BD" w:rsidP="006C68BD">
      <w:pPr>
        <w:spacing w:after="0" w:line="240" w:lineRule="auto"/>
        <w:jc w:val="center"/>
        <w:rPr>
          <w:rFonts w:ascii="Times New Roman" w:eastAsia="Calibri" w:hAnsi="Times New Roman" w:cs="Times New Roman"/>
          <w:sz w:val="24"/>
          <w:szCs w:val="24"/>
        </w:rPr>
      </w:pPr>
      <w:r w:rsidRPr="004F1E01">
        <w:rPr>
          <w:rFonts w:ascii="Times New Roman" w:eastAsia="Calibri" w:hAnsi="Times New Roman" w:cs="Times New Roman"/>
          <w:b/>
          <w:sz w:val="24"/>
          <w:szCs w:val="24"/>
        </w:rPr>
        <w:t>“2025. Bicentenario de la vida Municipal en el Estado de México”</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Dip. Martha Azucena Camacho Reynoso</w:t>
      </w:r>
    </w:p>
    <w:p w:rsidR="006C68BD" w:rsidRPr="004F1E01" w:rsidRDefault="006C68BD" w:rsidP="006C68BD">
      <w:pPr>
        <w:spacing w:after="0" w:line="240" w:lineRule="auto"/>
        <w:jc w:val="both"/>
        <w:rPr>
          <w:rFonts w:ascii="Times New Roman" w:eastAsia="Calibri" w:hAnsi="Times New Roman" w:cs="Times New Roman"/>
          <w:b/>
          <w:sz w:val="24"/>
          <w:szCs w:val="24"/>
        </w:rPr>
      </w:pPr>
      <w:r w:rsidRPr="004F1E01">
        <w:rPr>
          <w:rFonts w:ascii="Times New Roman" w:eastAsia="Calibri" w:hAnsi="Times New Roman" w:cs="Times New Roman"/>
          <w:b/>
          <w:sz w:val="24"/>
          <w:szCs w:val="24"/>
        </w:rPr>
        <w:t>Presidenta de la Mesa Directiva</w:t>
      </w: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de la LXII Legislatura del Estado de México</w:t>
      </w: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Presente</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lastRenderedPageBreak/>
        <w:t xml:space="preserve">El que suscribe Diputado Óscar González  Yáñez, Integrante de la LXII Legislatura del Estado de México, del Grupo Parlamentario del Partido del Trabajo, con fundamento en lo dispuesto en los artículos 51, fracción II, de la Constitución Política del Estado  Libre y Soberano de México, y en el artículo 28, fracción I, de la Ley Orgánica del Poder Legislativo del Estado Libre y Soberano de México, someto a la consideración de esta asamblea la siguiente: </w:t>
      </w:r>
      <w:r w:rsidRPr="004F1E01">
        <w:rPr>
          <w:rFonts w:ascii="Times New Roman" w:eastAsia="Calibri" w:hAnsi="Times New Roman" w:cs="Times New Roman"/>
          <w:b/>
          <w:sz w:val="24"/>
          <w:szCs w:val="24"/>
        </w:rPr>
        <w:t xml:space="preserve">Iniciativa de reforma a los artículos 28, 73 fracción XVII y 115 de la Constitución Política de los Estados Unidos Mexicanos sobre el cobro de Impuestos al  posteado, cableado y ductos subterráneos de Telecomunicaciones y de las adecuaciones a la Ley Federal de Telecomunicaciones y la Ley de Coordinación Fiscal, para para que los Estados y Municipios puedan establecer contribuciones, así como, la reforma y adición a diversas disposiciones del Código financiero del Estado de México y municipios, de la Ley Orgánica Municipal del Estado de México y de la Ley de ingresos del Estado de México y municipios, sobre el Derecho por Uso de Bienes del Dominio Público para Infraestructura de Telecomunicaciones y Radiodifusión e integrarlo al Código Financiero del Estado de México y Municipios, </w:t>
      </w:r>
      <w:r w:rsidRPr="004F1E01">
        <w:rPr>
          <w:rFonts w:ascii="Times New Roman" w:eastAsia="Calibri" w:hAnsi="Times New Roman" w:cs="Times New Roman"/>
          <w:sz w:val="24"/>
          <w:szCs w:val="24"/>
        </w:rPr>
        <w:t>al tenor de los siguientes: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Antecedentes y exposición de motivos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En la Controversia Constitucional 60/2024 y casos relacionados, la Suprema Corte de Justicia de la Nación, determinó, el 17 de junio de 2025, que los congresos estatales y ayuntamientos no tienen competencia para legislar o imponer impuestos por la instalación de postes, antenas, cableado o ductos para servicios de telecomunicaciones y radiodifusión.</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Esto se basa en que las telecomunicaciones son un servicio público de interés general regulado exclusivamente por la Federación, conforme al artículo 28 de la CPEUM (que reserva al Congreso de la Unión la facultad de dictar leyes en esta materia) y el artículo 73, fracción XVII (que detalla las atribuciones legislativas federales en telecomunicaciones).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La decisión afecta a los 2,477 municipios del país y protege a las empresas privadas del sector de gravámenes locales que se consideraban excesivos o duplicados con los pagos federales por concesiones.</w:t>
      </w:r>
    </w:p>
    <w:p w:rsidR="006C68BD" w:rsidRPr="004F1E01" w:rsidRDefault="006C68BD" w:rsidP="006C68BD">
      <w:pPr>
        <w:spacing w:after="0" w:line="240" w:lineRule="auto"/>
        <w:jc w:val="both"/>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Empresas como Telcel, AT&amp;T y Telmex argumentaron que estos cobros locales (por "derechos de vía" o uso de suelo) obstaculizan el despliegue de infraestructura, especialmente en un momento en que la nueva Ley Federal de Telecomunicaciones y Radiodifusión (publicada en julio de 2025) promueve el soterramiento de cables para mejorar la estética urbana y la seguridad, lo que genera costos altos.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Pretendemos que los estados y municipios, que necesitan ingresos adicionales para financiar servicios públicos locales (como mantenimiento de vías públicas afectadas por la infraestructura) y aunque reciben participaciones federales derivadas de impuestos al sector, son insuficientes.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Esta propuesta busca equilibrar el federalismo fiscal, permitiendo contribuciones locales sin invadir competencias federales, en tanto se consume la reforma constitucional federal que impulsamos.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La iniciativa propone reformas específicas a la Constitución Política de los Estados en los artículos 28, 73 fracción XVII y 115.</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lastRenderedPageBreak/>
        <w:t>El espectro radioeléctrico se sigue reservado a la Federación. No se busca duplicidad de impuestos federales sino a los impactos territoriales específicos.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 xml:space="preserve">A la par de buscar una reforma de la Constitución Política de los Estados Unidos Mexicanos que de mayor fortaleza recaudadora a los municipios para atender las necesidades de la población, se adopta lo que establece la iniciativa que presentó el Poder Ejecutivo Federal el 23 de abril de 2025 al Senado de la República  , basada, a su vez, en las reformas constitucionales previas (publicadas el 20 de diciembre de 2024 a los artículos 6 y 28, que eliminan el Instituto Federal de Telecomunicaciones (IFT) órgano autónomo, y se realiza la transferencia de sus funciones a la </w:t>
      </w:r>
      <w:hyperlink r:id="rId44">
        <w:r w:rsidRPr="004F1E01">
          <w:rPr>
            <w:rFonts w:ascii="Times New Roman" w:eastAsia="Calibri" w:hAnsi="Times New Roman" w:cs="Times New Roman"/>
            <w:sz w:val="24"/>
            <w:szCs w:val="24"/>
          </w:rPr>
          <w:t>Agencia de Transformación Digital y Telecomunicaciones</w:t>
        </w:r>
      </w:hyperlink>
      <w:hyperlink r:id="rId45">
        <w:r w:rsidRPr="004F1E01">
          <w:rPr>
            <w:rFonts w:ascii="Times New Roman" w:eastAsia="Calibri" w:hAnsi="Times New Roman" w:cs="Times New Roman"/>
            <w:sz w:val="24"/>
            <w:szCs w:val="24"/>
          </w:rPr>
          <w:t xml:space="preserve"> (ATDT),</w:t>
        </w:r>
      </w:hyperlink>
      <w:r w:rsidRPr="004F1E01">
        <w:rPr>
          <w:rFonts w:ascii="Times New Roman" w:eastAsia="Calibri" w:hAnsi="Times New Roman" w:cs="Times New Roman"/>
          <w:sz w:val="24"/>
          <w:szCs w:val="24"/>
        </w:rPr>
        <w:t xml:space="preserve"> órgano del gobierno federal.</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Este cambio, entró en vigor el 17 de octubre de 2025 y publicado en el Diario Oficial de la Federación (DOF) el 16 de julio de 2025.</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Times New Roman" w:hAnsi="Times New Roman" w:cs="Times New Roman"/>
          <w:sz w:val="24"/>
          <w:szCs w:val="24"/>
        </w:rPr>
      </w:pPr>
      <w:r w:rsidRPr="004F1E01">
        <w:rPr>
          <w:rFonts w:ascii="Times New Roman" w:eastAsia="Calibri" w:hAnsi="Times New Roman" w:cs="Times New Roman"/>
          <w:sz w:val="24"/>
          <w:szCs w:val="24"/>
        </w:rPr>
        <w:t xml:space="preserve">Ley que, agrega una excepción que permita a estados y municipios establecer </w:t>
      </w:r>
      <w:r w:rsidRPr="004F1E01">
        <w:rPr>
          <w:rFonts w:ascii="Times New Roman" w:eastAsia="Calibri" w:hAnsi="Times New Roman" w:cs="Times New Roman"/>
          <w:b/>
          <w:sz w:val="24"/>
          <w:szCs w:val="24"/>
        </w:rPr>
        <w:t xml:space="preserve">“contribuciones por ocupación de dominio público" </w:t>
      </w:r>
      <w:r w:rsidRPr="004F1E01">
        <w:rPr>
          <w:rFonts w:ascii="Times New Roman" w:eastAsia="Calibri" w:hAnsi="Times New Roman" w:cs="Times New Roman"/>
          <w:sz w:val="24"/>
          <w:szCs w:val="24"/>
        </w:rPr>
        <w:t>en postes, ductos y cableado, coordinadamente con autoridad reguladora federal competente, ampliando facultades legislativas federales para evitar conflictos.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 xml:space="preserve">Además, </w:t>
      </w:r>
      <w:r w:rsidRPr="004F1E01">
        <w:rPr>
          <w:rFonts w:ascii="Times New Roman" w:eastAsia="Calibri" w:hAnsi="Times New Roman" w:cs="Times New Roman"/>
          <w:b/>
          <w:sz w:val="24"/>
          <w:szCs w:val="24"/>
        </w:rPr>
        <w:t>se adiciona la facultad a los ayuntamientos para cobrar derechos por el uso de suelo municipal en instalaciones de telecomunicaciones, con topes establecidos por ley federal, de tal suerte que se fortalece la autonomía municipal en hacienda pública.</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También implica una adecuación de la Ley Federal de Telecomunicaciones y Radiodifusión que incluya protocolos de coordinación con entidades locales en el despliegue de infraestructura, y un registro nacional de cobros para transparencia.</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De igual forma se promueve y facilita el soterramiento obligatorio, como una consecuencia de la reforma de 2025, sin elevar costos desproporcionados.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Finalmente, en el ámbito federal implica que la Ley de Coordinación Fiscal incluyan un fondo específico para compensar impactos locales de telecomunicaciones, y mecanismos de fiscalización conjunta para garantizar equidad en la distribución de ingresos y evitar litigios.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En otras palabras, nuestra iniciativa se encamina en 2 ámbitos: a) Impulsar nuevas Reformas Constitucionales y legales federales, y b) implementar, con base en las Reformas Constitucionales y legales ya aprobadas, reformas locales que nos permitan desde ya fortalecer la economía de los municipios.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En el ámbito federal, con fecha 17 de junio de 2025, la Suprema Corte declaró inconstitucionales las leyes municipales y estatales que pretendían cobrar impuestos o derechos por: instalación de postes, tendido de cableado, colocación de antenas y ductos para telecomunicaciones y radiodifusión, resultado de una Controversia Constitucional 60/2024 y acumuladas.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El fundamento legal es que actualmente la regulación de infraestructura de telecomunicaciones es competencia exclusiva del gobierno federal (artículos 6º y 28 de la Constitución). Es decir, los municipios solo pueden cobrar por servicios relacionados con propiedad inmobiliaria (licencias de construcción, uso de suelo), pero no por infraestructura federalizada.</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Times New Roman" w:hAnsi="Times New Roman" w:cs="Times New Roman"/>
          <w:sz w:val="24"/>
          <w:szCs w:val="24"/>
        </w:rPr>
      </w:pPr>
      <w:r w:rsidRPr="004F1E01">
        <w:rPr>
          <w:rFonts w:ascii="Times New Roman" w:eastAsia="Calibri" w:hAnsi="Times New Roman" w:cs="Times New Roman"/>
          <w:sz w:val="24"/>
          <w:szCs w:val="24"/>
        </w:rPr>
        <w:lastRenderedPageBreak/>
        <w:t>En México, el sector de telecomunicaciones está regulado por la Agencia de Transformación Digital y Telecomunicaciones (ATDT, antes IFT) y se divide principalmente en operadores móviles (MNO), operadores móviles virtuales (MVNO), proveedores de servicios fijos (telefonía, internet, TV de paga) y entidades públicas.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Según datos actualizados al tercer trimestre de 2025 (basados en el Banco de Información de Telecomunicaciones de la ATDT y reportes sectoriales), operan aproximadamente 250-300 empresas activas, con una concentración en unas 20-30 principales por ingresos y cobertura. El mercado es mayoritariamente privado (95-98%), con un rol creciente de entidades públicas en cobertura rural y red compartida. No hay un conteo oficial único (el ATDT reporta ~207 startups y operadores en Telecom en 2025), pero se estima:</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Segoe MDL2 Assets" w:hAnsi="Times New Roman" w:cs="Times New Roman"/>
          <w:sz w:val="24"/>
          <w:szCs w:val="24"/>
        </w:rPr>
        <w:t></w:t>
      </w:r>
      <w:r w:rsidRPr="004F1E01">
        <w:rPr>
          <w:rFonts w:ascii="Times New Roman" w:eastAsia="Segoe MDL2 Assets" w:hAnsi="Times New Roman" w:cs="Times New Roman"/>
          <w:sz w:val="24"/>
          <w:szCs w:val="24"/>
        </w:rPr>
        <w:tab/>
      </w:r>
      <w:r w:rsidRPr="004F1E01">
        <w:rPr>
          <w:rFonts w:ascii="Times New Roman" w:eastAsia="Calibri" w:hAnsi="Times New Roman" w:cs="Times New Roman"/>
          <w:sz w:val="24"/>
          <w:szCs w:val="24"/>
        </w:rPr>
        <w:t>Empresas Privadas: 245-295 (incluye MNO, MVNO y fijos). Dominan con 131.89 millones de suscriptores móviles en 2025.</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Segoe MDL2 Assets" w:hAnsi="Times New Roman" w:cs="Times New Roman"/>
          <w:sz w:val="24"/>
          <w:szCs w:val="24"/>
        </w:rPr>
        <w:t></w:t>
      </w:r>
      <w:r w:rsidRPr="004F1E01">
        <w:rPr>
          <w:rFonts w:ascii="Times New Roman" w:eastAsia="Segoe MDL2 Assets" w:hAnsi="Times New Roman" w:cs="Times New Roman"/>
          <w:sz w:val="24"/>
          <w:szCs w:val="24"/>
        </w:rPr>
        <w:tab/>
      </w:r>
      <w:r w:rsidRPr="004F1E01">
        <w:rPr>
          <w:rFonts w:ascii="Times New Roman" w:eastAsia="Calibri" w:hAnsi="Times New Roman" w:cs="Times New Roman"/>
          <w:sz w:val="24"/>
          <w:szCs w:val="24"/>
        </w:rPr>
        <w:t>Empresas Públicas: 5-10 (entidades estatales o mixtas con concesiones federales para servicios públicos).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Segoe MDL2 Assets" w:hAnsi="Times New Roman" w:cs="Times New Roman"/>
          <w:sz w:val="24"/>
          <w:szCs w:val="24"/>
        </w:rPr>
        <w:t></w:t>
      </w:r>
      <w:r w:rsidRPr="004F1E01">
        <w:rPr>
          <w:rFonts w:ascii="Times New Roman" w:eastAsia="Segoe MDL2 Assets" w:hAnsi="Times New Roman" w:cs="Times New Roman"/>
          <w:sz w:val="24"/>
          <w:szCs w:val="24"/>
        </w:rPr>
        <w:tab/>
      </w:r>
      <w:r w:rsidRPr="004F1E01">
        <w:rPr>
          <w:rFonts w:ascii="Times New Roman" w:eastAsia="Calibri" w:hAnsi="Times New Roman" w:cs="Times New Roman"/>
          <w:sz w:val="24"/>
          <w:szCs w:val="24"/>
        </w:rPr>
        <w:t>Concentración: 3 MNO controlan 95% del mercado móvil; fijos son más fragmentados (200+ proveedores locales).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Segoe MDL2 Assets" w:hAnsi="Times New Roman" w:cs="Times New Roman"/>
          <w:sz w:val="24"/>
          <w:szCs w:val="24"/>
        </w:rPr>
        <w:t></w:t>
      </w:r>
      <w:r w:rsidRPr="004F1E01">
        <w:rPr>
          <w:rFonts w:ascii="Times New Roman" w:eastAsia="Segoe MDL2 Assets" w:hAnsi="Times New Roman" w:cs="Times New Roman"/>
          <w:sz w:val="24"/>
          <w:szCs w:val="24"/>
        </w:rPr>
        <w:tab/>
      </w:r>
      <w:r w:rsidRPr="004F1E01">
        <w:rPr>
          <w:rFonts w:ascii="Times New Roman" w:eastAsia="Calibri" w:hAnsi="Times New Roman" w:cs="Times New Roman"/>
          <w:sz w:val="24"/>
          <w:szCs w:val="24"/>
        </w:rPr>
        <w:t>Públicas: Enfocadas en inclusión (ej. TIC para comunidades indígenas, Altán con 32% cobertura rural). CFE-TEIT ofrece servicios en zonas sin privados.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Segoe MDL2 Assets" w:hAnsi="Times New Roman" w:cs="Times New Roman"/>
          <w:sz w:val="24"/>
          <w:szCs w:val="24"/>
        </w:rPr>
        <w:t></w:t>
      </w:r>
      <w:r w:rsidRPr="004F1E01">
        <w:rPr>
          <w:rFonts w:ascii="Times New Roman" w:eastAsia="Segoe MDL2 Assets" w:hAnsi="Times New Roman" w:cs="Times New Roman"/>
          <w:sz w:val="24"/>
          <w:szCs w:val="24"/>
        </w:rPr>
        <w:tab/>
      </w:r>
      <w:r w:rsidRPr="004F1E01">
        <w:rPr>
          <w:rFonts w:ascii="Times New Roman" w:eastAsia="Calibri" w:hAnsi="Times New Roman" w:cs="Times New Roman"/>
          <w:sz w:val="24"/>
          <w:szCs w:val="24"/>
        </w:rPr>
        <w:t xml:space="preserve">Tendencias 2025: Aumento de MVNO (1.5M net </w:t>
      </w:r>
      <w:proofErr w:type="spellStart"/>
      <w:r w:rsidRPr="004F1E01">
        <w:rPr>
          <w:rFonts w:ascii="Times New Roman" w:eastAsia="Calibri" w:hAnsi="Times New Roman" w:cs="Times New Roman"/>
          <w:sz w:val="24"/>
          <w:szCs w:val="24"/>
        </w:rPr>
        <w:t>adds</w:t>
      </w:r>
      <w:proofErr w:type="spellEnd"/>
      <w:r w:rsidRPr="004F1E01">
        <w:rPr>
          <w:rFonts w:ascii="Times New Roman" w:eastAsia="Calibri" w:hAnsi="Times New Roman" w:cs="Times New Roman"/>
          <w:sz w:val="24"/>
          <w:szCs w:val="24"/>
        </w:rPr>
        <w:t xml:space="preserve"> Q1 2025) y 5G privado (16.9M conexiones proyectadas).</w:t>
      </w:r>
      <w:r w:rsidRPr="004F1E01">
        <w:rPr>
          <w:rFonts w:ascii="Times New Roman" w:eastAsia="Calibri" w:hAnsi="Times New Roman" w:cs="Times New Roman"/>
          <w:sz w:val="24"/>
          <w:szCs w:val="24"/>
          <w:vertAlign w:val="superscript"/>
        </w:rPr>
        <w:t>1</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Es de destacarse que las reformas de julio 2025 facilitan entrada de nuevos operadores.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En otras palabras, el no considerar impuestos en los territorios municipales por concepto de postes, ductos y cableado, beneficia sólo a las empresas privadas en detrimento de los municipios.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Una historia de ejemplo. En Amanalco de Becerra del Estado de México, con una población de 23 mil habitantes, se cristaliza esta injusta disposición jurídica.</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En diciembre de 2011, Teléfonos de México (TELMEX), multinacional con operaciones en 27 países, construía un tramo de su red de transporte con fibra óptica para reforzar su conectividad del centro del país con el Occidente por la ruta de Valle de Bravo y conectar igualmente a Amanalco, a las telecomunicaciones con servicios de voz fija e Internet.</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Times New Roman" w:hAnsi="Times New Roman" w:cs="Times New Roman"/>
          <w:sz w:val="20"/>
          <w:szCs w:val="24"/>
        </w:rPr>
      </w:pPr>
      <w:r w:rsidRPr="004F1E01">
        <w:rPr>
          <w:rFonts w:ascii="Times New Roman" w:eastAsia="Calibri" w:hAnsi="Times New Roman" w:cs="Times New Roman"/>
          <w:sz w:val="20"/>
          <w:szCs w:val="24"/>
          <w:vertAlign w:val="superscript"/>
        </w:rPr>
        <w:t>11</w:t>
      </w:r>
      <w:r w:rsidRPr="004F1E01">
        <w:rPr>
          <w:rFonts w:ascii="Times New Roman" w:eastAsia="Calibri" w:hAnsi="Times New Roman" w:cs="Times New Roman"/>
          <w:sz w:val="20"/>
          <w:szCs w:val="24"/>
        </w:rPr>
        <w:t xml:space="preserve"> </w:t>
      </w:r>
      <w:r w:rsidRPr="004F1E01">
        <w:rPr>
          <w:rFonts w:ascii="Times New Roman" w:eastAsia="Calibri" w:hAnsi="Times New Roman" w:cs="Times New Roman"/>
          <w:b/>
          <w:sz w:val="20"/>
          <w:szCs w:val="24"/>
        </w:rPr>
        <w:t xml:space="preserve">Fuentes: ATDT (BIT 2025), Mordor </w:t>
      </w:r>
      <w:proofErr w:type="spellStart"/>
      <w:r w:rsidRPr="004F1E01">
        <w:rPr>
          <w:rFonts w:ascii="Times New Roman" w:eastAsia="Calibri" w:hAnsi="Times New Roman" w:cs="Times New Roman"/>
          <w:b/>
          <w:sz w:val="20"/>
          <w:szCs w:val="24"/>
        </w:rPr>
        <w:t>Intelligence</w:t>
      </w:r>
      <w:proofErr w:type="spellEnd"/>
      <w:r w:rsidRPr="004F1E01">
        <w:rPr>
          <w:rFonts w:ascii="Times New Roman" w:eastAsia="Calibri" w:hAnsi="Times New Roman" w:cs="Times New Roman"/>
          <w:b/>
          <w:sz w:val="20"/>
          <w:szCs w:val="24"/>
        </w:rPr>
        <w:t xml:space="preserve"> (mercado 19B USD), </w:t>
      </w:r>
      <w:proofErr w:type="spellStart"/>
      <w:r w:rsidRPr="004F1E01">
        <w:rPr>
          <w:rFonts w:ascii="Times New Roman" w:eastAsia="Calibri" w:hAnsi="Times New Roman" w:cs="Times New Roman"/>
          <w:b/>
          <w:sz w:val="20"/>
          <w:szCs w:val="24"/>
        </w:rPr>
        <w:t>Tracxn</w:t>
      </w:r>
      <w:proofErr w:type="spellEnd"/>
      <w:r w:rsidRPr="004F1E01">
        <w:rPr>
          <w:rFonts w:ascii="Times New Roman" w:eastAsia="Calibri" w:hAnsi="Times New Roman" w:cs="Times New Roman"/>
          <w:b/>
          <w:sz w:val="20"/>
          <w:szCs w:val="24"/>
        </w:rPr>
        <w:t xml:space="preserve"> (207 startups), GSMA (</w:t>
      </w:r>
      <w:proofErr w:type="spellStart"/>
      <w:r w:rsidRPr="004F1E01">
        <w:rPr>
          <w:rFonts w:ascii="Times New Roman" w:eastAsia="Calibri" w:hAnsi="Times New Roman" w:cs="Times New Roman"/>
          <w:b/>
          <w:sz w:val="20"/>
          <w:szCs w:val="24"/>
        </w:rPr>
        <w:t>MVNOs</w:t>
      </w:r>
      <w:proofErr w:type="spellEnd"/>
      <w:r w:rsidRPr="004F1E01">
        <w:rPr>
          <w:rFonts w:ascii="Times New Roman" w:eastAsia="Calibri" w:hAnsi="Times New Roman" w:cs="Times New Roman"/>
          <w:b/>
          <w:sz w:val="20"/>
          <w:szCs w:val="24"/>
        </w:rPr>
        <w:t>).</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Actualmente la red de transporte de Telmex ya existe hasta el lucrativo y turístico mercado de Valle de Bravo.</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 xml:space="preserve">El ayuntamiento demandó a TELMEX por las obras en territorio municipal y se negó a pagar puesto que ya había cubierto impuestos federales, pero una primera instancia judicial dio razón al munícipe y TELMEX deposito una fianza por 20.2 millones de pesos al mismo tiempo que </w:t>
      </w:r>
      <w:r w:rsidRPr="004F1E01">
        <w:rPr>
          <w:rFonts w:ascii="Times New Roman" w:eastAsia="Calibri" w:hAnsi="Times New Roman" w:cs="Times New Roman"/>
          <w:sz w:val="24"/>
          <w:szCs w:val="24"/>
        </w:rPr>
        <w:lastRenderedPageBreak/>
        <w:t>contrademandó. Al cabo de años la Suprema Corte decidió a favor de TELMEX. La deuda del municipio se convirtió en 51.3 millones de pesos por intereses y recargos. La fianza se utilizó para obras municipales diversas, según se informó.</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Es por ello por lo que primeramente debemos reformar el artículo 28 constitucional en el sentido de permitir que gobiernos locales cobren contribuciones específicas por ocupación de bienes municipales, sin menoscabo de constituir un área estratégica.</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 xml:space="preserve">Modificar igualmente el artículo 73 fracción XVII para que la facultad exclusiva del Congreso de la Unión en telecomunicaciones, se convierta una </w:t>
      </w:r>
      <w:r w:rsidRPr="004F1E01">
        <w:rPr>
          <w:rFonts w:ascii="Times New Roman" w:eastAsia="Calibri" w:hAnsi="Times New Roman" w:cs="Times New Roman"/>
          <w:b/>
          <w:sz w:val="24"/>
          <w:szCs w:val="24"/>
        </w:rPr>
        <w:t>facultad concurrente</w:t>
      </w:r>
      <w:r w:rsidRPr="004F1E01">
        <w:rPr>
          <w:rFonts w:ascii="Times New Roman" w:eastAsia="Calibri" w:hAnsi="Times New Roman" w:cs="Times New Roman"/>
          <w:sz w:val="24"/>
          <w:szCs w:val="24"/>
        </w:rPr>
        <w:t>, esto es, si bien el Congreso legisla en lo general, los estados y municipios pueden establecer contribuciones por uso de suelo, espacio aéreo y subsuelo ocupado por infraestructura.</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De igual forma ampliar la facultad de los municipios en el artículo 115 para establecer contribuciones por la ocupación de la vía pública, espacio aéreo y subsuelo en materia de telecomunicaciones.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Desde luego que estas reformas constitucionales remitirían a la adecuación de la Ley Federal de Telecomunicaciones y Radiodifusión donde se incluya una tributación concurrente y límites de cobro, así como a la Ley de Coordinación Fiscal, evidentemente para coordinar y evitar duplicidades.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Ahora bien, refiero una experiencia del estado de Jalisco, donde ya el cobro por el uso de infraestructura de telecomunicaciones (postes, cableado aéreo y ductos subterráneos) se rige por normativas estatales y municipales, armonizadas con la Ley Federal de Telecomunicaciones y Radiodifusión (vigente desde julio 2025).</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Times New Roman" w:hAnsi="Times New Roman" w:cs="Times New Roman"/>
          <w:sz w:val="24"/>
          <w:szCs w:val="24"/>
        </w:rPr>
      </w:pPr>
      <w:r w:rsidRPr="004F1E01">
        <w:rPr>
          <w:rFonts w:ascii="Times New Roman" w:eastAsia="Calibri" w:hAnsi="Times New Roman" w:cs="Times New Roman"/>
          <w:sz w:val="24"/>
          <w:szCs w:val="24"/>
        </w:rPr>
        <w:t>Esta ley permite contraprestaciones locales "razonables" por ocupación del espacio público, siempre homologadas por la Agencia de Transformación Digital y Telecomunicaciones (ATDT).</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Sin embargo, la Suprema Corte de Justicia de la Nación (SCJN) resolvió en junio 2025 que estados y municipios no pueden imponer impuestos específicos por instalación de postes, antenas o ductos, ya que es competencia federal exclusiva (artículos 28 y 73 CPEUM).</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 xml:space="preserve">Por lo tanto, se aplican </w:t>
      </w:r>
      <w:r w:rsidRPr="004F1E01">
        <w:rPr>
          <w:rFonts w:ascii="Times New Roman" w:eastAsia="Calibri" w:hAnsi="Times New Roman" w:cs="Times New Roman"/>
          <w:b/>
          <w:sz w:val="24"/>
          <w:szCs w:val="24"/>
        </w:rPr>
        <w:t>derechos por uso de bienes de dominio público (no gravámenes fiscales), enfocados en ordenamiento urbano y soterramiento</w:t>
      </w:r>
      <w:r w:rsidRPr="004F1E01">
        <w:rPr>
          <w:rFonts w:ascii="Times New Roman" w:eastAsia="Calibri" w:hAnsi="Times New Roman" w:cs="Times New Roman"/>
          <w:sz w:val="24"/>
          <w:szCs w:val="24"/>
        </w:rPr>
        <w:t>, promoviendo el retiro de "marañas" de cables y el soterramiento progresivo (obligatorio para cables en desuso hasta 2030.</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Esta legislación local le genera un ingreso anual de aproximadamente de 7,475 millones de pesos totales.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Para efectos en el Estado de México, debemos adicionar al Código financiero del Estado de México y municipios lo referente, a los derechos de uso y aprovechamiento de bienes del dominio público para infraestructura de telecomunicaciones, ampliar facultades en la Ley Orgánica Municipal del Estado de México para regular la instalación, mantenimiento y retiro, en su caso, de infraestructura de telecomunicaciones y asegurar en la Ley de ingresos del Estado de México y municipios, que la recaudación por estos conceptos ingresará directamente al ayuntamiento.</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Con base en lo expuesto, someto a consideración el siguiente proyecto de Decreto:</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b/>
          <w:sz w:val="24"/>
          <w:szCs w:val="24"/>
        </w:rPr>
      </w:pPr>
      <w:r w:rsidRPr="004F1E01">
        <w:rPr>
          <w:rFonts w:ascii="Times New Roman" w:eastAsia="Calibri" w:hAnsi="Times New Roman" w:cs="Times New Roman"/>
          <w:b/>
          <w:sz w:val="24"/>
          <w:szCs w:val="24"/>
        </w:rPr>
        <w:t>Artículo Primero. Se modifican los siguientes artículos de la Constitución Política de los Estados Unidos Mexicanos en los siguientes términos:</w:t>
      </w:r>
    </w:p>
    <w:p w:rsidR="006C68BD" w:rsidRPr="004F1E01" w:rsidRDefault="006C68BD" w:rsidP="006C68BD">
      <w:pPr>
        <w:spacing w:after="0" w:line="240" w:lineRule="auto"/>
        <w:jc w:val="both"/>
        <w:rPr>
          <w:rFonts w:ascii="Times New Roman" w:eastAsia="Calibri" w:hAnsi="Times New Roman" w:cs="Times New Roman"/>
          <w:b/>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 xml:space="preserve">Artículo 28. </w:t>
      </w:r>
      <w:r w:rsidRPr="004F1E01">
        <w:rPr>
          <w:rFonts w:ascii="Times New Roman" w:eastAsia="Calibri" w:hAnsi="Times New Roman" w:cs="Times New Roman"/>
          <w:sz w:val="24"/>
          <w:szCs w:val="24"/>
        </w:rPr>
        <w:t>Se adiciona un párrafo al final:</w:t>
      </w:r>
    </w:p>
    <w:p w:rsidR="006C68BD" w:rsidRPr="004F1E01" w:rsidRDefault="006C68BD" w:rsidP="006C68BD">
      <w:pPr>
        <w:spacing w:after="0" w:line="240" w:lineRule="auto"/>
        <w:jc w:val="both"/>
        <w:rPr>
          <w:rFonts w:ascii="Times New Roman" w:eastAsia="Calibri"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“No se considerarán monopolios los derechos que los municipios establezcan por el uso y aprovechamiento de bienes de dominio público para la instalación de infraestructura de telecomunicaciones, siempre que se otorguen en condiciones de equidad, transparencia y proporcionalidad.”</w:t>
      </w:r>
    </w:p>
    <w:p w:rsidR="006C68BD" w:rsidRPr="004F1E01" w:rsidRDefault="006C68BD" w:rsidP="006C68BD">
      <w:pPr>
        <w:spacing w:after="0" w:line="240" w:lineRule="auto"/>
        <w:jc w:val="both"/>
        <w:rPr>
          <w:rFonts w:ascii="Times New Roman" w:eastAsia="Calibri"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 xml:space="preserve">Artículo 74. </w:t>
      </w:r>
      <w:r w:rsidRPr="004F1E01">
        <w:rPr>
          <w:rFonts w:ascii="Times New Roman" w:eastAsia="Calibri" w:hAnsi="Times New Roman" w:cs="Times New Roman"/>
          <w:sz w:val="24"/>
          <w:szCs w:val="24"/>
        </w:rPr>
        <w:t>Se adiciona una fracción al apartado de facultades de la Cámara de Diputados: “XVII Bis. Aprobar lineamientos generales para la homologación de derechos por uso y aprovechamiento de bienes de dominio público destinados a infraestructura de telecomunicaciones, respetando la autonomía municipal.”</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Times New Roman" w:hAnsi="Times New Roman" w:cs="Times New Roman"/>
          <w:sz w:val="24"/>
          <w:szCs w:val="24"/>
        </w:rPr>
      </w:pPr>
      <w:r w:rsidRPr="004F1E01">
        <w:rPr>
          <w:rFonts w:ascii="Times New Roman" w:eastAsia="Calibri" w:hAnsi="Times New Roman" w:cs="Times New Roman"/>
          <w:b/>
          <w:sz w:val="24"/>
          <w:szCs w:val="24"/>
        </w:rPr>
        <w:t xml:space="preserve">Artículo 115. </w:t>
      </w:r>
      <w:r w:rsidRPr="004F1E01">
        <w:rPr>
          <w:rFonts w:ascii="Times New Roman" w:eastAsia="Calibri" w:hAnsi="Times New Roman" w:cs="Times New Roman"/>
          <w:sz w:val="24"/>
          <w:szCs w:val="24"/>
        </w:rPr>
        <w:t>Se adiciona un párrafo al apartado IV:</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“Los municipios podrán establecer, en sus leyes de ingresos, derechos por el uso, instalación y ocupación de bienes de dominio público municipal por parte de empresas privadas de telecomunicaciones, incluyendo postes, ductos y cableado, sin que dichos derechos constituyan impuestos ni gravámenes fiscales.”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Artículo Segundo. Se adiciona una Sección al Código Financiero del Estado de México para quedar como sigue:</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TITULO CUARTO. DE LOS INGRESOS DE LOS MUNICIPIOS CAPITULO SEGUNDO DE LOS DERECHOS SECCION DECIMA CUARTA. DERECHO POR USO Y APROVECHAMIENTO DE BIENES DEL DOMINIO PÚBLICO PARA INFRAESTRUCTURA DE TELECOMUNICACIONES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Artículo 166 BIS. Las personas físicas o morales concesionarias o autorizadas para prestar servicios de telecomunicaciones y radiodifusión pagarán al municipio o al Estado (cuando corresponda) el derecho por el uso y aprovechamiento de bienes del dominio público consistentes en:</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1. Postes, torres, estructuras de soporte y anclajes instalados en vías públicas, banquetas o inmuebles municipales.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2. Cableado aéreo, fibra óptica, coaxial o cualquier tendido suspendido que cruce o utilice el espacio aéreo municipal.</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rPr>
          <w:rFonts w:ascii="Times New Roman" w:eastAsia="Calibri" w:hAnsi="Times New Roman" w:cs="Times New Roman"/>
          <w:sz w:val="24"/>
          <w:szCs w:val="24"/>
        </w:rPr>
      </w:pPr>
      <w:r w:rsidRPr="004F1E01">
        <w:rPr>
          <w:rFonts w:ascii="Times New Roman" w:eastAsia="Calibri" w:hAnsi="Times New Roman" w:cs="Times New Roman"/>
          <w:b/>
          <w:sz w:val="24"/>
          <w:szCs w:val="24"/>
        </w:rPr>
        <w:t>3. Ductos, registros, cámaras, galerías y canalizaciones en el subsuelo de vías públicas.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b/>
          <w:sz w:val="24"/>
          <w:szCs w:val="24"/>
        </w:rPr>
      </w:pPr>
      <w:r w:rsidRPr="004F1E01">
        <w:rPr>
          <w:rFonts w:ascii="Times New Roman" w:eastAsia="Calibri" w:hAnsi="Times New Roman" w:cs="Times New Roman"/>
          <w:b/>
          <w:sz w:val="24"/>
          <w:szCs w:val="24"/>
        </w:rPr>
        <w:t>Artículo 166 TER. Tarifas mínimas anuales actualizables para los conceptos referidos el artículo anterior</w:t>
      </w:r>
    </w:p>
    <w:p w:rsidR="006C68BD" w:rsidRPr="004F1E01" w:rsidRDefault="006C68BD" w:rsidP="006C68BD">
      <w:pPr>
        <w:spacing w:after="0" w:line="240" w:lineRule="auto"/>
        <w:jc w:val="both"/>
        <w:rPr>
          <w:rFonts w:ascii="Times New Roman" w:eastAsia="Calibri" w:hAnsi="Times New Roman" w:cs="Times New Roman"/>
          <w:sz w:val="24"/>
          <w:szCs w:val="24"/>
        </w:rPr>
      </w:pPr>
    </w:p>
    <w:tbl>
      <w:tblPr>
        <w:tblStyle w:val="Tablaconcuadrcula4"/>
        <w:tblW w:w="0" w:type="auto"/>
        <w:tblLook w:val="04A0" w:firstRow="1" w:lastRow="0" w:firstColumn="1" w:lastColumn="0" w:noHBand="0" w:noVBand="1"/>
      </w:tblPr>
      <w:tblGrid>
        <w:gridCol w:w="4531"/>
        <w:gridCol w:w="2410"/>
        <w:gridCol w:w="2454"/>
      </w:tblGrid>
      <w:tr w:rsidR="006C68BD" w:rsidRPr="004F1E01" w:rsidTr="00A01B62">
        <w:tc>
          <w:tcPr>
            <w:tcW w:w="4531"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Concepto</w:t>
            </w:r>
          </w:p>
        </w:tc>
        <w:tc>
          <w:tcPr>
            <w:tcW w:w="2410"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Unidad de medida</w:t>
            </w:r>
          </w:p>
        </w:tc>
        <w:tc>
          <w:tcPr>
            <w:tcW w:w="2454"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Tarifa mínima anual</w:t>
            </w:r>
          </w:p>
        </w:tc>
      </w:tr>
      <w:tr w:rsidR="006C68BD" w:rsidRPr="004F1E01" w:rsidTr="00A01B62">
        <w:tc>
          <w:tcPr>
            <w:tcW w:w="4531"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Poste o estructura de soporte</w:t>
            </w:r>
          </w:p>
        </w:tc>
        <w:tc>
          <w:tcPr>
            <w:tcW w:w="2410"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Por poste</w:t>
            </w:r>
          </w:p>
        </w:tc>
        <w:tc>
          <w:tcPr>
            <w:tcW w:w="2454"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$1,200.00</w:t>
            </w:r>
          </w:p>
          <w:p w:rsidR="006C68BD" w:rsidRPr="004F1E01" w:rsidRDefault="006C68BD" w:rsidP="006C68BD">
            <w:pPr>
              <w:spacing w:line="240" w:lineRule="auto"/>
              <w:jc w:val="center"/>
              <w:rPr>
                <w:rFonts w:eastAsia="Calibri"/>
                <w:b/>
                <w:sz w:val="24"/>
                <w:szCs w:val="24"/>
                <w:lang w:val="es-MX"/>
              </w:rPr>
            </w:pPr>
          </w:p>
        </w:tc>
      </w:tr>
      <w:tr w:rsidR="006C68BD" w:rsidRPr="004F1E01" w:rsidTr="00A01B62">
        <w:tc>
          <w:tcPr>
            <w:tcW w:w="4531"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lastRenderedPageBreak/>
              <w:t>Uso de poste o estructura de tercero</w:t>
            </w:r>
          </w:p>
        </w:tc>
        <w:tc>
          <w:tcPr>
            <w:tcW w:w="2410"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Por poste</w:t>
            </w:r>
          </w:p>
        </w:tc>
        <w:tc>
          <w:tcPr>
            <w:tcW w:w="2454"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$850.00</w:t>
            </w:r>
          </w:p>
          <w:p w:rsidR="006C68BD" w:rsidRPr="004F1E01" w:rsidRDefault="006C68BD" w:rsidP="006C68BD">
            <w:pPr>
              <w:spacing w:line="240" w:lineRule="auto"/>
              <w:jc w:val="center"/>
              <w:rPr>
                <w:rFonts w:eastAsia="Calibri"/>
                <w:b/>
                <w:sz w:val="24"/>
                <w:szCs w:val="24"/>
                <w:lang w:val="es-MX"/>
              </w:rPr>
            </w:pPr>
          </w:p>
        </w:tc>
      </w:tr>
      <w:tr w:rsidR="006C68BD" w:rsidRPr="004F1E01" w:rsidTr="00A01B62">
        <w:tc>
          <w:tcPr>
            <w:tcW w:w="4531"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Cableado aéreo o fibra óptica</w:t>
            </w:r>
          </w:p>
        </w:tc>
        <w:tc>
          <w:tcPr>
            <w:tcW w:w="2410"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Por kilómetro lineal</w:t>
            </w:r>
          </w:p>
        </w:tc>
        <w:tc>
          <w:tcPr>
            <w:tcW w:w="2454"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$4,800.00</w:t>
            </w:r>
          </w:p>
          <w:p w:rsidR="006C68BD" w:rsidRPr="004F1E01" w:rsidRDefault="006C68BD" w:rsidP="006C68BD">
            <w:pPr>
              <w:spacing w:line="240" w:lineRule="auto"/>
              <w:jc w:val="center"/>
              <w:rPr>
                <w:rFonts w:eastAsia="Calibri"/>
                <w:b/>
                <w:sz w:val="24"/>
                <w:szCs w:val="24"/>
                <w:lang w:val="es-MX"/>
              </w:rPr>
            </w:pPr>
          </w:p>
        </w:tc>
      </w:tr>
      <w:tr w:rsidR="006C68BD" w:rsidRPr="004F1E01" w:rsidTr="00A01B62">
        <w:tc>
          <w:tcPr>
            <w:tcW w:w="4531"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Ductos o canalizaciones subterráneas</w:t>
            </w:r>
          </w:p>
        </w:tc>
        <w:tc>
          <w:tcPr>
            <w:tcW w:w="2410"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Por kilómetro lineal</w:t>
            </w:r>
          </w:p>
        </w:tc>
        <w:tc>
          <w:tcPr>
            <w:tcW w:w="2454"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$6,500.00</w:t>
            </w:r>
          </w:p>
          <w:p w:rsidR="006C68BD" w:rsidRPr="004F1E01" w:rsidRDefault="006C68BD" w:rsidP="006C68BD">
            <w:pPr>
              <w:spacing w:line="240" w:lineRule="auto"/>
              <w:jc w:val="center"/>
              <w:rPr>
                <w:rFonts w:eastAsia="Calibri"/>
                <w:b/>
                <w:sz w:val="24"/>
                <w:szCs w:val="24"/>
                <w:lang w:val="es-MX"/>
              </w:rPr>
            </w:pPr>
          </w:p>
        </w:tc>
      </w:tr>
      <w:tr w:rsidR="006C68BD" w:rsidRPr="004F1E01" w:rsidTr="00A01B62">
        <w:tc>
          <w:tcPr>
            <w:tcW w:w="4531"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Registro o cámara de telecomunicaciones</w:t>
            </w:r>
          </w:p>
        </w:tc>
        <w:tc>
          <w:tcPr>
            <w:tcW w:w="2410"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Por unidad</w:t>
            </w:r>
          </w:p>
        </w:tc>
        <w:tc>
          <w:tcPr>
            <w:tcW w:w="2454"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$2,200.00</w:t>
            </w:r>
          </w:p>
          <w:p w:rsidR="006C68BD" w:rsidRPr="004F1E01" w:rsidRDefault="006C68BD" w:rsidP="006C68BD">
            <w:pPr>
              <w:spacing w:line="240" w:lineRule="auto"/>
              <w:jc w:val="center"/>
              <w:rPr>
                <w:rFonts w:eastAsia="Calibri"/>
                <w:b/>
                <w:sz w:val="24"/>
                <w:szCs w:val="24"/>
                <w:lang w:val="es-MX"/>
              </w:rPr>
            </w:pPr>
          </w:p>
        </w:tc>
      </w:tr>
      <w:tr w:rsidR="006C68BD" w:rsidRPr="004F1E01" w:rsidTr="00A01B62">
        <w:tc>
          <w:tcPr>
            <w:tcW w:w="4531"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Ocupación de banqueta (cajas, gabinetes)</w:t>
            </w:r>
          </w:p>
        </w:tc>
        <w:tc>
          <w:tcPr>
            <w:tcW w:w="2410"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Por m</w:t>
            </w:r>
            <w:r w:rsidRPr="004F1E01">
              <w:rPr>
                <w:rFonts w:eastAsia="Calibri"/>
                <w:b/>
                <w:sz w:val="24"/>
                <w:szCs w:val="24"/>
                <w:vertAlign w:val="superscript"/>
                <w:lang w:val="es-MX"/>
              </w:rPr>
              <w:t>2</w:t>
            </w:r>
          </w:p>
        </w:tc>
        <w:tc>
          <w:tcPr>
            <w:tcW w:w="2454" w:type="dxa"/>
          </w:tcPr>
          <w:p w:rsidR="006C68BD" w:rsidRPr="004F1E01" w:rsidRDefault="006C68BD" w:rsidP="006C68BD">
            <w:pPr>
              <w:spacing w:line="240" w:lineRule="auto"/>
              <w:jc w:val="center"/>
              <w:rPr>
                <w:rFonts w:eastAsia="Calibri"/>
                <w:b/>
                <w:sz w:val="24"/>
                <w:szCs w:val="24"/>
                <w:lang w:val="es-MX"/>
              </w:rPr>
            </w:pPr>
            <w:r w:rsidRPr="004F1E01">
              <w:rPr>
                <w:rFonts w:eastAsia="Calibri"/>
                <w:b/>
                <w:sz w:val="24"/>
                <w:szCs w:val="24"/>
                <w:lang w:val="es-MX"/>
              </w:rPr>
              <w:t>$1,800</w:t>
            </w:r>
          </w:p>
          <w:p w:rsidR="006C68BD" w:rsidRPr="004F1E01" w:rsidRDefault="006C68BD" w:rsidP="006C68BD">
            <w:pPr>
              <w:spacing w:line="240" w:lineRule="auto"/>
              <w:jc w:val="center"/>
              <w:rPr>
                <w:rFonts w:eastAsia="Calibri"/>
                <w:b/>
                <w:sz w:val="24"/>
                <w:szCs w:val="24"/>
                <w:lang w:val="es-MX"/>
              </w:rPr>
            </w:pPr>
          </w:p>
        </w:tc>
      </w:tr>
    </w:tbl>
    <w:p w:rsidR="006C68BD" w:rsidRPr="004F1E01" w:rsidRDefault="006C68BD" w:rsidP="006C68BD">
      <w:pPr>
        <w:spacing w:after="0" w:line="240" w:lineRule="auto"/>
        <w:jc w:val="both"/>
        <w:rPr>
          <w:rFonts w:ascii="Times New Roman" w:eastAsia="Calibri"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 xml:space="preserve">Artículo 166 </w:t>
      </w:r>
      <w:proofErr w:type="spellStart"/>
      <w:r w:rsidRPr="004F1E01">
        <w:rPr>
          <w:rFonts w:ascii="Times New Roman" w:eastAsia="Calibri" w:hAnsi="Times New Roman" w:cs="Times New Roman"/>
          <w:b/>
          <w:sz w:val="24"/>
          <w:szCs w:val="24"/>
        </w:rPr>
        <w:t>Quáter</w:t>
      </w:r>
      <w:proofErr w:type="spellEnd"/>
      <w:r w:rsidRPr="004F1E01">
        <w:rPr>
          <w:rFonts w:ascii="Times New Roman" w:eastAsia="Calibri" w:hAnsi="Times New Roman" w:cs="Times New Roman"/>
          <w:b/>
          <w:sz w:val="24"/>
          <w:szCs w:val="24"/>
        </w:rPr>
        <w:t>. Topes máximos. Ningún municipio podrá cobrar más del 150 % de las tarifas mínimas establecidas en el artículo anterior, salvo autorización expresa de la Agencia de Transformación Digital y Telecomunicaciones (ATDT) por condiciones especiales.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Artículo 166-Quinquie. Los concesionarios deberán presentar inventario georreferenciado anual de su infraestructura (postes, kilómetros de cable y ductos) antes del 30 de septiembre de cada año, para considerar en el presupuesto del año inmediato siguiente.</w:t>
      </w: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La omisión genera multa del 20% de la tarifa mínima anual por unidad de medida. Artículo tercero. Se adiciona a la Ley Orgánica Municipal del Estado de México el Artículo 95 Bis, para quedar como sigue:</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Artículo 95 Bis. Son facultades exclusivas de los ayuntamientos: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 Expedir su Bando de Policía y Gobierno para regular la instalación, mantenimiento y retiro de infraestructura de telecomunicaciones.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b) Celebrar convenios con concesionarios para el cobro del derecho establecido en el Código Financiero.</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c) Ordenar el retiro o soterramiento de cableado en desuso en un plazo no mayor a 180 días, con cargo al concesionario.</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Artículo cuarto. Se adiciona un párrafo al artículo 5 de la Ley de Ingresos del Estado de México y Municipios 2025</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Artículo 5. …</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El 100 % de la recaudación por el derecho del artículo 166 BIS del Código Financiero ingresará directamente al municipio donde se ubique la infraestructura. El Estado solo percibirá el 5 % como gasto de fiscalización cuando el municipio no cuente con capacidad técnica</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b/>
          <w:sz w:val="24"/>
          <w:szCs w:val="24"/>
        </w:rPr>
        <w:t>Artículos transitorios: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Primero. El presente decreto en lo que corresponde a la legislación federal, entrará en vigor al día siguiente de su publicación en el Diario Oficial de la Federación.</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Segundo. El Congreso de la Unión emitirá, en un plazo de 180 días, lineamientos generales para armonizar la aplicación de la Ley General de Comunicaciones y Transportes y la Ley de Coordinación Fiscal para garantizar estos derechos en todos los municipios del país.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Tercero. Los municipios y demarcaciones territoriales deberán adecuar sus leyes de ingresos en el ejercicio fiscal siguiente a la entrada en vigor del presente decreto en materia federal.</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both"/>
        <w:rPr>
          <w:rFonts w:ascii="Times New Roman" w:eastAsia="Calibri" w:hAnsi="Times New Roman" w:cs="Times New Roman"/>
          <w:sz w:val="24"/>
          <w:szCs w:val="24"/>
        </w:rPr>
      </w:pPr>
      <w:r w:rsidRPr="004F1E01">
        <w:rPr>
          <w:rFonts w:ascii="Times New Roman" w:eastAsia="Calibri" w:hAnsi="Times New Roman" w:cs="Times New Roman"/>
          <w:sz w:val="24"/>
          <w:szCs w:val="24"/>
        </w:rPr>
        <w:t>Cuarto. Por lo que corresponde al ámbito estatal, a más tardar en un plazo de 120 días se instrumentarán las disposiciones que correspondan, tanto al órgano legislativo, como al poder ejecutivo estatal y los municipios.</w:t>
      </w:r>
    </w:p>
    <w:p w:rsidR="006C68BD" w:rsidRPr="004F1E01" w:rsidRDefault="006C68BD" w:rsidP="006C68BD">
      <w:pPr>
        <w:spacing w:after="0" w:line="240" w:lineRule="auto"/>
        <w:rPr>
          <w:rFonts w:ascii="Times New Roman" w:eastAsia="Times New Roman" w:hAnsi="Times New Roman" w:cs="Times New Roman"/>
          <w:sz w:val="24"/>
          <w:szCs w:val="24"/>
        </w:rPr>
      </w:pPr>
    </w:p>
    <w:p w:rsidR="006C68BD" w:rsidRPr="004F1E01" w:rsidRDefault="006C68BD" w:rsidP="006C68BD">
      <w:pPr>
        <w:spacing w:after="0" w:line="240" w:lineRule="auto"/>
        <w:jc w:val="center"/>
        <w:rPr>
          <w:rFonts w:ascii="Times New Roman" w:eastAsia="Calibri" w:hAnsi="Times New Roman" w:cs="Times New Roman"/>
          <w:sz w:val="24"/>
          <w:szCs w:val="24"/>
        </w:rPr>
      </w:pPr>
      <w:r w:rsidRPr="004F1E01">
        <w:rPr>
          <w:rFonts w:ascii="Times New Roman" w:eastAsia="Calibri" w:hAnsi="Times New Roman" w:cs="Times New Roman"/>
          <w:b/>
          <w:sz w:val="24"/>
          <w:szCs w:val="24"/>
        </w:rPr>
        <w:t>A T E N T A M E N T E</w:t>
      </w:r>
    </w:p>
    <w:p w:rsidR="006C68BD" w:rsidRPr="004F1E01" w:rsidRDefault="006C68BD" w:rsidP="00A01B62">
      <w:pPr>
        <w:spacing w:after="0" w:line="240" w:lineRule="auto"/>
        <w:jc w:val="center"/>
        <w:rPr>
          <w:rFonts w:ascii="Times New Roman" w:hAnsi="Times New Roman"/>
          <w:sz w:val="24"/>
          <w:szCs w:val="24"/>
        </w:rPr>
      </w:pPr>
    </w:p>
    <w:p w:rsidR="006C68BD" w:rsidRPr="004F1E01" w:rsidRDefault="006C68BD" w:rsidP="00A01B62">
      <w:pPr>
        <w:spacing w:after="0" w:line="240" w:lineRule="auto"/>
        <w:jc w:val="center"/>
        <w:rPr>
          <w:rFonts w:ascii="Times New Roman" w:hAnsi="Times New Roman"/>
          <w:i/>
          <w:sz w:val="24"/>
          <w:szCs w:val="24"/>
        </w:rPr>
      </w:pPr>
      <w:r w:rsidRPr="004F1E01">
        <w:rPr>
          <w:rFonts w:ascii="Times New Roman" w:hAnsi="Times New Roman"/>
          <w:i/>
          <w:sz w:val="24"/>
          <w:szCs w:val="24"/>
        </w:rPr>
        <w:t>(Fin del documento)</w:t>
      </w:r>
    </w:p>
    <w:p w:rsidR="006C68BD" w:rsidRPr="004F1E01" w:rsidRDefault="006C68BD" w:rsidP="00A01B62">
      <w:pPr>
        <w:spacing w:after="0" w:line="240" w:lineRule="auto"/>
        <w:jc w:val="center"/>
        <w:rPr>
          <w:rFonts w:ascii="Times New Roman" w:hAnsi="Times New Roman"/>
          <w:sz w:val="24"/>
          <w:szCs w:val="24"/>
        </w:rPr>
      </w:pPr>
    </w:p>
    <w:p w:rsidR="000C639D" w:rsidRPr="004F1E01" w:rsidRDefault="000C639D" w:rsidP="000C639D">
      <w:pPr>
        <w:pStyle w:val="Sinespaciado"/>
      </w:pPr>
      <w:r w:rsidRPr="004F1E01">
        <w:t>PRESIDENTA DIP. MARTHA AZUCENA CAMACHO REYNOSO. Gracias diputado Óscar González.</w:t>
      </w:r>
    </w:p>
    <w:p w:rsidR="000C639D" w:rsidRPr="004F1E01" w:rsidRDefault="000C639D" w:rsidP="00F23799">
      <w:pPr>
        <w:pStyle w:val="Sinespaciado"/>
        <w:ind w:firstLine="709"/>
      </w:pPr>
      <w:r w:rsidRPr="004F1E01">
        <w:t>Se registra la iniciativa y se remite a las Comisiones Legislativas de Gobernación y Puntos Constitucionales, de Planeación y Gasto Público y de Finanzas Públicas, para su estudio y dictamen.</w:t>
      </w:r>
    </w:p>
    <w:p w:rsidR="000C639D" w:rsidRPr="004F1E01" w:rsidRDefault="000C639D" w:rsidP="00F23799">
      <w:pPr>
        <w:pStyle w:val="Sinespaciado"/>
        <w:ind w:firstLine="709"/>
      </w:pPr>
      <w:r w:rsidRPr="004F1E01">
        <w:t>Para tramitar el punto número 15, la diputada María Mercedes Colín Guadarrama leerá la Iniciativa con Proyecto de Decreto por el que se crea el Instituto Mexiquense de Servicios Periciales para garantizar el principio de igualdad entre las partes y elevar la calidad de justicia a través de peritajes gratuitos e independientes, presentada por la diputada María Mercedes Guadarrama Colín y el diputado Elías Rescala Jiménez, en nombre del Grupo Parlamentario del Partido Revolucionario Institucional.</w:t>
      </w:r>
    </w:p>
    <w:p w:rsidR="000C639D" w:rsidRPr="004F1E01" w:rsidRDefault="000C639D" w:rsidP="000C639D">
      <w:pPr>
        <w:pStyle w:val="Sinespaciado"/>
      </w:pPr>
      <w:r w:rsidRPr="004F1E01">
        <w:t>DIP. MARÍA MERCEDES COLÍN GUADARRAMA. Muchísimas gracias Presidenta, con su permiso, con el permiso de la Mesa Directiva; saludo a mis pares, a los representantes de los medios de comunicación, así como a la ciudadanía mexiquense que nos regala el favor de su atención de manera presencial o a través de las diferentes plataformas digitales.</w:t>
      </w:r>
    </w:p>
    <w:p w:rsidR="000C639D" w:rsidRPr="004F1E01" w:rsidRDefault="000C639D" w:rsidP="000C639D">
      <w:pPr>
        <w:pStyle w:val="Sinespaciado"/>
      </w:pPr>
      <w:r w:rsidRPr="004F1E01">
        <w:tab/>
        <w:t>La que suscribe, la de la voz, diputada María Mercedes Colín Guadarrama y el diputado Elías Rescala Jiménez, integrante del Grupo Parlamentario del Partido Revolucionario Institucional de la LXII Legislatura del Congreso del Estado de México, con fundamento en la legislación aplicable en la materia, sometemos a consideración de este órgano legislativo la presente Iniciativa con Proyecto de Decreto por el que se crea el Instituto Mexiquense de Servicios Periciales, para garantizar el principio de igualdad entre las partes y elevar la calidad de la justicia a través de peritajes gratuitos e independientes, conforme a la siguiente:</w:t>
      </w:r>
    </w:p>
    <w:p w:rsidR="000C639D" w:rsidRPr="004F1E01" w:rsidRDefault="000C639D" w:rsidP="000C639D">
      <w:pPr>
        <w:pStyle w:val="Sinespaciado"/>
        <w:jc w:val="center"/>
      </w:pPr>
      <w:r w:rsidRPr="004F1E01">
        <w:t>EXPOSICIÓN DE MOTIVOS</w:t>
      </w:r>
    </w:p>
    <w:p w:rsidR="000C639D" w:rsidRPr="004F1E01" w:rsidRDefault="000C639D" w:rsidP="000C639D">
      <w:pPr>
        <w:pStyle w:val="Sinespaciado"/>
      </w:pPr>
      <w:r w:rsidRPr="004F1E01">
        <w:tab/>
        <w:t>Los servicios periciales juegan un papel fundamental en la investigación del delito, básicamente permiten esclarecer y acreditar con técnicas y análisis basados en la ciencia, los hechos posiblemente constitutivos de delitos, así como la participación de los probables responsables, es decir, un peritaje proporciona evidencia sólida y confiable que respalda los dichos de las partes y permite clarificar la verdad; de esta manera, las leyes orgánicas de las fiscalías y de los poderes judiciales y las leyes de seguridad pública federales y estatales prevén la existencia de servicios periciales o, en su caso, de policía científicas, con el propósito de que las investigaciones y sentencias estén respaldadas por la precisión que ofrece el conocimiento científico.</w:t>
      </w:r>
    </w:p>
    <w:p w:rsidR="000C639D" w:rsidRPr="004F1E01" w:rsidRDefault="000C639D" w:rsidP="000C639D">
      <w:pPr>
        <w:pStyle w:val="Sinespaciado"/>
      </w:pPr>
      <w:r w:rsidRPr="004F1E01">
        <w:tab/>
        <w:t xml:space="preserve">En el Estado de México, los servicios periciales se encuentran concentrados en la Fiscalía General de Justicia y el Poder Judicial a través de la Unidad de Servicios Periciales y la Dirección </w:t>
      </w:r>
      <w:r w:rsidRPr="004F1E01">
        <w:lastRenderedPageBreak/>
        <w:t>de Servicios Periciales, respectivamente, esto significa que la práctica pericial está directamente vinculada a la actuación del Ministerio Público y de los Jueces; no obstante, tanto la Constitución Política de los Estados Unidos Mexicanos como la particular del Estado de México y el Código Nacional de Procedimientos Penales, garantizan el principio de igualdad entre las partes y reconocen el derecho de las víctimas por un lado y de los probables responsables de un delito por el otro, a tener las mismas oportunidades para esclarecer la verdad de los hechos.</w:t>
      </w:r>
    </w:p>
    <w:p w:rsidR="000C639D" w:rsidRPr="004F1E01" w:rsidRDefault="000C639D" w:rsidP="000C639D">
      <w:pPr>
        <w:pStyle w:val="Sinespaciado"/>
      </w:pPr>
      <w:r w:rsidRPr="004F1E01">
        <w:tab/>
        <w:t>Bajo esta lógica es indispensable que quienes intervienen en investigaciones de hechos, posiblemente constitutivos de delito, tales como representantes de colectivos que buscan familiares desaparecidos, víctimas que no están conformes con los peritajes realizados por la autoridad e incluso litigantes que defienden la presunción de inocencia de sus presentados, tengan acceso a servicios periciales independientes, imparciales y gratuitos.</w:t>
      </w:r>
    </w:p>
    <w:p w:rsidR="000C639D" w:rsidRPr="004F1E01" w:rsidRDefault="000C639D" w:rsidP="000C639D">
      <w:pPr>
        <w:pStyle w:val="Sinespaciado"/>
      </w:pPr>
      <w:r w:rsidRPr="004F1E01">
        <w:tab/>
        <w:t>Existen, desde luego, peritos particulares, pero el alto costo de sus servicios que varían según la complejidad de cada caso, el tipo de dictamen requerido y el tiempo invertido los convierte en una opción inaccesible para la inmensa mayoría de las personas que enfrentan procesos penales o de búsqueda de personas desaparecidas, quedando de este modo en un estado de indefensión, siendo esta premisa, siguiendo esta premisa es necesario garantizar que no sólo la Fiscalía, sino todos los intervinientes en la investigación de hechos delictivos tengan acceso gratuito a servicios periciales independientes y de calidad, a fin de poder contrastar lo realizado por la autoridad y así ubicarse en igualdad de armas para defender su inocencia o esclarecer y probar determinados hechos a su favor.</w:t>
      </w:r>
    </w:p>
    <w:p w:rsidR="000C639D" w:rsidRPr="004F1E01" w:rsidRDefault="000C639D" w:rsidP="000C639D">
      <w:pPr>
        <w:pStyle w:val="Sinespaciado"/>
      </w:pPr>
      <w:r w:rsidRPr="004F1E01">
        <w:tab/>
        <w:t>En este contexto, la presente iniciativa busca hacer efectivo el principio constitucional de igualdad entre las partes, a través de la creación del Instituto Mexiquense de Servicios Periciales, que ofrezca peritajes gratuitos, independientes e imparciales que permitan revisar y fortalecer las pruebas de la autoridad ministerial, así como buscar nuevas evidencias que puedan marcar la diferencia entre la acusación y la defensa.</w:t>
      </w:r>
    </w:p>
    <w:p w:rsidR="000C639D" w:rsidRPr="004F1E01" w:rsidRDefault="000C639D" w:rsidP="000C639D">
      <w:pPr>
        <w:pStyle w:val="Sinespaciado"/>
      </w:pPr>
      <w:r w:rsidRPr="004F1E01">
        <w:tab/>
        <w:t>La creación de este instituto representaría un avance significativo en materia de acceso a la justicia y respeto a los derechos humanos, no sólo garantizaría la igualdad entre las partes, sino que elevaría la calidad de la justicia y otorgaría mayor confianza a la sociedad en el proceso judicial.</w:t>
      </w:r>
    </w:p>
    <w:p w:rsidR="000C639D" w:rsidRPr="004F1E01" w:rsidRDefault="000C639D" w:rsidP="00F23799">
      <w:pPr>
        <w:pStyle w:val="Sinespaciado"/>
        <w:ind w:firstLine="709"/>
      </w:pPr>
      <w:r w:rsidRPr="004F1E01">
        <w:t>Se podría argumentar quizá que lo que verdaderamente se requieren son servicios periciales únicos e independientes que lleven a cabo peritajes tanto para la autoridad ministerial como para los defensores, víctimas u organizaciones sociales como ya ocurre en Jalisco; así, lo que esta iniciativa busca es la creación de un organismo público descentralizado no sectorizado, que con plena autonomía pueda realizar peritajes gratuitos para fortalecer las investigaciones de hechos delictivos o, en su caso, para resolver contradicciones sin desaparecer los que actualmente ofrecen las instituciones de procuración y administración de justicia.</w:t>
      </w:r>
    </w:p>
    <w:p w:rsidR="000C639D" w:rsidRPr="004F1E01" w:rsidRDefault="000C639D" w:rsidP="00F23799">
      <w:pPr>
        <w:pStyle w:val="Sinespaciado"/>
        <w:ind w:firstLine="709"/>
      </w:pPr>
      <w:r w:rsidRPr="004F1E01">
        <w:t>Es necesario destacar que con esta reforma se reduciría de forma importante la enorme carga de trabajo que actualmente tiene la Unidad de Servicios Periciales de la Fiscalía General de Justicia, permitiendo con ello incrementar su eficacia en la integración de carpetas de investigación, no se trata de debilitar a la Fiscalía ni al Poder Judicial, sino de generar un modelo institucional más ágil y eficiente para todos, incluidas las autoridades.</w:t>
      </w:r>
    </w:p>
    <w:p w:rsidR="000C639D" w:rsidRPr="004F1E01" w:rsidRDefault="000C639D" w:rsidP="00F23799">
      <w:pPr>
        <w:pStyle w:val="Sinespaciado"/>
        <w:ind w:firstLine="709"/>
      </w:pPr>
      <w:r w:rsidRPr="004F1E01">
        <w:t>Este instituto contaría con una Junta de Gobierno presidida por la persona titular de la Secretaría General de Gobierno e integrada por 6 vocalías de origen ciudadano, un representante de las Asociaciones y Colegios de Abogados del Estado, 4 representantes de organizaciones sociales y de víctimas y una persona experta en las ciencias y técnicas forenses con reconocido prestigio académico.</w:t>
      </w:r>
    </w:p>
    <w:p w:rsidR="000C639D" w:rsidRPr="004F1E01" w:rsidRDefault="000C639D" w:rsidP="000C639D">
      <w:pPr>
        <w:pStyle w:val="Sinespaciado"/>
      </w:pPr>
      <w:r w:rsidRPr="004F1E01">
        <w:tab/>
        <w:t>Contaría además con personal técnico y científico y con el equipamiento necesario para llevar a cabo sus funciones, su presupuesto sería aportado por el Gobierno del Estado y para atraer, retener y motivar a peritos independientes de calidad se establecería un servicio de carrera que otorgue estabilidad y posibilidad de crecimiento profesional a largo plazo.</w:t>
      </w:r>
    </w:p>
    <w:p w:rsidR="000C639D" w:rsidRPr="004F1E01" w:rsidRDefault="000C639D" w:rsidP="00F23799">
      <w:pPr>
        <w:pStyle w:val="Sinespaciado"/>
        <w:ind w:firstLine="709"/>
      </w:pPr>
      <w:r w:rsidRPr="004F1E01">
        <w:lastRenderedPageBreak/>
        <w:t>En definitiva, la existencia de servicios periciales gratuitos, independientes e imparciales resolvería una deuda histórica con quienes han enfrentado procesos judiciales en situación de desigualdad, democratizaría el acceso al conocimiento científico y contribuiría a consolidar un sistema de justicia más equitativo que verdaderamente proteja los derechos de las víctimas y logre abatir la impunidad.</w:t>
      </w:r>
    </w:p>
    <w:p w:rsidR="000C639D" w:rsidRPr="004F1E01" w:rsidRDefault="000C639D" w:rsidP="000C639D">
      <w:pPr>
        <w:pStyle w:val="Sinespaciado"/>
      </w:pPr>
      <w:r w:rsidRPr="004F1E01">
        <w:tab/>
        <w:t>Por lo anteriormente expuesto, sometemos a consideración de este órgano legislativo la Iniciativa con Proyecto de Decreto que se acompaña.</w:t>
      </w:r>
    </w:p>
    <w:p w:rsidR="000C639D" w:rsidRPr="004F1E01" w:rsidRDefault="000C639D" w:rsidP="000C639D">
      <w:pPr>
        <w:pStyle w:val="Sinespaciado"/>
      </w:pPr>
      <w:r w:rsidRPr="004F1E01">
        <w:tab/>
        <w:t>Solicito respetuosamente a la Presidencia se registre el texto íntegro de la iniciativa en el Diario de Debates y se inserte en la Gaceta Parlamentaria.</w:t>
      </w:r>
    </w:p>
    <w:p w:rsidR="000C639D" w:rsidRPr="004F1E01" w:rsidRDefault="000C639D" w:rsidP="000C639D">
      <w:pPr>
        <w:pStyle w:val="Sinespaciado"/>
      </w:pPr>
      <w:r w:rsidRPr="004F1E01">
        <w:tab/>
        <w:t>Por su atención, muchas gracias.</w:t>
      </w:r>
    </w:p>
    <w:p w:rsidR="00AD13CA" w:rsidRPr="004F1E01" w:rsidRDefault="00AD13CA" w:rsidP="00A01B62">
      <w:pPr>
        <w:pStyle w:val="Sinespaciado"/>
      </w:pPr>
    </w:p>
    <w:p w:rsidR="00AD13CA" w:rsidRPr="004F1E01" w:rsidRDefault="00AD13CA" w:rsidP="00A01B62">
      <w:pPr>
        <w:spacing w:after="0" w:line="240" w:lineRule="auto"/>
        <w:jc w:val="center"/>
        <w:rPr>
          <w:rFonts w:ascii="Times New Roman" w:hAnsi="Times New Roman"/>
          <w:i/>
          <w:sz w:val="24"/>
          <w:szCs w:val="24"/>
        </w:rPr>
      </w:pPr>
      <w:r w:rsidRPr="004F1E01">
        <w:rPr>
          <w:rFonts w:ascii="Times New Roman" w:hAnsi="Times New Roman"/>
          <w:i/>
          <w:sz w:val="24"/>
          <w:szCs w:val="24"/>
        </w:rPr>
        <w:t>(Se inserta documento)</w:t>
      </w:r>
    </w:p>
    <w:p w:rsidR="00AD13CA" w:rsidRPr="004F1E01" w:rsidRDefault="00AD13CA" w:rsidP="00A01B62">
      <w:pPr>
        <w:spacing w:after="0" w:line="240" w:lineRule="auto"/>
        <w:jc w:val="center"/>
        <w:rPr>
          <w:rFonts w:ascii="Times New Roman" w:hAnsi="Times New Roman"/>
          <w:sz w:val="24"/>
          <w:szCs w:val="24"/>
        </w:rPr>
      </w:pPr>
    </w:p>
    <w:p w:rsidR="00A01B62" w:rsidRPr="004F1E01" w:rsidRDefault="00A01B62" w:rsidP="00A01B62">
      <w:pPr>
        <w:spacing w:after="0" w:line="240" w:lineRule="auto"/>
        <w:jc w:val="center"/>
        <w:rPr>
          <w:rFonts w:ascii="Times New Roman" w:eastAsia="Times New Roman" w:hAnsi="Times New Roman" w:cs="Times New Roman"/>
          <w:sz w:val="24"/>
          <w:szCs w:val="24"/>
        </w:rPr>
      </w:pPr>
      <w:r w:rsidRPr="004F1E01">
        <w:rPr>
          <w:rFonts w:ascii="Times New Roman" w:eastAsia="Times New Roman" w:hAnsi="Times New Roman" w:cs="Times New Roman"/>
          <w:sz w:val="24"/>
          <w:szCs w:val="24"/>
        </w:rPr>
        <w:t>Grupo Parlamentario del PRI</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right"/>
        <w:rPr>
          <w:rFonts w:ascii="Times New Roman" w:eastAsia="Arial" w:hAnsi="Times New Roman" w:cs="Times New Roman"/>
          <w:sz w:val="24"/>
          <w:szCs w:val="24"/>
        </w:rPr>
      </w:pPr>
      <w:r w:rsidRPr="004F1E01">
        <w:rPr>
          <w:rFonts w:ascii="Times New Roman" w:eastAsia="Arial" w:hAnsi="Times New Roman" w:cs="Times New Roman"/>
          <w:sz w:val="24"/>
          <w:szCs w:val="24"/>
        </w:rPr>
        <w:t>Toluca, Estado de México, a 19 de noviembre de 2025.</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b/>
          <w:sz w:val="24"/>
          <w:szCs w:val="24"/>
        </w:rPr>
        <w:t>DIPUTADA</w:t>
      </w:r>
    </w:p>
    <w:p w:rsidR="00A01B62" w:rsidRPr="004F1E01" w:rsidRDefault="00A01B62" w:rsidP="00A01B62">
      <w:pPr>
        <w:spacing w:after="0" w:line="240" w:lineRule="auto"/>
        <w:rPr>
          <w:rFonts w:ascii="Times New Roman" w:eastAsia="Arial" w:hAnsi="Times New Roman" w:cs="Times New Roman"/>
          <w:b/>
          <w:sz w:val="24"/>
          <w:szCs w:val="24"/>
        </w:rPr>
      </w:pPr>
      <w:r w:rsidRPr="004F1E01">
        <w:rPr>
          <w:rFonts w:ascii="Times New Roman" w:eastAsia="Arial" w:hAnsi="Times New Roman" w:cs="Times New Roman"/>
          <w:b/>
          <w:sz w:val="24"/>
          <w:szCs w:val="24"/>
        </w:rPr>
        <w:t>MARTHA AZUCENA CAMACHO REYNOSO</w:t>
      </w:r>
    </w:p>
    <w:p w:rsidR="00A01B62" w:rsidRPr="004F1E01" w:rsidRDefault="00A01B62" w:rsidP="00A01B62">
      <w:pPr>
        <w:spacing w:after="0" w:line="240" w:lineRule="auto"/>
        <w:rPr>
          <w:rFonts w:ascii="Times New Roman" w:eastAsia="Arial" w:hAnsi="Times New Roman" w:cs="Times New Roman"/>
          <w:b/>
          <w:sz w:val="24"/>
          <w:szCs w:val="24"/>
        </w:rPr>
      </w:pPr>
      <w:r w:rsidRPr="004F1E01">
        <w:rPr>
          <w:rFonts w:ascii="Times New Roman" w:eastAsia="Arial" w:hAnsi="Times New Roman" w:cs="Times New Roman"/>
          <w:b/>
          <w:sz w:val="24"/>
          <w:szCs w:val="24"/>
        </w:rPr>
        <w:t>PRESIDENTA DE LA H. “LXII” LEGISLATURA</w:t>
      </w:r>
    </w:p>
    <w:p w:rsidR="00A01B62" w:rsidRPr="004F1E01" w:rsidRDefault="00A01B62" w:rsidP="00A01B62">
      <w:pPr>
        <w:spacing w:after="0" w:line="240" w:lineRule="auto"/>
        <w:rPr>
          <w:rFonts w:ascii="Times New Roman" w:eastAsia="Arial" w:hAnsi="Times New Roman" w:cs="Times New Roman"/>
          <w:sz w:val="24"/>
          <w:szCs w:val="24"/>
        </w:rPr>
      </w:pPr>
      <w:r w:rsidRPr="004F1E01">
        <w:rPr>
          <w:rFonts w:ascii="Times New Roman" w:eastAsia="Arial" w:hAnsi="Times New Roman" w:cs="Times New Roman"/>
          <w:b/>
          <w:sz w:val="24"/>
          <w:szCs w:val="24"/>
        </w:rPr>
        <w:t>DEL CONGRESO DEL ESTADO DE MÉXICO</w:t>
      </w: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b/>
          <w:sz w:val="24"/>
          <w:szCs w:val="24"/>
        </w:rPr>
        <w:t>P R E S E N T E</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 xml:space="preserve">Los que suscriben, </w:t>
      </w:r>
      <w:r w:rsidRPr="004F1E01">
        <w:rPr>
          <w:rFonts w:ascii="Times New Roman" w:eastAsia="Arial" w:hAnsi="Times New Roman" w:cs="Times New Roman"/>
          <w:b/>
          <w:sz w:val="24"/>
          <w:szCs w:val="24"/>
        </w:rPr>
        <w:t xml:space="preserve">diputada María Mercedes Colín Guadarrama y diputado Elías Rescala Jiménez, integrantes del Grupo Parlamentario del Partido Revolucionario Institucional </w:t>
      </w:r>
      <w:r w:rsidRPr="004F1E01">
        <w:rPr>
          <w:rFonts w:ascii="Times New Roman" w:eastAsia="Arial" w:hAnsi="Times New Roman" w:cs="Times New Roman"/>
          <w:sz w:val="24"/>
          <w:szCs w:val="24"/>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sometemos a consideración de este órgano legislativo, la presente </w:t>
      </w:r>
      <w:r w:rsidRPr="004F1E01">
        <w:rPr>
          <w:rFonts w:ascii="Times New Roman" w:eastAsia="Arial" w:hAnsi="Times New Roman" w:cs="Times New Roman"/>
          <w:b/>
          <w:sz w:val="24"/>
          <w:szCs w:val="24"/>
        </w:rPr>
        <w:t xml:space="preserve">Iniciativa con proyecto de decreto por el que se crea el Instituto Mexiquense de Servicios Periciales, para garantizar el principio de igualdad entre las partes y elevar la calidad de la justicia, a través de peritajes gratuitos e independientes, </w:t>
      </w:r>
      <w:r w:rsidRPr="004F1E01">
        <w:rPr>
          <w:rFonts w:ascii="Times New Roman" w:eastAsia="Arial" w:hAnsi="Times New Roman" w:cs="Times New Roman"/>
          <w:sz w:val="24"/>
          <w:szCs w:val="24"/>
        </w:rPr>
        <w:t>conforme a la siguiente:</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center"/>
        <w:rPr>
          <w:rFonts w:ascii="Times New Roman" w:eastAsia="Arial" w:hAnsi="Times New Roman" w:cs="Times New Roman"/>
          <w:sz w:val="24"/>
          <w:szCs w:val="24"/>
        </w:rPr>
      </w:pPr>
      <w:r w:rsidRPr="004F1E01">
        <w:rPr>
          <w:rFonts w:ascii="Times New Roman" w:eastAsia="Arial" w:hAnsi="Times New Roman" w:cs="Times New Roman"/>
          <w:b/>
          <w:sz w:val="24"/>
          <w:szCs w:val="24"/>
        </w:rPr>
        <w:t xml:space="preserve">E X P O S I C I </w:t>
      </w:r>
      <w:proofErr w:type="spellStart"/>
      <w:r w:rsidRPr="004F1E01">
        <w:rPr>
          <w:rFonts w:ascii="Times New Roman" w:eastAsia="Arial" w:hAnsi="Times New Roman" w:cs="Times New Roman"/>
          <w:b/>
          <w:sz w:val="24"/>
          <w:szCs w:val="24"/>
        </w:rPr>
        <w:t>Ó</w:t>
      </w:r>
      <w:proofErr w:type="spellEnd"/>
      <w:r w:rsidRPr="004F1E01">
        <w:rPr>
          <w:rFonts w:ascii="Times New Roman" w:eastAsia="Arial" w:hAnsi="Times New Roman" w:cs="Times New Roman"/>
          <w:b/>
          <w:sz w:val="24"/>
          <w:szCs w:val="24"/>
        </w:rPr>
        <w:t xml:space="preserve"> N  D E  M O T I V O S</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Los servicios periciales juegan un papel fundamental en la investigación del delito. Básicamente, permiten esclarecer y acreditar, con técnicas y análisis basados en la ciencia, los hechos posiblemente constitutivos de delitos, así como la participación de los probables responsables. Es decir, un peritaje proporciona evidencia sólida y confiable que respalda los dichos de las partes y permite clarificar la verdad.</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De esta manera, las leyes orgánicas de las fiscalías y de los poderes judiciales, y las leyes de seguridad pública, federales y estatales, prevén la existencia de servicios periciales o, en su caso, de policías científicas, con el propósito de que las investigaciones y sentencias estén respaldadas por la precisión que ofrece el conocimiento científico.</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 xml:space="preserve">En el Estado de México, los servicios periciales se encuentran concentrados en la Fiscalía General de Justicia y en el Poder Judicial, a través de la Unidad de Servicios Periciales y de la Dirección de </w:t>
      </w:r>
      <w:r w:rsidRPr="004F1E01">
        <w:rPr>
          <w:rFonts w:ascii="Times New Roman" w:eastAsia="Arial" w:hAnsi="Times New Roman" w:cs="Times New Roman"/>
          <w:sz w:val="24"/>
          <w:szCs w:val="24"/>
        </w:rPr>
        <w:lastRenderedPageBreak/>
        <w:t>Servicios Periciales, respectivamente.</w:t>
      </w:r>
      <w:r w:rsidRPr="004F1E01">
        <w:rPr>
          <w:rFonts w:ascii="Times New Roman" w:eastAsia="Arial" w:hAnsi="Times New Roman" w:cs="Times New Roman"/>
          <w:sz w:val="24"/>
          <w:szCs w:val="24"/>
          <w:vertAlign w:val="superscript"/>
        </w:rPr>
        <w:t>1</w:t>
      </w:r>
      <w:r w:rsidRPr="004F1E01">
        <w:rPr>
          <w:rFonts w:ascii="Times New Roman" w:eastAsia="Arial" w:hAnsi="Times New Roman" w:cs="Times New Roman"/>
          <w:sz w:val="24"/>
          <w:szCs w:val="24"/>
        </w:rPr>
        <w:t xml:space="preserve"> Esto significa que la práctica pericial está directamente vinculada a la actuación del Ministerio Público y de los jueces.</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No obstante, tanto la Constitución Política de los Estados Unidos Mexicanos, como la particular del Estado de México y el Código Nacional de Procedimientos Penales, garantizan el principio de igualdad entre las partes, y reconocen el derecho de las víctimas, por un lado, y de los probables responsables de un delito, por el otro, a tener las mismas oportunidades para esclarecer la verdad de los hechos.</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Así pues, los artículos 10 y 11 del Código Nacional de Procedimientos Penales desarrollan el principio referido:</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i/>
          <w:sz w:val="24"/>
          <w:szCs w:val="24"/>
        </w:rPr>
        <w:t>Artículo 10. Principio de igualdad ante la ley</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i/>
          <w:sz w:val="24"/>
          <w:szCs w:val="24"/>
        </w:rPr>
        <w:t>Todas las personas que intervengan en el procedimiento penal recibirán el mismo trato y tendrán las mismas oportunidades para sostener la acusación o la defensa. No se admitirá discriminación motivada por origen étnico o nacional, género, edad, discapacidad, condición social, condición de salud, religión, opinión, preferencia sexual, estado civil o cualquier otra que atente contra la dignidad humana y tenga por objeto anular o menoscabar los derechos y las libertades de las personas.</w:t>
      </w:r>
    </w:p>
    <w:p w:rsidR="00A01B62" w:rsidRPr="004F1E01" w:rsidRDefault="00A01B62" w:rsidP="00A01B62">
      <w:pPr>
        <w:spacing w:after="0" w:line="240" w:lineRule="auto"/>
        <w:jc w:val="both"/>
        <w:rPr>
          <w:rFonts w:ascii="Times New Roman" w:eastAsia="Arial"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0"/>
          <w:szCs w:val="20"/>
        </w:rPr>
      </w:pPr>
      <w:r w:rsidRPr="004F1E01">
        <w:rPr>
          <w:rFonts w:ascii="Times New Roman" w:eastAsia="Arial" w:hAnsi="Times New Roman" w:cs="Times New Roman"/>
          <w:sz w:val="20"/>
          <w:szCs w:val="20"/>
          <w:vertAlign w:val="superscript"/>
        </w:rPr>
        <w:t>1</w:t>
      </w:r>
      <w:r w:rsidRPr="004F1E01">
        <w:rPr>
          <w:rFonts w:ascii="Times New Roman" w:eastAsia="Arial" w:hAnsi="Times New Roman" w:cs="Times New Roman"/>
          <w:sz w:val="20"/>
          <w:szCs w:val="20"/>
        </w:rPr>
        <w:t xml:space="preserve"> Artículo 37 de la Ley Orgánica de la Fiscalía General del Justicia del Estado de México, y artículo 354 de la Ley Orgánica del Poder Judicial del Estado de México.</w:t>
      </w:r>
    </w:p>
    <w:p w:rsidR="00A01B62" w:rsidRPr="004F1E01" w:rsidRDefault="00A01B62" w:rsidP="00A01B62">
      <w:pPr>
        <w:spacing w:after="0" w:line="240" w:lineRule="auto"/>
        <w:jc w:val="both"/>
        <w:rPr>
          <w:rFonts w:ascii="Times New Roman" w:eastAsia="Arial" w:hAnsi="Times New Roman" w:cs="Times New Roman"/>
          <w:sz w:val="20"/>
          <w:szCs w:val="24"/>
        </w:rPr>
      </w:pPr>
      <w:r w:rsidRPr="004F1E01">
        <w:rPr>
          <w:rFonts w:ascii="Times New Roman" w:eastAsia="Arial" w:hAnsi="Times New Roman" w:cs="Times New Roman"/>
          <w:sz w:val="20"/>
          <w:szCs w:val="24"/>
          <w:vertAlign w:val="superscript"/>
        </w:rPr>
        <w:t>2</w:t>
      </w:r>
      <w:r w:rsidRPr="004F1E01">
        <w:rPr>
          <w:rFonts w:ascii="Times New Roman" w:eastAsia="Arial" w:hAnsi="Times New Roman" w:cs="Times New Roman"/>
          <w:sz w:val="20"/>
          <w:szCs w:val="24"/>
        </w:rPr>
        <w:t xml:space="preserve"> Código Nacional de Procedimientos Penales. https:/</w:t>
      </w:r>
      <w:hyperlink r:id="rId46">
        <w:r w:rsidRPr="004F1E01">
          <w:rPr>
            <w:rFonts w:ascii="Times New Roman" w:eastAsia="Arial" w:hAnsi="Times New Roman" w:cs="Times New Roman"/>
            <w:sz w:val="20"/>
            <w:szCs w:val="24"/>
          </w:rPr>
          <w:t>/www.diputados.gob.mx/LeyesBiblio/pdf/CNPP.pdf</w:t>
        </w:r>
      </w:hyperlink>
    </w:p>
    <w:p w:rsidR="00A01B62" w:rsidRPr="004F1E01" w:rsidRDefault="00A01B62" w:rsidP="00A01B62">
      <w:pPr>
        <w:spacing w:after="0" w:line="240" w:lineRule="auto"/>
        <w:jc w:val="both"/>
        <w:rPr>
          <w:rFonts w:ascii="Times New Roman" w:eastAsia="Arial" w:hAnsi="Times New Roman" w:cs="Times New Roman"/>
          <w:sz w:val="20"/>
          <w:szCs w:val="24"/>
        </w:rPr>
      </w:pPr>
      <w:r w:rsidRPr="004F1E01">
        <w:rPr>
          <w:rFonts w:ascii="Times New Roman" w:eastAsia="Arial" w:hAnsi="Times New Roman" w:cs="Times New Roman"/>
          <w:sz w:val="20"/>
          <w:szCs w:val="24"/>
          <w:vertAlign w:val="superscript"/>
        </w:rPr>
        <w:t>3</w:t>
      </w:r>
      <w:r w:rsidRPr="004F1E01">
        <w:rPr>
          <w:rFonts w:ascii="Times New Roman" w:eastAsia="Arial" w:hAnsi="Times New Roman" w:cs="Times New Roman"/>
          <w:sz w:val="20"/>
          <w:szCs w:val="24"/>
        </w:rPr>
        <w:t xml:space="preserve"> La "igualdad de armas" se refiere a un principio procesal que exige que todas las partes, como la</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i/>
          <w:sz w:val="24"/>
          <w:szCs w:val="24"/>
        </w:rPr>
        <w:t>Las autoridades velarán por que las personas en las condiciones o circunstancias señaladas en el párrafo anterior, sean atendidas a fin de garantizar la igualdad sobre la base de la equidad en el ejercicio de sus derechos. En el caso de las personas con discapacidad, deberán preverse ajustes razonables al procedimiento cuando se requiera.</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i/>
          <w:sz w:val="24"/>
          <w:szCs w:val="24"/>
        </w:rPr>
        <w:t>Artículo 11. Principio de igualdad entre las partes</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i/>
          <w:sz w:val="24"/>
          <w:szCs w:val="24"/>
        </w:rPr>
        <w:t>Se garantiza a las partes, en condiciones de igualdad, el pleno e irrestricto ejercicio de los derechos previstos en la Constitución, los Tratados y las leyes que de ellos emanen.</w:t>
      </w:r>
      <w:r w:rsidRPr="004F1E01">
        <w:rPr>
          <w:rFonts w:ascii="Times New Roman" w:eastAsia="Arial" w:hAnsi="Times New Roman" w:cs="Times New Roman"/>
          <w:i/>
          <w:sz w:val="24"/>
          <w:szCs w:val="24"/>
          <w:vertAlign w:val="superscript"/>
        </w:rPr>
        <w:t>2</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Bajo esta lógica, es indispensable que quienes intervienen en investigaciones de hechos posiblemente constitutivos de delito, tales como representantes de colectivos que buscan familiares desaparecidos, víctimas que no están conformes con los peritajes realizados por la autoridad e incluso litigantes que defienden la presunción de inocencia de sus representados, tengan acceso a servicios periciales independientes, imparciales y gratuitos.</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Existen, desde luego, peritos particulares, pero el alto costo de sus servicios, que varían según la complejidad de cada caso, el tipo de dictamen requerido y el tiempo invertido, los convierte en una opción inaccesible para la inmensa mayoría de las personas que enfrentan procesos penales o de búsqueda de personas desaparecidas, quedando, de este modo, en un estado de indefensión.</w:t>
      </w:r>
    </w:p>
    <w:p w:rsidR="00A01B62" w:rsidRPr="004F1E01" w:rsidRDefault="00A01B62" w:rsidP="00A01B62">
      <w:pPr>
        <w:spacing w:after="0" w:line="240" w:lineRule="auto"/>
        <w:jc w:val="both"/>
        <w:rPr>
          <w:rFonts w:ascii="Times New Roman" w:eastAsia="Arial"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0"/>
          <w:szCs w:val="24"/>
        </w:rPr>
      </w:pPr>
      <w:r w:rsidRPr="004F1E01">
        <w:rPr>
          <w:rFonts w:ascii="Times New Roman" w:eastAsia="Arial" w:hAnsi="Times New Roman" w:cs="Times New Roman"/>
          <w:sz w:val="20"/>
          <w:szCs w:val="24"/>
          <w:vertAlign w:val="superscript"/>
        </w:rPr>
        <w:t>2</w:t>
      </w:r>
      <w:r w:rsidRPr="004F1E01">
        <w:rPr>
          <w:rFonts w:ascii="Times New Roman" w:eastAsia="Arial" w:hAnsi="Times New Roman" w:cs="Times New Roman"/>
          <w:sz w:val="20"/>
          <w:szCs w:val="24"/>
        </w:rPr>
        <w:t xml:space="preserve"> Código Nacional de Procedimientos Penales. https:/</w:t>
      </w:r>
      <w:hyperlink r:id="rId47">
        <w:r w:rsidRPr="004F1E01">
          <w:rPr>
            <w:rFonts w:ascii="Times New Roman" w:eastAsia="Arial" w:hAnsi="Times New Roman" w:cs="Times New Roman"/>
            <w:sz w:val="20"/>
            <w:szCs w:val="24"/>
          </w:rPr>
          <w:t>/www.diputados.gob.mx/LeyesBiblio/pdf/CNPP.pdf</w:t>
        </w:r>
      </w:hyperlink>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lastRenderedPageBreak/>
        <w:t>Siguiendo esta premisa, es necesario garantizar que no sólo la Fiscalía, sino todos los intervinientes en la investigación de hechos delictivos, tengan acceso gratuito a servicios periciales independientes y de calidad, a fin de poder contrastar los realizados por la autoridad, y así ubicarse en “igualdad de armas”</w:t>
      </w:r>
      <w:r w:rsidRPr="004F1E01">
        <w:rPr>
          <w:rFonts w:ascii="Times New Roman" w:eastAsia="Arial" w:hAnsi="Times New Roman" w:cs="Times New Roman"/>
          <w:sz w:val="24"/>
          <w:szCs w:val="24"/>
          <w:vertAlign w:val="superscript"/>
        </w:rPr>
        <w:t>3</w:t>
      </w:r>
      <w:r w:rsidRPr="004F1E01">
        <w:rPr>
          <w:rFonts w:ascii="Times New Roman" w:eastAsia="Arial" w:hAnsi="Times New Roman" w:cs="Times New Roman"/>
          <w:sz w:val="24"/>
          <w:szCs w:val="24"/>
        </w:rPr>
        <w:t xml:space="preserve"> para defender su inocencia, o esclarecer y probar determinados hechos a su favor.</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En este sentido, la presente iniciativa busca hacer efectivo el principio constitucional de igualdad entre las partes, a través de la creación de un Instituto Mexiquense de Servicios Periciales que ofrezca peritajes gratuitos, independientes e imparciales que permitan revisar y fortalecer las pruebas de la autoridad ministerial, así como buscar nuevas evidencias que puedan marcar la diferencia entre la acusación y la defensa.</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La creación de este Instituto representaría un avance significativo en materia de acceso a la justicia y respeto a los derechos humanos, pues no sólo garantizaría la igualdad entre las partes, sino que elevaría la calidad de la justicia y otorgaría mayor confianza a la sociedad en el proceso judicial.</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Se podría argumentar, quizá, que lo que verdaderamente se requieren son servicios periciales únicos e independientes que lleven a cabo peritajes tanto para la autoridad ministerial como para los defensores, víctimas u organizaciones sociales, como ya ocurre en Jalisco. Sin embargo, aunque la propuesta podría parecer atractiva, eliminaría facultades importantes y restaría recursos considerables a la Fiscalía y al Poder Judicial.</w:t>
      </w:r>
    </w:p>
    <w:p w:rsidR="00A01B62" w:rsidRPr="004F1E01" w:rsidRDefault="00A01B62" w:rsidP="00A01B62">
      <w:pPr>
        <w:spacing w:after="0" w:line="240" w:lineRule="auto"/>
        <w:jc w:val="both"/>
        <w:rPr>
          <w:rFonts w:ascii="Times New Roman" w:eastAsia="Calibri" w:hAnsi="Times New Roman" w:cs="Times New Roman"/>
          <w:sz w:val="24"/>
          <w:szCs w:val="24"/>
        </w:rPr>
      </w:pPr>
    </w:p>
    <w:p w:rsidR="00A01B62" w:rsidRPr="004F1E01" w:rsidRDefault="00A01B62" w:rsidP="00A01B62">
      <w:pPr>
        <w:spacing w:after="0" w:line="240" w:lineRule="auto"/>
        <w:jc w:val="both"/>
        <w:rPr>
          <w:rFonts w:ascii="Times New Roman" w:eastAsia="Calibri" w:hAnsi="Times New Roman" w:cs="Times New Roman"/>
          <w:sz w:val="20"/>
          <w:szCs w:val="24"/>
        </w:rPr>
      </w:pPr>
      <w:r w:rsidRPr="004F1E01">
        <w:rPr>
          <w:rFonts w:ascii="Times New Roman" w:eastAsia="Arial" w:hAnsi="Times New Roman" w:cs="Times New Roman"/>
          <w:sz w:val="20"/>
          <w:szCs w:val="24"/>
          <w:vertAlign w:val="superscript"/>
        </w:rPr>
        <w:t>3</w:t>
      </w:r>
      <w:r w:rsidRPr="004F1E01">
        <w:rPr>
          <w:rFonts w:ascii="Times New Roman" w:eastAsia="Arial" w:hAnsi="Times New Roman" w:cs="Times New Roman"/>
          <w:sz w:val="20"/>
          <w:szCs w:val="24"/>
        </w:rPr>
        <w:t xml:space="preserve"> La "igualdad de armas" se refiere a un principio procesal que exige que todas las partes, como la fiscalía y la defensa, cuenten con las mismas oportunidades y recursos para presentar sus argumentos y pruebas, de modo que ninguna se encuentre en desventaja significativa respecto a la otra.</w:t>
      </w:r>
      <w:r w:rsidRPr="004F1E01">
        <w:rPr>
          <w:rFonts w:ascii="Times New Roman" w:eastAsia="Calibri" w:hAnsi="Times New Roman" w:cs="Times New Roman"/>
          <w:sz w:val="20"/>
          <w:szCs w:val="24"/>
        </w:rPr>
        <w:t xml:space="preserve"> </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Así, lo que esta iniciativa busca, es la creación de un organismo público descentralizado, no sectorizado, que con plena autonomía pueda realizar peritajes gratuitos para fortalecer las investigaciones de hechos delictivos o, en su caso, para resolver contradicciones, sin desaparecer los que actualmente ofrecen las instituciones de procuración y administración de justicia.</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Es necesario destacar que, con esta reforma, se reduciría de forma importante la enorme carga de trabajo que actualmente tiene la Unidad de Servicios Periciales de la Fiscalía General de Justicia, permitiendo con ello incrementar su eficacia en la integración de carpetas de investigación. No se trata de debilitar a la Fiscalía ni al Poder Judicial, sino de generar un modelo institucional más ágil y eficiente para todos, incluidas las autoridades.</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Este Instituto contaría con una Junta de Gobierno, presidida por la persona titular de la Secretaría General de Gobierno e integrada por seis vocalías de origen ciudadano: un representante de las asociaciones y colegios de abogados del Estado; cuatro representantes de organizaciones sociales y de víctimas; y una persona experta en las ciencias y técnicas forenses, con reconocido prestigio académico.</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t>Contaría, además, con personal técnico y científico, y con el equipamiento necesario para poder llevar a cabo sus funciones. Su presupuesto sería aportado por el Gobierno del Estado y, para atraer, retener y motivar a peritos independientes de calidad, se establecería un servicio de carrera que otorgue estabilidad y posibilidad de crecimiento profesional a largo plazo.</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sz w:val="24"/>
          <w:szCs w:val="24"/>
        </w:rPr>
        <w:lastRenderedPageBreak/>
        <w:t>En definitiva, la existencia de servicios periciales gratuitos, independientes e imparciales, resolvería una deuda histórica con quienes han enfrentado procesos judiciales en situación de desigualdad, democratizaría el acceso al conocimiento científico y contribuiría a consolidar un sistema de justicia más equitativo, que verdaderamente proteja los derechos de las víctimas y logre abatir la impunidad.</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rPr>
          <w:rFonts w:ascii="Times New Roman" w:eastAsia="Arial" w:hAnsi="Times New Roman" w:cs="Times New Roman"/>
          <w:sz w:val="24"/>
          <w:szCs w:val="24"/>
        </w:rPr>
      </w:pPr>
      <w:r w:rsidRPr="004F1E01">
        <w:rPr>
          <w:rFonts w:ascii="Times New Roman" w:eastAsia="Arial" w:hAnsi="Times New Roman" w:cs="Times New Roman"/>
          <w:sz w:val="24"/>
          <w:szCs w:val="24"/>
        </w:rPr>
        <w:t>Por lo expuesto, sometemos a consideración de este órgano legislativo, la iniciativa con proyecto de decreto que se acompaña.</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center"/>
        <w:rPr>
          <w:rFonts w:ascii="Times New Roman" w:eastAsia="Arial" w:hAnsi="Times New Roman" w:cs="Times New Roman"/>
          <w:sz w:val="24"/>
          <w:szCs w:val="24"/>
        </w:rPr>
      </w:pPr>
      <w:r w:rsidRPr="004F1E01">
        <w:rPr>
          <w:rFonts w:ascii="Times New Roman" w:eastAsia="Arial" w:hAnsi="Times New Roman" w:cs="Times New Roman"/>
          <w:b/>
          <w:sz w:val="24"/>
          <w:szCs w:val="24"/>
        </w:rPr>
        <w:t>A T E N T A M E N T E</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center"/>
        <w:rPr>
          <w:rFonts w:ascii="Times New Roman" w:eastAsia="Arial" w:hAnsi="Times New Roman" w:cs="Times New Roman"/>
          <w:sz w:val="24"/>
          <w:szCs w:val="24"/>
        </w:rPr>
      </w:pPr>
      <w:r w:rsidRPr="004F1E01">
        <w:rPr>
          <w:rFonts w:ascii="Times New Roman" w:eastAsia="Arial" w:hAnsi="Times New Roman" w:cs="Times New Roman"/>
          <w:b/>
          <w:sz w:val="24"/>
          <w:szCs w:val="24"/>
        </w:rPr>
        <w:t>PROYECTO DE DECRETO</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b/>
          <w:sz w:val="24"/>
          <w:szCs w:val="24"/>
        </w:rPr>
        <w:t xml:space="preserve">DECRETO NÚMERO </w:t>
      </w:r>
      <w:r w:rsidRPr="004F1E01">
        <w:rPr>
          <w:rFonts w:ascii="Times New Roman" w:eastAsia="Arial" w:hAnsi="Times New Roman" w:cs="Times New Roman"/>
          <w:b/>
          <w:sz w:val="24"/>
          <w:szCs w:val="24"/>
          <w:u w:val="thick" w:color="000000"/>
        </w:rPr>
        <w:tab/>
      </w:r>
    </w:p>
    <w:p w:rsidR="00A01B62" w:rsidRPr="004F1E01" w:rsidRDefault="00A01B62" w:rsidP="00A01B62">
      <w:pPr>
        <w:spacing w:after="0" w:line="240" w:lineRule="auto"/>
        <w:rPr>
          <w:rFonts w:ascii="Times New Roman" w:eastAsia="Arial" w:hAnsi="Times New Roman" w:cs="Times New Roman"/>
          <w:b/>
          <w:sz w:val="24"/>
          <w:szCs w:val="24"/>
        </w:rPr>
      </w:pPr>
      <w:r w:rsidRPr="004F1E01">
        <w:rPr>
          <w:rFonts w:ascii="Times New Roman" w:eastAsia="Arial" w:hAnsi="Times New Roman" w:cs="Times New Roman"/>
          <w:b/>
          <w:sz w:val="24"/>
          <w:szCs w:val="24"/>
        </w:rPr>
        <w:t>LA H. "LXII" LEGISLATURA DEL ESTADO DE MÉXICO</w:t>
      </w:r>
    </w:p>
    <w:p w:rsidR="00A01B62" w:rsidRPr="004F1E01" w:rsidRDefault="00A01B62" w:rsidP="00A01B62">
      <w:pPr>
        <w:spacing w:after="0" w:line="240" w:lineRule="auto"/>
        <w:rPr>
          <w:rFonts w:ascii="Times New Roman" w:eastAsia="Arial" w:hAnsi="Times New Roman" w:cs="Times New Roman"/>
          <w:sz w:val="24"/>
          <w:szCs w:val="24"/>
        </w:rPr>
      </w:pPr>
      <w:r w:rsidRPr="004F1E01">
        <w:rPr>
          <w:rFonts w:ascii="Times New Roman" w:eastAsia="Arial" w:hAnsi="Times New Roman" w:cs="Times New Roman"/>
          <w:b/>
          <w:sz w:val="24"/>
          <w:szCs w:val="24"/>
        </w:rPr>
        <w:t>DECRETA:</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b/>
          <w:sz w:val="24"/>
          <w:szCs w:val="24"/>
        </w:rPr>
        <w:t xml:space="preserve">ARTÍCULO ÚNICO.- </w:t>
      </w:r>
      <w:r w:rsidRPr="004F1E01">
        <w:rPr>
          <w:rFonts w:ascii="Times New Roman" w:eastAsia="Arial" w:hAnsi="Times New Roman" w:cs="Times New Roman"/>
          <w:sz w:val="24"/>
          <w:szCs w:val="24"/>
        </w:rPr>
        <w:t>Se expide la Ley Orgánica del Instituto Mexiquense de Servicios Periciales, para quedar como sigue:</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center"/>
        <w:rPr>
          <w:rFonts w:ascii="Times New Roman" w:eastAsia="Arial" w:hAnsi="Times New Roman" w:cs="Times New Roman"/>
          <w:sz w:val="24"/>
          <w:szCs w:val="24"/>
        </w:rPr>
      </w:pPr>
      <w:r w:rsidRPr="004F1E01">
        <w:rPr>
          <w:rFonts w:ascii="Times New Roman" w:eastAsia="Arial" w:hAnsi="Times New Roman" w:cs="Times New Roman"/>
          <w:b/>
          <w:sz w:val="24"/>
          <w:szCs w:val="24"/>
        </w:rPr>
        <w:t>LEY ORGÁNICA DEL INSTITUTO MEXIQUENSE DE SERVICIOS PERICIALES CAPÍTULO I</w:t>
      </w:r>
    </w:p>
    <w:p w:rsidR="00A01B62" w:rsidRPr="004F1E01" w:rsidRDefault="00A01B62" w:rsidP="00A01B62">
      <w:pPr>
        <w:spacing w:after="0" w:line="240" w:lineRule="auto"/>
        <w:jc w:val="center"/>
        <w:rPr>
          <w:rFonts w:ascii="Times New Roman" w:eastAsia="Arial" w:hAnsi="Times New Roman" w:cs="Times New Roman"/>
          <w:sz w:val="24"/>
          <w:szCs w:val="24"/>
        </w:rPr>
      </w:pPr>
      <w:r w:rsidRPr="004F1E01">
        <w:rPr>
          <w:rFonts w:ascii="Times New Roman" w:eastAsia="Arial" w:hAnsi="Times New Roman" w:cs="Times New Roman"/>
          <w:b/>
          <w:sz w:val="24"/>
          <w:szCs w:val="24"/>
        </w:rPr>
        <w:t>DISPOSICIONES GENERALES</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b/>
          <w:sz w:val="24"/>
          <w:szCs w:val="24"/>
        </w:rPr>
        <w:t>Artículo 1.- La presente ley es de orden público y tiene por objeto establecer y organizar al Instituto Mexiquense de Servicios Periciales, para propiciar la práctica y emisión de dictámenes periciales con los avances de la ciencia y la técnica, de carácter imparcial y con autonomía técnica.</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b/>
          <w:sz w:val="24"/>
          <w:szCs w:val="24"/>
        </w:rPr>
        <w:t>Artículo 2.- Se establece el organismo público descentralizado con personalidad jurídica y patrimonio propios, que se denomina “Instituto Mexiquense de Servicios Periciales”, con domicilio en la ciudad de Toluca de Lerdo.</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b/>
          <w:sz w:val="24"/>
          <w:szCs w:val="24"/>
        </w:rPr>
        <w:t>Artículo 3. Para los efectos de esta ley, se entenderá por:</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4F1E01" w:rsidRDefault="00A01B62" w:rsidP="00A01B62">
      <w:pPr>
        <w:spacing w:after="0" w:line="240" w:lineRule="auto"/>
        <w:jc w:val="both"/>
        <w:rPr>
          <w:rFonts w:ascii="Times New Roman" w:eastAsia="Arial" w:hAnsi="Times New Roman" w:cs="Times New Roman"/>
          <w:sz w:val="24"/>
          <w:szCs w:val="24"/>
        </w:rPr>
      </w:pPr>
      <w:r w:rsidRPr="004F1E01">
        <w:rPr>
          <w:rFonts w:ascii="Times New Roman" w:eastAsia="Arial" w:hAnsi="Times New Roman" w:cs="Times New Roman"/>
          <w:b/>
          <w:sz w:val="24"/>
          <w:szCs w:val="24"/>
        </w:rPr>
        <w:t>I. Instituto: Instituto Mexiquense de Servicios Periciales; y</w:t>
      </w:r>
    </w:p>
    <w:p w:rsidR="00A01B62" w:rsidRPr="004F1E01"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Servicios periciales: El conjunto de conocimientos aplicados al estudio, análisis e investigación de los hechos posiblemente delictuosos y la participación en los mismos de los probables responsables, a través de los estudios verificados mediante técnicas basadas en la ciencia, a fin de proporcionar la información que contribuya a esclarecerlos con objetividad;</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Defensores: A los defensores públicos y a los representantes de personas desaparecidas, víctimas del delito;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Interés Público: A los hechos o procesos judiciales que impacten en el interés de la población, más allá del interés de las partes en dichos hechos o procesos judiciales;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lastRenderedPageBreak/>
        <w:t>V. Perito Tercero en Discordia: A los peritos del Instituto que lleven a cabo peritajes y emitan dictámenes para esclarecer dos dictámenes periciales contradictorios.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CAPÍTULO II</w:t>
      </w: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DE LOS OBJETIVOS Y FINES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4.- El Instituto garantizará que sus actividades se realicen dentro de la ciencia y la técnica, en beneficio de los habitantes del Estado, debiendo mantener en todo momento la autonomía técnica en sus trabajos. En el cumplimiento de sus atribuciones, podrá coordinarse con otras dependencias y entidades del Gobierno Estatal y de los municipios, así como con los sectores privado, académico y social.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5.- El Instituto tendrá los siguientes objetivos: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Establecer y operar un sistema de servicios periciales gratuito, independiente e imparcial;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Coordinarse con los servicios periciales de la Fiscalía General de Justicia del Estado de México y del Poder Judicial del Estado de México, para la aprobación y publicación de normas, lineamientos y criterios técnicos y científicos de las diversas especialidades de los servicios periciales; los reglamentos, normas y requisitos de acreditación del desempeño profesional de los peritos; las normas técnicas y los requisitos aplicables para la validación y certificación;</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Coordinarse con la Fiscalía General de Justicia del Estado de México y el Poder Judicial del Estado de México para acreditar y evaluar a los peritos forenses que presten servicios de manera oficial o particular; para tal efecto, acordará con dichas dependencias las normas técnicas aplicables que deberán ser publicadas en periódico oficial "Gaceta del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Validar y certificar de oficio los dictámenes periciales realizados por sus unidades administrativas y, a petición de parte, por otras dependencias públicas del Estado o particulares interesados;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 Auxiliar a los defensores e intervinientes en procesos judiciales de interés público en la elaboración o, en su caso, en la validación de los dictámenes periciales forenses;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 Administrar los laboratorios que tenga asignados y desconcentrarlos en los municipios del Estado;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 Prestar trabajos periciales especializados de carácter gratuito para defensores e intervinientes en hechos y procesos judiciales de interés público;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VIII. Llevar a cabo peritajes y emitir dictámenes como Perito Tercero en Discordia, en los casos en que se le solicite esclarecer dos dictámenes periciales contradictorios;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IX. Prestar sus servicios a personas físicas o jurídicas de interés público que lo soliciten;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X. Las demás que establezcan esta Ley.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6.- En materia de servicios periciales, el Instituto tendrá las siguientes facultades: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Diseñar y establecer los criterios, normas técnicas y lineamientos a que deben apegarse la presentación y formulación de los dictámenes e informes de las diversas especialidades periciales;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Elaborar los mecanismos, procedimientos, programas de supervisión y seguimiento de las actividades que realicen los peritos adscritos al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Evaluar y supervisar la intervención de los peritos del Instituto, en las diversas especialidades;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Atender sin demora, las peticiones de servicios periciales que formulen defensores o intervinientes de procesos judiciales de interés público, la</w:t>
      </w:r>
      <w:r w:rsidRPr="007A27A5">
        <w:rPr>
          <w:rFonts w:ascii="Times New Roman" w:eastAsia="Arial" w:hAnsi="Times New Roman" w:cs="Times New Roman"/>
          <w:sz w:val="24"/>
          <w:szCs w:val="24"/>
        </w:rPr>
        <w:t xml:space="preserve"> </w:t>
      </w:r>
      <w:r w:rsidRPr="007A27A5">
        <w:rPr>
          <w:rFonts w:ascii="Times New Roman" w:eastAsia="Arial" w:hAnsi="Times New Roman" w:cs="Times New Roman"/>
          <w:b/>
          <w:sz w:val="24"/>
          <w:szCs w:val="24"/>
        </w:rPr>
        <w:t>autoridad judicial o administrativa, y canalizarlas, para su atención, a los titulares de las diversas áreas de especialidades de su adscripción;</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 Establecer el procedimiento de registro y control, para la atención de las peticiones de servicios periciales, formuladas por los defensores o intervinientes de procesos judiciales de interés público, la autoridad judicial o administrativa, así como elaborar los informes y estadísticas correspondientes;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 Establecer y operar un sistema de supervisión permanente del personal técnico científico de las diversas especialidades periciales del Instituto, a efecto de garantizar que cumplan y observen las normas jurídico administrativas vigentes en la materia;</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 Habilitar peritos cuando el Instituto no cuente con especialistas en una determinada disciplina, ciencia o arte que se requiera o en casos urgentes;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VIII. Proponer programas de intercambio de experiencias, conocimientos y avances tecnológicos con las unidades de servicios periciales de las fiscalías y de las direcciones de servicios periciales de los poderes judiciales, o sus equivalentes, para lograr el mejoramiento y la modernización de sus funciones.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CAPÍTULO III</w:t>
      </w:r>
    </w:p>
    <w:p w:rsidR="00A01B62" w:rsidRPr="007A27A5" w:rsidRDefault="00A01B62" w:rsidP="00A01B62">
      <w:pPr>
        <w:spacing w:after="0" w:line="240" w:lineRule="auto"/>
        <w:jc w:val="center"/>
        <w:rPr>
          <w:rFonts w:ascii="Times New Roman" w:eastAsia="Arial" w:hAnsi="Times New Roman" w:cs="Times New Roman"/>
          <w:b/>
          <w:sz w:val="24"/>
          <w:szCs w:val="24"/>
        </w:rPr>
      </w:pPr>
      <w:r w:rsidRPr="007A27A5">
        <w:rPr>
          <w:rFonts w:ascii="Times New Roman" w:eastAsia="Arial" w:hAnsi="Times New Roman" w:cs="Times New Roman"/>
          <w:b/>
          <w:sz w:val="24"/>
          <w:szCs w:val="24"/>
        </w:rPr>
        <w:t>DE LOS ÓRGANOS DEL INSTITUTO</w:t>
      </w:r>
    </w:p>
    <w:p w:rsidR="00A01B62" w:rsidRPr="007A27A5" w:rsidRDefault="00A01B62" w:rsidP="00A01B62">
      <w:pPr>
        <w:spacing w:after="0" w:line="240" w:lineRule="auto"/>
        <w:rPr>
          <w:rFonts w:ascii="Times New Roman" w:eastAsia="Arial" w:hAnsi="Times New Roman" w:cs="Times New Roman"/>
          <w:b/>
          <w:sz w:val="24"/>
          <w:szCs w:val="24"/>
        </w:rPr>
      </w:pPr>
    </w:p>
    <w:p w:rsidR="00A01B62" w:rsidRPr="007A27A5" w:rsidRDefault="00A01B62" w:rsidP="00A01B62">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7.- Los órganos del Instituto serán:</w:t>
      </w:r>
    </w:p>
    <w:p w:rsidR="00A01B62" w:rsidRPr="007A27A5" w:rsidRDefault="00A01B62" w:rsidP="00A01B62">
      <w:pPr>
        <w:spacing w:after="0" w:line="240" w:lineRule="auto"/>
        <w:jc w:val="both"/>
        <w:rPr>
          <w:rFonts w:ascii="Times New Roman" w:eastAsia="Arial" w:hAnsi="Times New Roman" w:cs="Times New Roman"/>
          <w:b/>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La Junta de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La Dirección General;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La Tesorería.</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CAPÍTULO IV</w:t>
      </w: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DE LA JUNTA DE GOBIERNO Y SUS ATRIBUCIONES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lastRenderedPageBreak/>
        <w:t>Artículo 8.- La Junta de Gobierno es el máximo órgano de gobierno del Instituto. Será presidida por la persona titular de la Secretaría General de Gobierno y se integrará por seis vocalías honoríficas, con derecho a voz y voto, conforme a lo siguiente:</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Una persona representante de las asociaciones y colegios de abogados del Estado;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Cuatro representantes de organizaciones sociales, de víctimas y de personas desaparecidas;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Una persona experta en las ciencias y técnicas forenses, con prestigio académico en las mismas.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Los vocales a que se refieren las fracciones I, II y III serán designados por el Congreso del Estado, por mayoría calificada de 2/3 partes de sus integrantes, a propuesta de la persona titular del Poder Ejecutivo. Durarán en su encargo tres años y podrán ser ratificados para un período adicional.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9.- La Junta de Gobierno deberá reunirse, por lo menos, una vez al mes y cada vez que la convoque el presidente por sí o a solicitud de alguno de los miembros de ésta.</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10.- La Junta de Gobierno tendrá las siguientes atribuciones: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Establecer las reglas y normas técnicas, para la emisión y control de calidad de los dictámenes periciales que emita 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Resolver sobre las políticas y criterios generales del Instituto, a propuesta de la persona titular de la Dirección General;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Estudiar, y en su caso aprobar, los nombramientos del personal directivo que proponga la persona titular de la Dirección General;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Examinar, y en su caso aprobar, dentro de los cuatro primeros meses del año, los estados financieros y el informe de actividades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 Aprobar anualmente el presupuesto del Instituto, que será remitido a la persona titular del Poder Ejecutivo del Estado, conforme a la legislación aplicable;</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 Examinar, y en su caso aprobar, los planes de trabajo;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 Proponer a la persona titular del Poder Ejecutivo las medidas de mejoramiento, fortalecimiento, ampliación o incremento de sus presupuestos, y en general de todas las medidas que tiendan a la optimización de sus servicios;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VIII. Estudiar, y en su caso aprobar, los tabuladores y prestaciones correspondientes al personal del Instituto, propuestos por la persona titular de la Dirección General;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IX. Expedir el reglamento interior del Instituto;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lastRenderedPageBreak/>
        <w:t>X. Las demás necesarias para el cumplimiento de los fines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11.- La Junta de Gobierno presentará a la persona titular del Poder Ejecutivo un dictamen sobre los estados financieros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12.- El balance anual del Instituto deberá publicarse dentro de los treinta días siguientes a la fecha en que sea aprobado por la Junta de Gobierno, en el periódico oficial "Gaceta del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CAPÍTULO V</w:t>
      </w: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DE LAS ATRIBUCIONES DE LA PERSONA TITULAR DE LA DIRECCIÓN GENERAL, DE LA PERSONA TITULAR DE LA TESORERÍA Y DE LAS UNIDADES ADMINISTRATIVAS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13.- La persona titular de la Dirección General del Instituto será nombrada por la Junta de Gobierno, a propuesta de la persona titular del Poder Ejecutivo del Estado. Para ocupar dicho cargo, se requiere:</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Ser mexicano por nacimiento y vecino del Estado, mínimo por dos años al día de su designación, en pleno goce de sus derechos;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Tener cuando menos 35 años de edad cumplidos al día de su designación;</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Poseer título de licenciado en derecho expedido por institución educativa legalmente facultada</w:t>
      </w:r>
      <w:r w:rsidRPr="007A27A5">
        <w:rPr>
          <w:rFonts w:ascii="Times New Roman" w:eastAsia="Calibri" w:hAnsi="Times New Roman" w:cs="Times New Roman"/>
          <w:sz w:val="24"/>
          <w:szCs w:val="24"/>
        </w:rPr>
        <w:t xml:space="preserve"> </w:t>
      </w:r>
      <w:r w:rsidRPr="007A27A5">
        <w:rPr>
          <w:rFonts w:ascii="Times New Roman" w:eastAsia="Arial" w:hAnsi="Times New Roman" w:cs="Times New Roman"/>
          <w:b/>
          <w:sz w:val="24"/>
          <w:szCs w:val="24"/>
        </w:rPr>
        <w:t>para ello y tener por lo menos diez años de ejercicio profesional;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No haber sido condenado por delitos dolosos que ameriten pena privativa de la libertad;</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 No estar condenado por sentencia ejecutoriada por el delito de violencia política contra las mujeres en razón de género, o por delitos de violencia familiar, contra la libertad sexual o de violencia de género;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 No estar inscrito en el Registro Nacional de Obligaciones Alimentarias;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 Gozar de reconocida honorabilidad y de buena reputación.</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14.- La Persona titular de la Dirección General del Instituto ejecutará los acuerdos de la Junta de Gobierno y será el superior jerárquico de todas las unidades administrativas del Instituto; tendrá, además, las siguientes funciones: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Representar legalmente al Instituto con todas las facultades para administrar los bienes y negocios del Instituto, con plenas facultades de gestión, representación y dominio. El patrimonio inmobiliario no podrá ser enajenado, sino con autorización previa del Congreso del Estado. Estas facultades las ejercerá en la forma en que acuerde la Junta de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Asistir a las sesiones de la Junta de Gobierno sólo con derecho a voz;</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Ejecutar los acuerdos de la Junta de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Someter a la decisión de la Junta de Gobierno todos aquellos asuntos que sean de su ámbito competencial;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 Proponer a la Junta de Gobierno los proyectos y planes de trabajo;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 Poner a consideración de la Junta de Gobierno los contratos y convenios necesarios para las actividades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 Proponer el anteproyecto de presupuesto de egresos anual del Instituto y someterlo a la aprobación de la Junta de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VIII. Nombrar y remover al personal, señalando sus funciones y remuneraciones;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IX. Presentar anualmente a la Junta de Gobierno, dentro de los dos primeros meses del año siguiente, los estados financieros y el Informe de actividades del ejercicio anterior;</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X. Presentar a la Junta de Gobierno un informe trimestral sobre las actividades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XI. Presentar anualmente a la Junta de Gobierno el programa de trabajo, requerimientos de equipo, capacitación y recursos humanos;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XII. Las demás que le sean asignadas por la Junta de Gobierno, los reglamentos respectivos y demás disposiciones legales aplicables.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15.- La Dirección General del Instituto, para el ejercicio de las atribuciones, funciones y despacho de los asuntos de su competencia, se auxiliará de las siguientes unidades administrativas, mismas que podrán ser incrementadas, suprimidas o modificadas por acuerdo de la Junta de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Dirección de Laboratorios;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Dirección de Dictaminación Pericial;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Dirección de Investigación y Capacitación;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Coordinación Administrativa.</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16.- La Tesorería del Instituto tendrá a su cargo los siguientes asuntos: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Llevar la contabilidad del Instituto, tramitando y resolviendo los asuntos financieros que se le encomienden;</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Formular los estados financieros, balance anual e informes estadísticos y económicos del Instituto, y presentarlos a la consideración de la Junta de Gobierno, por conducto de la persona titular de la Dirección General;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Informar a la persona titular de la Dirección General, el estado de la contabilidad y los movimientos financieros;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Supervisar los registros y procedimientos contables del Instituto, así como los informes, registros y procedimientos de oficinas y personal;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 Ordenar pagos conjuntamente con la persona titular de la Dirección General;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 Vigilar que las transacciones financieras que hubiere acordado la Junta de Gobierno se realicen en los términos ordenados y se registren correctamente;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VIII. Las demás que se prevean en el reglamento interno, o expresamente se le encomienden.</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17.- Los titulares de las unidades a que se refiere el artículo 15 de esta ley, tendrán las atribuciones que señale el reglamento interno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CAPÍTULO VI</w:t>
      </w: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DE LOS CONVENIOS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18.- El Instituto podrá celebrar convenios de coordinación o de colaboración con las dependencias federales, estatales y municipales, así como con otras dependencias de las entidades federativas e instituciones de educación superior, para la prestación de los servicios periciales, asesorías e intercambios en la materia.</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CAPÍTULO VII</w:t>
      </w: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DE LOS SERVIDORES PÚBLICOS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20.- Los servidores públicos que presten sus servicios al Instituto se regirán por los estatutos jurídicos que apliquen a los servidores públicos del Estado.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Los servidores públicos adscritos al Instituto que desempeñen funciones técnicas o científicas estarán sujetos a las reglas y bases del Servicio Civil de Carrera que al efecto se establezca en el reglamento interior.</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21.- Son requisitos del personal encargado de aplicar las normas técnicas y elaborar los dictámenes periciales, contar con título profesional o especialidad técnica, debidamente acreditada, que lo faculte para ejercer la ciencia o especialidad técnica de que se trate.</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22.- El personal técnico y profesional será sujeto de responsabilidad administrativa, por los siguientes motivos: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Incumplir, retrasar o perjudicar por negligencia la debida actuación del Instituto;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Realizar o encubrir conductas que atenten contra la imparcialidad y autonomía técnica de los dictámenes periciales;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III. Utilizar, para uso propio o ajeno, el equipo del Instituto;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Omitir la práctica de las diligencias de campo necesarias, según la naturaleza de cada asunto.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lastRenderedPageBreak/>
        <w:t>Artículo 23.- El personal encargado de aplicar las normas técnicas y realizar los dictámenes deberá:</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Formular los dictámenes que se le soliciten; y</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Verificar que las técnicas que se aplican en los dictámenes periciales sean las más avanzadas y adecuadas.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CAPÍTULO VIII</w:t>
      </w:r>
    </w:p>
    <w:p w:rsidR="00A01B62" w:rsidRPr="007A27A5" w:rsidRDefault="00A01B62" w:rsidP="00A01B62">
      <w:pPr>
        <w:spacing w:after="0" w:line="240" w:lineRule="auto"/>
        <w:jc w:val="center"/>
        <w:rPr>
          <w:rFonts w:ascii="Times New Roman" w:eastAsia="Arial" w:hAnsi="Times New Roman" w:cs="Times New Roman"/>
          <w:b/>
          <w:sz w:val="24"/>
          <w:szCs w:val="24"/>
        </w:rPr>
      </w:pPr>
      <w:r w:rsidRPr="007A27A5">
        <w:rPr>
          <w:rFonts w:ascii="Times New Roman" w:eastAsia="Arial" w:hAnsi="Times New Roman" w:cs="Times New Roman"/>
          <w:b/>
          <w:sz w:val="24"/>
          <w:szCs w:val="24"/>
        </w:rPr>
        <w:t>DEL PATRIMONIO DEL INSTITUTO</w:t>
      </w:r>
    </w:p>
    <w:p w:rsidR="00A01B62" w:rsidRPr="007A27A5" w:rsidRDefault="00A01B62" w:rsidP="00A01B62">
      <w:pPr>
        <w:spacing w:after="0" w:line="240" w:lineRule="auto"/>
        <w:rPr>
          <w:rFonts w:ascii="Times New Roman" w:eastAsia="Arial" w:hAnsi="Times New Roman" w:cs="Times New Roman"/>
          <w:b/>
          <w:sz w:val="24"/>
          <w:szCs w:val="24"/>
        </w:rPr>
      </w:pPr>
    </w:p>
    <w:p w:rsidR="00A01B62" w:rsidRPr="007A27A5" w:rsidRDefault="00A01B62" w:rsidP="00A01B62">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24.- El patrimonio del Instituto se formará con:</w:t>
      </w:r>
    </w:p>
    <w:p w:rsidR="00A01B62" w:rsidRPr="007A27A5" w:rsidRDefault="00A01B62" w:rsidP="00A01B62">
      <w:pPr>
        <w:spacing w:after="0" w:line="240" w:lineRule="auto"/>
        <w:jc w:val="both"/>
        <w:rPr>
          <w:rFonts w:ascii="Times New Roman" w:eastAsia="Arial" w:hAnsi="Times New Roman" w:cs="Times New Roman"/>
          <w:b/>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Las aportaciones en numerario, servicios y subsidios que proporcione el gobierno estatal;</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II. Las aportaciones que perciba conforme a los convenios que celebre;</w:t>
      </w:r>
    </w:p>
    <w:p w:rsidR="00A01B62" w:rsidRPr="007A27A5" w:rsidRDefault="00A01B62" w:rsidP="00A01B62">
      <w:pPr>
        <w:spacing w:after="0" w:line="240" w:lineRule="auto"/>
        <w:rPr>
          <w:rFonts w:ascii="Times New Roman" w:eastAsia="Arial" w:hAnsi="Times New Roman" w:cs="Times New Roman"/>
          <w:b/>
          <w:sz w:val="24"/>
          <w:szCs w:val="24"/>
        </w:rPr>
      </w:pPr>
    </w:p>
    <w:p w:rsidR="00A01B62" w:rsidRPr="007A27A5" w:rsidRDefault="00A01B62" w:rsidP="00A01B62">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III. Con los bienes y derechos que adquiera por cualquier título; y</w:t>
      </w:r>
    </w:p>
    <w:p w:rsidR="00A01B62" w:rsidRPr="007A27A5" w:rsidRDefault="00A01B62" w:rsidP="00A01B62">
      <w:pPr>
        <w:spacing w:after="0" w:line="240" w:lineRule="auto"/>
        <w:rPr>
          <w:rFonts w:ascii="Times New Roman" w:eastAsia="Arial"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 Todos los demás bienes o derechos que perciba, o que en el futuro llegue a adquirir.</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25.- Los ingresos que perciba el Instituto se destinarán, en primer término, a cubrir los gastos de administración por los servicios que preste; al pago de adeudos contraídos y, si hubiera remanente, se constituirá un fondo de reserva para la ampliación y mejoramiento del Instituto, depositando los excedentes en instituciones financieras debidamente reguladas.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Podrán crearse por acuerdo de la Junta de Gobierno, los fondos que se consideren convenientes para los programas específicos y, con los productos, se ampliarán los propios fondos o pasarán a formar parte del ingreso.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T R A N S I T O R I O S</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PRIMERO.- </w:t>
      </w:r>
      <w:r w:rsidRPr="007A27A5">
        <w:rPr>
          <w:rFonts w:ascii="Times New Roman" w:eastAsia="Arial" w:hAnsi="Times New Roman" w:cs="Times New Roman"/>
          <w:sz w:val="24"/>
          <w:szCs w:val="24"/>
        </w:rPr>
        <w:t>Publíquese el presente Decreto en el Periódico Oficial "Gaceta del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SEGUNDO.- </w:t>
      </w:r>
      <w:r w:rsidRPr="007A27A5">
        <w:rPr>
          <w:rFonts w:ascii="Times New Roman" w:eastAsia="Arial" w:hAnsi="Times New Roman" w:cs="Times New Roman"/>
          <w:sz w:val="24"/>
          <w:szCs w:val="24"/>
        </w:rPr>
        <w:t>El presente Decreto entrará en vigor al día siguiente de su publicación en el Periódico Oficial "Gaceta del Gobierno".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7A27A5"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TERCERO.- </w:t>
      </w:r>
      <w:r w:rsidRPr="007A27A5">
        <w:rPr>
          <w:rFonts w:ascii="Times New Roman" w:eastAsia="Arial" w:hAnsi="Times New Roman" w:cs="Times New Roman"/>
          <w:sz w:val="24"/>
          <w:szCs w:val="24"/>
        </w:rPr>
        <w:t>Se derogan todas las disposiciones que se opongan al presente Decreto.</w:t>
      </w:r>
    </w:p>
    <w:p w:rsidR="00A01B62" w:rsidRPr="007A27A5" w:rsidRDefault="00A01B62" w:rsidP="00A01B62">
      <w:pPr>
        <w:spacing w:after="0" w:line="240" w:lineRule="auto"/>
        <w:rPr>
          <w:rFonts w:ascii="Times New Roman" w:eastAsia="Times New Roman" w:hAnsi="Times New Roman" w:cs="Times New Roman"/>
          <w:sz w:val="24"/>
          <w:szCs w:val="24"/>
        </w:rPr>
      </w:pPr>
    </w:p>
    <w:p w:rsidR="00A01B62" w:rsidRPr="00880BBE" w:rsidRDefault="00A01B62" w:rsidP="00A01B62">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CUARTO.- </w:t>
      </w:r>
      <w:r w:rsidRPr="007A27A5">
        <w:rPr>
          <w:rFonts w:ascii="Times New Roman" w:eastAsia="Arial" w:hAnsi="Times New Roman" w:cs="Times New Roman"/>
          <w:sz w:val="24"/>
          <w:szCs w:val="24"/>
        </w:rPr>
        <w:t xml:space="preserve">La Junta de </w:t>
      </w:r>
      <w:r w:rsidRPr="00880BBE">
        <w:rPr>
          <w:rFonts w:ascii="Times New Roman" w:eastAsia="Arial" w:hAnsi="Times New Roman" w:cs="Times New Roman"/>
          <w:sz w:val="24"/>
          <w:szCs w:val="24"/>
        </w:rPr>
        <w:t>Gobierno del Instituto contará con un plazo de 30 días naturales, a partir de la entrada en vigor del presente Decreto, para emitir el Reglamento Interior del Instituto.</w:t>
      </w:r>
    </w:p>
    <w:p w:rsidR="00A01B62" w:rsidRPr="00880BBE" w:rsidRDefault="00A01B62" w:rsidP="00A01B62">
      <w:pPr>
        <w:spacing w:after="0" w:line="240" w:lineRule="auto"/>
        <w:rPr>
          <w:rFonts w:ascii="Times New Roman" w:eastAsia="Times New Roman" w:hAnsi="Times New Roman" w:cs="Times New Roman"/>
          <w:sz w:val="24"/>
          <w:szCs w:val="24"/>
        </w:rPr>
      </w:pPr>
    </w:p>
    <w:p w:rsidR="00A01B62" w:rsidRPr="00880BBE" w:rsidRDefault="00A01B62" w:rsidP="00A01B62">
      <w:pPr>
        <w:spacing w:after="0" w:line="240" w:lineRule="auto"/>
        <w:jc w:val="both"/>
        <w:rPr>
          <w:rFonts w:ascii="Times New Roman" w:eastAsia="Calibri" w:hAnsi="Times New Roman" w:cs="Times New Roman"/>
          <w:sz w:val="24"/>
          <w:szCs w:val="24"/>
        </w:rPr>
      </w:pPr>
      <w:r w:rsidRPr="00880BBE">
        <w:rPr>
          <w:rFonts w:ascii="Times New Roman" w:eastAsia="Arial" w:hAnsi="Times New Roman" w:cs="Times New Roman"/>
          <w:sz w:val="24"/>
          <w:szCs w:val="24"/>
        </w:rPr>
        <w:t xml:space="preserve">Dado en el Palacio del Poder Legislativo, en la ciudad de Toluca de Lerdo, capital del Estado de México, a los </w:t>
      </w:r>
      <w:r w:rsidRPr="00880BBE">
        <w:rPr>
          <w:rFonts w:ascii="Times New Roman" w:eastAsia="Arial" w:hAnsi="Times New Roman" w:cs="Times New Roman"/>
          <w:sz w:val="24"/>
          <w:szCs w:val="24"/>
        </w:rPr>
        <w:tab/>
      </w:r>
      <w:r w:rsidRPr="00880BBE">
        <w:rPr>
          <w:rFonts w:ascii="Times New Roman" w:eastAsia="Arial" w:hAnsi="Times New Roman" w:cs="Times New Roman"/>
          <w:sz w:val="24"/>
          <w:szCs w:val="24"/>
          <w:u w:val="single" w:color="000000"/>
        </w:rPr>
        <w:tab/>
        <w:t xml:space="preserve"> </w:t>
      </w:r>
      <w:r w:rsidRPr="00880BBE">
        <w:rPr>
          <w:rFonts w:ascii="Times New Roman" w:eastAsia="Arial" w:hAnsi="Times New Roman" w:cs="Times New Roman"/>
          <w:sz w:val="24"/>
          <w:szCs w:val="24"/>
        </w:rPr>
        <w:t xml:space="preserve">días del mes de </w:t>
      </w:r>
      <w:r w:rsidRPr="00880BBE">
        <w:rPr>
          <w:rFonts w:ascii="Times New Roman" w:eastAsia="Arial" w:hAnsi="Times New Roman" w:cs="Times New Roman"/>
          <w:sz w:val="24"/>
          <w:szCs w:val="24"/>
          <w:u w:val="single" w:color="000000"/>
        </w:rPr>
        <w:tab/>
        <w:t xml:space="preserve"> </w:t>
      </w:r>
      <w:r w:rsidRPr="00880BBE">
        <w:rPr>
          <w:rFonts w:ascii="Times New Roman" w:eastAsia="Arial" w:hAnsi="Times New Roman" w:cs="Times New Roman"/>
          <w:sz w:val="24"/>
          <w:szCs w:val="24"/>
        </w:rPr>
        <w:t>del año</w:t>
      </w:r>
      <w:r w:rsidRPr="00880BBE">
        <w:rPr>
          <w:rFonts w:ascii="Times New Roman" w:eastAsia="Arial" w:hAnsi="Times New Roman" w:cs="Times New Roman"/>
          <w:sz w:val="24"/>
          <w:szCs w:val="24"/>
          <w:u w:val="single" w:color="000000"/>
        </w:rPr>
        <w:tab/>
      </w:r>
    </w:p>
    <w:p w:rsidR="00A01B62" w:rsidRPr="00880BBE" w:rsidRDefault="00A01B62" w:rsidP="00A01B62">
      <w:pPr>
        <w:spacing w:after="0" w:line="240" w:lineRule="auto"/>
        <w:jc w:val="both"/>
        <w:rPr>
          <w:rFonts w:ascii="Times New Roman" w:eastAsia="Calibri" w:hAnsi="Times New Roman" w:cs="Times New Roman"/>
          <w:sz w:val="24"/>
          <w:szCs w:val="24"/>
        </w:rPr>
      </w:pPr>
    </w:p>
    <w:p w:rsidR="00AD13CA" w:rsidRPr="00880BBE" w:rsidRDefault="00AD13CA" w:rsidP="00A01B62">
      <w:pPr>
        <w:spacing w:after="0" w:line="240" w:lineRule="auto"/>
        <w:jc w:val="center"/>
        <w:rPr>
          <w:rFonts w:ascii="Times New Roman" w:hAnsi="Times New Roman"/>
          <w:i/>
          <w:sz w:val="24"/>
          <w:szCs w:val="24"/>
        </w:rPr>
      </w:pPr>
      <w:r w:rsidRPr="00880BBE">
        <w:rPr>
          <w:rFonts w:ascii="Times New Roman" w:hAnsi="Times New Roman"/>
          <w:i/>
          <w:sz w:val="24"/>
          <w:szCs w:val="24"/>
        </w:rPr>
        <w:t>(Fin del documento)</w:t>
      </w:r>
    </w:p>
    <w:p w:rsidR="00AD13CA" w:rsidRPr="00880BBE" w:rsidRDefault="00AD13CA" w:rsidP="00A01B62">
      <w:pPr>
        <w:spacing w:after="0" w:line="240" w:lineRule="auto"/>
        <w:jc w:val="center"/>
        <w:rPr>
          <w:rFonts w:ascii="Times New Roman" w:hAnsi="Times New Roman"/>
          <w:sz w:val="24"/>
          <w:szCs w:val="24"/>
        </w:rPr>
      </w:pPr>
    </w:p>
    <w:p w:rsidR="000C639D" w:rsidRPr="00880BBE" w:rsidRDefault="000C639D" w:rsidP="000C639D">
      <w:pPr>
        <w:pStyle w:val="Sinespaciado"/>
      </w:pPr>
      <w:r w:rsidRPr="00880BBE">
        <w:rPr>
          <w:kern w:val="2"/>
          <w:lang w:eastAsia="es-MX"/>
        </w:rPr>
        <w:t xml:space="preserve">PRESIDENTA DIP. MARTHA AZUCENA CAMACHO REYNOSO. </w:t>
      </w:r>
      <w:r w:rsidRPr="00880BBE">
        <w:t>Gracias diputada María Mercedes Colín Guadarrama.</w:t>
      </w:r>
    </w:p>
    <w:p w:rsidR="000C639D" w:rsidRPr="00880BBE" w:rsidRDefault="000C639D" w:rsidP="000C639D">
      <w:pPr>
        <w:pStyle w:val="Sinespaciado"/>
      </w:pPr>
      <w:r w:rsidRPr="00880BBE">
        <w:lastRenderedPageBreak/>
        <w:tab/>
        <w:t>Se registra y se remite la Comisión Legislativa de Procuración y Administración de Justicia, para su estudio y dictamen.</w:t>
      </w:r>
    </w:p>
    <w:p w:rsidR="000C639D" w:rsidRPr="00880BBE" w:rsidRDefault="000C639D" w:rsidP="000C639D">
      <w:pPr>
        <w:pStyle w:val="Sinespaciado"/>
      </w:pPr>
      <w:r w:rsidRPr="00880BBE">
        <w:tab/>
        <w:t>En cuanto al punto 16 y a petición del diputado Alejandro Castro Hernández, se omite la lectura de la Iniciativa con Proyecto de Decreto por el que se adicionan y reforman diversas disposiciones de la Ley de Víctimas, de la Ley de los Derechos de Niñas, Niños y Adolescentes, y de la Ley Orgánica Municipal, todas del Estado de México, para ampliar y fortalecer la atención a víctimas del delito, con especial énfasis en niñas, niños y adolescentes, presentada por el diputado Alejandro Castro Hernández y el diputado Elías Rescala Jiménez, en nombre del Grupo Parlamentario del Partido Revolucionario Institucional.</w:t>
      </w:r>
    </w:p>
    <w:p w:rsidR="00146FA6" w:rsidRPr="00880BBE" w:rsidRDefault="00146FA6" w:rsidP="005F1F14">
      <w:pPr>
        <w:pStyle w:val="Sinespaciado"/>
      </w:pPr>
    </w:p>
    <w:p w:rsidR="00146FA6" w:rsidRPr="00880BBE" w:rsidRDefault="00146FA6" w:rsidP="005F1F14">
      <w:pPr>
        <w:spacing w:after="0" w:line="240" w:lineRule="auto"/>
        <w:jc w:val="center"/>
        <w:rPr>
          <w:rFonts w:ascii="Times New Roman" w:hAnsi="Times New Roman"/>
          <w:i/>
          <w:sz w:val="24"/>
          <w:szCs w:val="24"/>
        </w:rPr>
      </w:pPr>
      <w:r w:rsidRPr="00880BBE">
        <w:rPr>
          <w:rFonts w:ascii="Times New Roman" w:hAnsi="Times New Roman"/>
          <w:i/>
          <w:sz w:val="24"/>
          <w:szCs w:val="24"/>
        </w:rPr>
        <w:t>(Se inserta documento)</w:t>
      </w:r>
    </w:p>
    <w:p w:rsidR="00146FA6" w:rsidRPr="00880BBE" w:rsidRDefault="00146FA6" w:rsidP="005F1F14">
      <w:pPr>
        <w:spacing w:after="0" w:line="240" w:lineRule="auto"/>
        <w:jc w:val="center"/>
        <w:rPr>
          <w:rFonts w:ascii="Times New Roman" w:hAnsi="Times New Roman"/>
          <w:sz w:val="24"/>
          <w:szCs w:val="24"/>
        </w:rPr>
      </w:pPr>
    </w:p>
    <w:p w:rsidR="00146FA6" w:rsidRPr="00880BBE" w:rsidRDefault="00146FA6" w:rsidP="00146FA6">
      <w:pPr>
        <w:spacing w:after="0" w:line="240" w:lineRule="auto"/>
        <w:jc w:val="center"/>
        <w:rPr>
          <w:rFonts w:ascii="Times New Roman" w:eastAsia="Times New Roman" w:hAnsi="Times New Roman" w:cs="Times New Roman"/>
          <w:b/>
          <w:sz w:val="24"/>
          <w:szCs w:val="24"/>
        </w:rPr>
      </w:pPr>
      <w:r w:rsidRPr="00880BBE">
        <w:rPr>
          <w:rFonts w:ascii="Times New Roman" w:eastAsia="Times New Roman" w:hAnsi="Times New Roman" w:cs="Times New Roman"/>
          <w:b/>
          <w:sz w:val="24"/>
          <w:szCs w:val="24"/>
        </w:rPr>
        <w:t>Grupo Parlamentario del PRI</w:t>
      </w:r>
    </w:p>
    <w:p w:rsidR="00146FA6" w:rsidRPr="00880BBE"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right"/>
        <w:rPr>
          <w:rFonts w:ascii="Times New Roman" w:eastAsia="Arial" w:hAnsi="Times New Roman" w:cs="Times New Roman"/>
          <w:sz w:val="24"/>
          <w:szCs w:val="24"/>
        </w:rPr>
      </w:pPr>
      <w:r w:rsidRPr="00880BBE">
        <w:rPr>
          <w:rFonts w:ascii="Times New Roman" w:eastAsia="Arial" w:hAnsi="Times New Roman" w:cs="Times New Roman"/>
          <w:sz w:val="24"/>
          <w:szCs w:val="24"/>
        </w:rPr>
        <w:t xml:space="preserve">Toluca, Estado de México, a 19 de noviembre </w:t>
      </w:r>
      <w:r w:rsidRPr="007A27A5">
        <w:rPr>
          <w:rFonts w:ascii="Times New Roman" w:eastAsia="Arial" w:hAnsi="Times New Roman" w:cs="Times New Roman"/>
          <w:sz w:val="24"/>
          <w:szCs w:val="24"/>
        </w:rPr>
        <w:t>de 2025.</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DIPUTADA</w:t>
      </w:r>
    </w:p>
    <w:p w:rsidR="00146FA6" w:rsidRPr="007A27A5" w:rsidRDefault="00146FA6" w:rsidP="00146FA6">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MARTHA AZUCENA CAMACHO REYNOSO</w:t>
      </w:r>
    </w:p>
    <w:p w:rsidR="00146FA6" w:rsidRPr="007A27A5" w:rsidRDefault="00146FA6" w:rsidP="00146FA6">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PRESIDENTA DE LA H. “LXII” LEGISLATURA</w:t>
      </w: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DEL CONGRESO DEL ESTADO DE MÉXICO</w:t>
      </w: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P R E S E N T 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Los que suscriben, </w:t>
      </w:r>
      <w:r w:rsidRPr="007A27A5">
        <w:rPr>
          <w:rFonts w:ascii="Times New Roman" w:eastAsia="Arial" w:hAnsi="Times New Roman" w:cs="Times New Roman"/>
          <w:b/>
          <w:sz w:val="24"/>
          <w:szCs w:val="24"/>
        </w:rPr>
        <w:t xml:space="preserve">diputados Alejandro Castro Hernández y Elías Rescala Jiménez, integrantes del Grupo Parlamentario del Partido Revolucionario Institucional </w:t>
      </w:r>
      <w:r w:rsidRPr="007A27A5">
        <w:rPr>
          <w:rFonts w:ascii="Times New Roman" w:eastAsia="Arial" w:hAnsi="Times New Roman" w:cs="Times New Roman"/>
          <w:sz w:val="24"/>
          <w:szCs w:val="24"/>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sometemos a consideración de este órgano legislativo, la presente </w:t>
      </w:r>
      <w:r w:rsidRPr="007A27A5">
        <w:rPr>
          <w:rFonts w:ascii="Times New Roman" w:eastAsia="Arial" w:hAnsi="Times New Roman" w:cs="Times New Roman"/>
          <w:b/>
          <w:sz w:val="24"/>
          <w:szCs w:val="24"/>
        </w:rPr>
        <w:t xml:space="preserve">Iniciativa con proyecto de decreto por el que se adicionan y reforman diversas disposiciones de la Ley de Víctimas, de la Ley de los Derechos de Niñas, Niños y Adolescentes, y de la Ley Orgánica Municipal, todas del Estado de México, para ampliar y fortalecer la atención a víctimas del delito, con especial énfasis en niñas, niños y adolescentes, </w:t>
      </w:r>
      <w:r w:rsidRPr="007A27A5">
        <w:rPr>
          <w:rFonts w:ascii="Times New Roman" w:eastAsia="Arial" w:hAnsi="Times New Roman" w:cs="Times New Roman"/>
          <w:sz w:val="24"/>
          <w:szCs w:val="24"/>
        </w:rPr>
        <w:t>conforme a la siguiente: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E X P O S I C I </w:t>
      </w:r>
      <w:proofErr w:type="spellStart"/>
      <w:r w:rsidRPr="007A27A5">
        <w:rPr>
          <w:rFonts w:ascii="Times New Roman" w:eastAsia="Arial" w:hAnsi="Times New Roman" w:cs="Times New Roman"/>
          <w:b/>
          <w:sz w:val="24"/>
          <w:szCs w:val="24"/>
        </w:rPr>
        <w:t>Ó</w:t>
      </w:r>
      <w:proofErr w:type="spellEnd"/>
      <w:r w:rsidRPr="007A27A5">
        <w:rPr>
          <w:rFonts w:ascii="Times New Roman" w:eastAsia="Arial" w:hAnsi="Times New Roman" w:cs="Times New Roman"/>
          <w:b/>
          <w:sz w:val="24"/>
          <w:szCs w:val="24"/>
        </w:rPr>
        <w:t xml:space="preserve"> N  D E  M O T I V O 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El Estado de México mantiene una deuda histórica con las víctimas del delito, particularmente con las niñas, niños y adolescentes. A pesar de los importantes avances legislativos, como la promulgación de la Ley General de Víctimas en 2013 y la Ley de Víctimas estatal en 2015,</w:t>
      </w:r>
      <w:r w:rsidRPr="007A27A5">
        <w:rPr>
          <w:rFonts w:ascii="Times New Roman" w:eastAsia="Arial" w:hAnsi="Times New Roman" w:cs="Times New Roman"/>
          <w:color w:val="FF0000"/>
          <w:sz w:val="24"/>
          <w:szCs w:val="24"/>
          <w:vertAlign w:val="superscript"/>
        </w:rPr>
        <w:t>1</w:t>
      </w:r>
      <w:r w:rsidRPr="007A27A5">
        <w:rPr>
          <w:rFonts w:ascii="Times New Roman" w:eastAsia="Arial" w:hAnsi="Times New Roman" w:cs="Times New Roman"/>
          <w:sz w:val="24"/>
          <w:szCs w:val="24"/>
        </w:rPr>
        <w:t xml:space="preserve"> las autoridades administrativas y las de procuración de justicia aún no han logrado garantizar plenamente el acceso a la verdad, a la reparación integral del daño ni a la justicia.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Según la Encuesta Nacional de Victimización y Percepción sobre Seguridad 2024 (ENVIPE 2024), que publica el INEGI, en 2023 cerca del 40% de los hogares mexiquenses fueron víctimas de algún delito.</w:t>
      </w:r>
      <w:r w:rsidRPr="007A27A5">
        <w:rPr>
          <w:rFonts w:ascii="Times New Roman" w:eastAsia="Arial" w:hAnsi="Times New Roman" w:cs="Times New Roman"/>
          <w:color w:val="FF0000"/>
          <w:sz w:val="24"/>
          <w:szCs w:val="24"/>
          <w:vertAlign w:val="superscript"/>
        </w:rPr>
        <w:t>2</w:t>
      </w:r>
      <w:r w:rsidRPr="007A27A5">
        <w:rPr>
          <w:rFonts w:ascii="Times New Roman" w:eastAsia="Arial" w:hAnsi="Times New Roman" w:cs="Times New Roman"/>
          <w:sz w:val="24"/>
          <w:szCs w:val="24"/>
        </w:rPr>
        <w:t xml:space="preserve"> Cada año se cometen, en promedio, alrededor de 6.5 millones de delitos en la entidad, de los cuales se denuncia menos del 10%.</w:t>
      </w:r>
      <w:r w:rsidRPr="007A27A5">
        <w:rPr>
          <w:rFonts w:ascii="Times New Roman" w:eastAsia="Arial" w:hAnsi="Times New Roman" w:cs="Times New Roman"/>
          <w:color w:val="FF0000"/>
          <w:sz w:val="24"/>
          <w:szCs w:val="24"/>
          <w:vertAlign w:val="superscript"/>
        </w:rPr>
        <w:t>3</w:t>
      </w:r>
      <w:r w:rsidRPr="007A27A5">
        <w:rPr>
          <w:rFonts w:ascii="Times New Roman" w:eastAsia="Arial" w:hAnsi="Times New Roman" w:cs="Times New Roman"/>
          <w:sz w:val="24"/>
          <w:szCs w:val="24"/>
        </w:rPr>
        <w:t xml:space="preserve"> Este es el verdadero tamaño de la victimización en nuestro Estado.</w:t>
      </w:r>
    </w:p>
    <w:p w:rsidR="00146FA6" w:rsidRPr="007A27A5" w:rsidRDefault="00146FA6" w:rsidP="00146FA6">
      <w:pPr>
        <w:spacing w:after="0" w:line="240" w:lineRule="auto"/>
        <w:jc w:val="both"/>
        <w:rPr>
          <w:rFonts w:ascii="Times New Roman" w:eastAsia="Arial" w:hAnsi="Times New Roman" w:cs="Times New Roman"/>
          <w:sz w:val="24"/>
          <w:szCs w:val="24"/>
        </w:rPr>
      </w:pP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146FA6" w:rsidRPr="007A27A5" w:rsidTr="00146FA6">
        <w:trPr>
          <w:jc w:val="center"/>
        </w:trPr>
        <w:tc>
          <w:tcPr>
            <w:tcW w:w="9570" w:type="dxa"/>
          </w:tcPr>
          <w:p w:rsidR="00146FA6" w:rsidRPr="007A27A5" w:rsidRDefault="00146FA6" w:rsidP="00146FA6">
            <w:pPr>
              <w:spacing w:line="240" w:lineRule="auto"/>
              <w:jc w:val="center"/>
              <w:rPr>
                <w:sz w:val="24"/>
                <w:szCs w:val="24"/>
                <w:lang w:val="es-MX"/>
              </w:rPr>
            </w:pPr>
            <w:r w:rsidRPr="007A27A5">
              <w:rPr>
                <w:noProof/>
              </w:rPr>
              <w:lastRenderedPageBreak/>
              <w:drawing>
                <wp:anchor distT="0" distB="0" distL="114300" distR="114300" simplePos="0" relativeHeight="251659264" behindDoc="0" locked="0" layoutInCell="1" allowOverlap="1" wp14:anchorId="4063D443" wp14:editId="50D2D4EC">
                  <wp:simplePos x="0" y="0"/>
                  <wp:positionH relativeFrom="column">
                    <wp:posOffset>861819</wp:posOffset>
                  </wp:positionH>
                  <wp:positionV relativeFrom="paragraph">
                    <wp:posOffset>511</wp:posOffset>
                  </wp:positionV>
                  <wp:extent cx="4213875" cy="2375361"/>
                  <wp:effectExtent l="0" t="0" r="0" b="635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4213875" cy="2375361"/>
                          </a:xfrm>
                          <a:prstGeom prst="rect">
                            <a:avLst/>
                          </a:prstGeom>
                        </pic:spPr>
                      </pic:pic>
                    </a:graphicData>
                  </a:graphic>
                </wp:anchor>
              </w:drawing>
            </w:r>
          </w:p>
        </w:tc>
      </w:tr>
    </w:tbl>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En este contexto, de acuerdo con el Censo Nacional de Procuración de Justicia Estatal 2024,</w:t>
      </w:r>
      <w:r w:rsidRPr="007A27A5">
        <w:rPr>
          <w:rFonts w:ascii="Times New Roman" w:eastAsia="Arial" w:hAnsi="Times New Roman" w:cs="Times New Roman"/>
          <w:color w:val="FF0000"/>
          <w:sz w:val="24"/>
          <w:szCs w:val="24"/>
          <w:vertAlign w:val="superscript"/>
        </w:rPr>
        <w:t>4</w:t>
      </w:r>
      <w:r w:rsidRPr="007A27A5">
        <w:rPr>
          <w:rFonts w:ascii="Times New Roman" w:eastAsia="Arial" w:hAnsi="Times New Roman" w:cs="Times New Roman"/>
          <w:sz w:val="24"/>
          <w:szCs w:val="24"/>
        </w:rPr>
        <w:t xml:space="preserve"> la Fiscalía General del Justicia del Estado de México (FGJEM) cuenta con 1,345 agentes del Ministerio Público para atender a la totalidad de las víctimas. Paralelamente, existen servicios administrativos especializados, como las Unidades de Atención Inmediata y la Defensoría Especializada para Víctimas</w:t>
      </w:r>
      <w:r w:rsidRPr="007A27A5">
        <w:rPr>
          <w:rFonts w:ascii="Times New Roman" w:eastAsia="Arial" w:hAnsi="Times New Roman" w:cs="Times New Roman"/>
          <w:color w:val="FF0000"/>
          <w:sz w:val="24"/>
          <w:szCs w:val="24"/>
          <w:vertAlign w:val="superscript"/>
        </w:rPr>
        <w:t>5</w:t>
      </w:r>
      <w:r w:rsidRPr="007A27A5">
        <w:rPr>
          <w:rFonts w:ascii="Times New Roman" w:eastAsia="Arial" w:hAnsi="Times New Roman" w:cs="Times New Roman"/>
          <w:sz w:val="24"/>
          <w:szCs w:val="24"/>
        </w:rPr>
        <w:t xml:space="preserve"> que, de acuerdo con el primer informe de gobierno del Estado de México 2023-2024, brindaron 279,245 atenciones a víctimas.</w:t>
      </w:r>
      <w:r w:rsidRPr="007A27A5">
        <w:rPr>
          <w:rFonts w:ascii="Times New Roman" w:eastAsia="Arial" w:hAnsi="Times New Roman" w:cs="Times New Roman"/>
          <w:color w:val="FF0000"/>
          <w:sz w:val="24"/>
          <w:szCs w:val="24"/>
          <w:vertAlign w:val="superscript"/>
        </w:rPr>
        <w:t>6</w:t>
      </w:r>
    </w:p>
    <w:p w:rsidR="00146FA6" w:rsidRPr="007A27A5" w:rsidRDefault="00146FA6" w:rsidP="00146FA6">
      <w:pPr>
        <w:spacing w:after="0" w:line="240" w:lineRule="auto"/>
        <w:rPr>
          <w:rFonts w:ascii="Times New Roman" w:eastAsia="Arial"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w:t>
      </w:r>
      <w:r w:rsidRPr="007A27A5">
        <w:rPr>
          <w:rFonts w:ascii="Times New Roman" w:eastAsia="Arial" w:hAnsi="Times New Roman" w:cs="Times New Roman"/>
          <w:sz w:val="20"/>
          <w:szCs w:val="24"/>
        </w:rPr>
        <w:t xml:space="preserve"> Publicadas el 9 de enero de 2013 y el 17 de agosto de 2015, respectivamente.</w:t>
      </w:r>
    </w:p>
    <w:p w:rsidR="00146FA6" w:rsidRPr="007A27A5" w:rsidRDefault="00146FA6" w:rsidP="00146FA6">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2</w:t>
      </w:r>
      <w:r w:rsidRPr="007A27A5">
        <w:rPr>
          <w:rFonts w:ascii="Times New Roman" w:eastAsia="Arial" w:hAnsi="Times New Roman" w:cs="Times New Roman"/>
          <w:sz w:val="20"/>
          <w:szCs w:val="24"/>
        </w:rPr>
        <w:t xml:space="preserve"> Encuesta Nacional de Victimización y Percepción sobre Inseguridad 2024 (ENVIPE 2024) https:/</w:t>
      </w:r>
      <w:hyperlink r:id="rId49">
        <w:r w:rsidRPr="007A27A5">
          <w:rPr>
            <w:rFonts w:ascii="Times New Roman" w:eastAsia="Arial" w:hAnsi="Times New Roman" w:cs="Times New Roman"/>
            <w:sz w:val="20"/>
            <w:szCs w:val="24"/>
          </w:rPr>
          <w:t>/www.inegi.org.mx/contenidos/programas/envipe/2024/doc/envipe2024_mex.pdf</w:t>
        </w:r>
      </w:hyperlink>
    </w:p>
    <w:p w:rsidR="00146FA6" w:rsidRPr="007A27A5" w:rsidRDefault="00146FA6" w:rsidP="00146FA6">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3</w:t>
      </w:r>
      <w:r w:rsidRPr="007A27A5">
        <w:rPr>
          <w:rFonts w:ascii="Times New Roman" w:eastAsia="Arial" w:hAnsi="Times New Roman" w:cs="Times New Roman"/>
          <w:sz w:val="20"/>
          <w:szCs w:val="24"/>
        </w:rPr>
        <w:t xml:space="preserve"> ENVIPE 2024.</w:t>
      </w:r>
    </w:p>
    <w:p w:rsidR="00146FA6" w:rsidRPr="007A27A5" w:rsidRDefault="00146FA6" w:rsidP="00146FA6">
      <w:pPr>
        <w:spacing w:after="0" w:line="240" w:lineRule="auto"/>
        <w:jc w:val="both"/>
        <w:rPr>
          <w:rFonts w:ascii="Times New Roman" w:eastAsia="Times New Roman" w:hAnsi="Times New Roman" w:cs="Times New Roman"/>
          <w:sz w:val="20"/>
          <w:szCs w:val="24"/>
        </w:rPr>
      </w:pPr>
      <w:r w:rsidRPr="007A27A5">
        <w:rPr>
          <w:rFonts w:ascii="Times New Roman" w:eastAsia="Arial" w:hAnsi="Times New Roman" w:cs="Times New Roman"/>
          <w:color w:val="FF0000"/>
          <w:sz w:val="20"/>
          <w:szCs w:val="24"/>
          <w:vertAlign w:val="superscript"/>
        </w:rPr>
        <w:t>4</w:t>
      </w:r>
      <w:r w:rsidRPr="007A27A5">
        <w:rPr>
          <w:rFonts w:ascii="Times New Roman" w:eastAsia="Arial" w:hAnsi="Times New Roman" w:cs="Times New Roman"/>
          <w:sz w:val="20"/>
          <w:szCs w:val="24"/>
        </w:rPr>
        <w:t xml:space="preserve"> INEGI. Censo Nacional de Procuración de Justicia Federal 2024. Disponible en: https:/</w:t>
      </w:r>
      <w:hyperlink r:id="rId50">
        <w:r w:rsidRPr="007A27A5">
          <w:rPr>
            <w:rFonts w:ascii="Times New Roman" w:eastAsia="Arial" w:hAnsi="Times New Roman" w:cs="Times New Roman"/>
            <w:sz w:val="20"/>
            <w:szCs w:val="24"/>
          </w:rPr>
          <w:t>/www.inegi.org.mx/programas/cnpjf/2024/</w:t>
        </w:r>
      </w:hyperlink>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Sin embargo, frente a los 4.3 millones de víctimas que hubo tan sólo en 2023, es evidente que las autoridades competentes se encuentran rebasadas por la magnitud del fenómeno delictivo. Dicho de otra manera: el número de víctimas supera con creces la capacidad operativa e institucional del Estado, lo que amplía la brecha entre derechos reconocidos y efectivamente garantizados.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La situación presenta un rostro aún más preocupante: las niñas, niños y adolescentes víctimas del delito. El Estado de México alberga a más de cinco millones de personas menores de edad,</w:t>
      </w:r>
      <w:r w:rsidRPr="007A27A5">
        <w:rPr>
          <w:rFonts w:ascii="Times New Roman" w:eastAsia="Arial" w:hAnsi="Times New Roman" w:cs="Times New Roman"/>
          <w:color w:val="FF0000"/>
          <w:sz w:val="24"/>
          <w:szCs w:val="24"/>
          <w:vertAlign w:val="superscript"/>
        </w:rPr>
        <w:t>7</w:t>
      </w:r>
      <w:r w:rsidRPr="007A27A5">
        <w:rPr>
          <w:rFonts w:ascii="Times New Roman" w:eastAsia="Arial" w:hAnsi="Times New Roman" w:cs="Times New Roman"/>
          <w:sz w:val="24"/>
          <w:szCs w:val="24"/>
        </w:rPr>
        <w:t xml:space="preserve"> lo que lo convierte no sólo en la entidad con mayor población infantil y adolescente del país, sino también en la que mayores desafíos enfrenta para garantizar su protección.</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Pese a contar con un marco jurídico sólido en la materia, que incluye normas de rango constitucional, así como leyes general y estatal para proteger los derechos de niñas, niños y adolescentes,</w:t>
      </w:r>
      <w:r w:rsidRPr="007A27A5">
        <w:rPr>
          <w:rFonts w:ascii="Times New Roman" w:eastAsia="Arial" w:hAnsi="Times New Roman" w:cs="Times New Roman"/>
          <w:color w:val="FF0000"/>
          <w:sz w:val="24"/>
          <w:szCs w:val="24"/>
          <w:vertAlign w:val="superscript"/>
        </w:rPr>
        <w:t>8</w:t>
      </w:r>
      <w:r w:rsidRPr="007A27A5">
        <w:rPr>
          <w:rFonts w:ascii="Times New Roman" w:eastAsia="Arial" w:hAnsi="Times New Roman" w:cs="Times New Roman"/>
          <w:sz w:val="24"/>
          <w:szCs w:val="24"/>
        </w:rPr>
        <w:t xml:space="preserve"> los niveles de victimización de menores de 18 años continúan siendo alarmantes.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5</w:t>
      </w:r>
      <w:r w:rsidRPr="007A27A5">
        <w:rPr>
          <w:rFonts w:ascii="Times New Roman" w:eastAsia="Arial" w:hAnsi="Times New Roman" w:cs="Times New Roman"/>
          <w:sz w:val="20"/>
          <w:szCs w:val="24"/>
        </w:rPr>
        <w:t xml:space="preserve"> La Ley de Víctimas del Estado de México contempla la existencia de la Comisión Ejecutiva de Atención a Víctimas, que a su vez ha desplegado dos grandes estructuras de atención: las Unidades de Atención Inmediata y Primer Contacto, y la Defensoría Especializada para Víctimas y Ofendidos del Delito.</w:t>
      </w:r>
    </w:p>
    <w:p w:rsidR="00146FA6" w:rsidRPr="007A27A5" w:rsidRDefault="00146FA6" w:rsidP="00146FA6">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6</w:t>
      </w:r>
      <w:r w:rsidRPr="007A27A5">
        <w:rPr>
          <w:rFonts w:ascii="Times New Roman" w:eastAsia="Arial" w:hAnsi="Times New Roman" w:cs="Times New Roman"/>
          <w:sz w:val="20"/>
          <w:szCs w:val="24"/>
        </w:rPr>
        <w:t xml:space="preserve"> Según datos del primer informe de gobierno del Estado de México, se han brindado 279,245 atenciones a víctimas, que incluyen, entre otros, 33,682 patrocinios jurídicos, 23,102 atenciones psicológicas y 26,525 intervenciones de trabajo social.</w:t>
      </w:r>
    </w:p>
    <w:p w:rsidR="00146FA6" w:rsidRPr="007A27A5" w:rsidRDefault="00146FA6" w:rsidP="00146FA6">
      <w:pPr>
        <w:spacing w:after="0" w:line="240" w:lineRule="auto"/>
        <w:jc w:val="both"/>
        <w:rPr>
          <w:rFonts w:ascii="Times New Roman" w:eastAsia="Calibri" w:hAnsi="Times New Roman" w:cs="Times New Roman"/>
          <w:sz w:val="20"/>
          <w:szCs w:val="20"/>
        </w:rPr>
      </w:pPr>
      <w:r w:rsidRPr="007A27A5">
        <w:rPr>
          <w:rFonts w:ascii="Times New Roman" w:eastAsia="Arial" w:hAnsi="Times New Roman" w:cs="Times New Roman"/>
          <w:color w:val="FF0000"/>
          <w:sz w:val="20"/>
          <w:szCs w:val="20"/>
          <w:vertAlign w:val="superscript"/>
        </w:rPr>
        <w:t>7</w:t>
      </w:r>
      <w:r w:rsidRPr="007A27A5">
        <w:rPr>
          <w:rFonts w:ascii="Times New Roman" w:eastAsia="Arial" w:hAnsi="Times New Roman" w:cs="Times New Roman"/>
          <w:sz w:val="20"/>
          <w:szCs w:val="20"/>
        </w:rPr>
        <w:t xml:space="preserve"> INEGI. Censo de Población y Vivienda 2020.</w:t>
      </w:r>
      <w:r w:rsidRPr="007A27A5">
        <w:rPr>
          <w:rFonts w:ascii="Times New Roman" w:eastAsia="Calibri" w:hAnsi="Times New Roman" w:cs="Times New Roman"/>
          <w:sz w:val="20"/>
          <w:szCs w:val="20"/>
        </w:rPr>
        <w:t xml:space="preserve"> </w:t>
      </w:r>
    </w:p>
    <w:p w:rsidR="00146FA6" w:rsidRPr="007A27A5" w:rsidRDefault="00146FA6" w:rsidP="00146FA6">
      <w:pPr>
        <w:spacing w:after="0" w:line="240" w:lineRule="auto"/>
        <w:jc w:val="both"/>
        <w:rPr>
          <w:rFonts w:ascii="Times New Roman" w:eastAsia="Times New Roman" w:hAnsi="Times New Roman" w:cs="Times New Roman"/>
          <w:sz w:val="20"/>
          <w:szCs w:val="24"/>
        </w:rPr>
      </w:pPr>
      <w:r w:rsidRPr="007A27A5">
        <w:rPr>
          <w:rFonts w:ascii="Times New Roman" w:eastAsia="Arial" w:hAnsi="Times New Roman" w:cs="Times New Roman"/>
          <w:color w:val="FF0000"/>
          <w:sz w:val="20"/>
          <w:szCs w:val="24"/>
          <w:vertAlign w:val="superscript"/>
        </w:rPr>
        <w:t>8</w:t>
      </w:r>
      <w:r w:rsidRPr="007A27A5">
        <w:rPr>
          <w:rFonts w:ascii="Times New Roman" w:eastAsia="Arial" w:hAnsi="Times New Roman" w:cs="Times New Roman"/>
          <w:sz w:val="20"/>
          <w:szCs w:val="24"/>
        </w:rPr>
        <w:t xml:space="preserve"> Las leyes referidas, publicadas el 4 de diciembre de 2014 y el 7 de junio de 2015, respectivamente, prevén la existencia de la Procuraduría Federal de Protección de Niñas, Niños y Adolescentes, de la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Aunque la ENVIPE no desagrega los datos por rango de edad, es posible afirmar que, en los últimos años, cientos o incluso miles de menores han sido víctimas de homicidio, trata, secuestro, desaparición y diversas formas de violencia. De hecho, sabemos con certeza que el Estado de México es la entidad donde los hospitales han reportado el mayor número de atenciones médicas a niñas, niños y adolescentes por casos de violencia familiar, sexual y física.</w:t>
      </w:r>
      <w:r w:rsidRPr="007A27A5">
        <w:rPr>
          <w:rFonts w:ascii="Times New Roman" w:eastAsia="Arial" w:hAnsi="Times New Roman" w:cs="Times New Roman"/>
          <w:color w:val="FF0000"/>
          <w:sz w:val="24"/>
          <w:szCs w:val="24"/>
          <w:vertAlign w:val="superscript"/>
        </w:rPr>
        <w:t>9</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El déficit institucional no sólo explica la enorme “cifra negra”</w:t>
      </w:r>
      <w:r w:rsidRPr="007A27A5">
        <w:rPr>
          <w:rFonts w:ascii="Times New Roman" w:eastAsia="Arial" w:hAnsi="Times New Roman" w:cs="Times New Roman"/>
          <w:color w:val="FF0000"/>
          <w:sz w:val="24"/>
          <w:szCs w:val="24"/>
          <w:vertAlign w:val="superscript"/>
        </w:rPr>
        <w:t>10</w:t>
      </w:r>
      <w:r w:rsidRPr="007A27A5">
        <w:rPr>
          <w:rFonts w:ascii="Times New Roman" w:eastAsia="Arial" w:hAnsi="Times New Roman" w:cs="Times New Roman"/>
          <w:sz w:val="24"/>
          <w:szCs w:val="24"/>
        </w:rPr>
        <w:t xml:space="preserve"> en el Estado, misma que asciende al 94%, sino que refuerza la percepción de más del 60% de las víctimas que consideran que denunciar es una pérdida de tiempo, un proceso hostil o un trámite sin resultados. La consecuencia es una impunidad estructural que desprotege a las víctimas, estimula la revictimización y favorece la repetición del delito.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Si bien el marco constitucional y legal vigente en todo el país establece la obligación de las policías de atender a las víctimas, en la práctica, esta facultad se concentra en los ministerios públicos y en las autoridades administrativas competentes, quienes no cuentan, como ya se mostró, con personal ni recursos suficientes para responder ante la magnitud del problema: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sz w:val="24"/>
          <w:szCs w:val="24"/>
        </w:rPr>
        <w:t>CÓDIGO NACIONAL DE PROCEDIMIENTOS PENALES:</w:t>
      </w:r>
      <w:r w:rsidRPr="007A27A5">
        <w:rPr>
          <w:rFonts w:ascii="Times New Roman" w:eastAsia="Arial" w:hAnsi="Times New Roman" w:cs="Times New Roman"/>
          <w:color w:val="FF0000"/>
          <w:sz w:val="24"/>
          <w:szCs w:val="24"/>
          <w:vertAlign w:val="superscript"/>
        </w:rPr>
        <w:t>11</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Artículo 132. </w:t>
      </w:r>
      <w:r w:rsidRPr="007A27A5">
        <w:rPr>
          <w:rFonts w:ascii="Times New Roman" w:eastAsia="Arial" w:hAnsi="Times New Roman" w:cs="Times New Roman"/>
          <w:i/>
          <w:sz w:val="24"/>
          <w:szCs w:val="24"/>
          <w:u w:val="single" w:color="000000"/>
        </w:rPr>
        <w:t>Obligaciones de las y los Policías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sz w:val="20"/>
          <w:szCs w:val="24"/>
        </w:rPr>
        <w:t>Procuraduría de Protección de Niñas, Niños y Adolescentes del Estado de México y de procuradurías de protección municipales.</w:t>
      </w:r>
    </w:p>
    <w:p w:rsidR="00146FA6" w:rsidRPr="007A27A5" w:rsidRDefault="00146FA6" w:rsidP="00146FA6">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9</w:t>
      </w:r>
      <w:r w:rsidRPr="007A27A5">
        <w:rPr>
          <w:rFonts w:ascii="Times New Roman" w:eastAsia="Arial" w:hAnsi="Times New Roman" w:cs="Times New Roman"/>
          <w:sz w:val="20"/>
          <w:szCs w:val="24"/>
        </w:rPr>
        <w:t xml:space="preserve"> Según cifras del INEGI, del Sistema Nacional de Seguridad Pública, de la Secretaría de Salud del Gobierno de México y de la Red por los Derechos de la Infancia en México. https://blog.derechosinfancia.org.mx/2024/10/29/ficha-tecnica-infancia-y-adolescencia-en-estado-de- mexico-octubre-2024/</w:t>
      </w:r>
    </w:p>
    <w:p w:rsidR="00146FA6" w:rsidRPr="007A27A5" w:rsidRDefault="00146FA6" w:rsidP="00146FA6">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10</w:t>
      </w:r>
      <w:r w:rsidRPr="007A27A5">
        <w:rPr>
          <w:rFonts w:ascii="Times New Roman" w:eastAsia="Arial" w:hAnsi="Times New Roman" w:cs="Times New Roman"/>
          <w:sz w:val="20"/>
          <w:szCs w:val="24"/>
        </w:rPr>
        <w:t xml:space="preserve"> Esto es, delitos que se cometen pero no se denuncian.</w:t>
      </w:r>
    </w:p>
    <w:p w:rsidR="00146FA6" w:rsidRPr="007A27A5" w:rsidRDefault="00146FA6" w:rsidP="00146FA6">
      <w:pPr>
        <w:spacing w:after="0" w:line="240" w:lineRule="auto"/>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11</w:t>
      </w:r>
      <w:r w:rsidRPr="007A27A5">
        <w:rPr>
          <w:rFonts w:ascii="Times New Roman" w:eastAsia="Arial" w:hAnsi="Times New Roman" w:cs="Times New Roman"/>
          <w:sz w:val="20"/>
          <w:szCs w:val="24"/>
        </w:rPr>
        <w:t xml:space="preserve"> https:/</w:t>
      </w:r>
      <w:hyperlink r:id="rId51">
        <w:r w:rsidRPr="007A27A5">
          <w:rPr>
            <w:rFonts w:ascii="Times New Roman" w:eastAsia="Arial" w:hAnsi="Times New Roman" w:cs="Times New Roman"/>
            <w:sz w:val="20"/>
            <w:szCs w:val="24"/>
          </w:rPr>
          <w:t>/www.diputados.gob.mx/LeyesBiblio/pdf/CMPP.pdf</w:t>
        </w:r>
      </w:hyperlink>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El Policía actuará bajo la conducción y mando del Ministerio Público en la investigación de los delitos en estricto apego a los principios de legalidad, objetividad, eficiencia, profesionalismo, honradez, perspectiva de género y respeto a los derechos humanos reconocidos en la Constitución.</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Para los efectos del presente Código, el Policía tendrá las siguientes obligaciones: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I. a XI.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XII. </w:t>
      </w:r>
      <w:r w:rsidRPr="007A27A5">
        <w:rPr>
          <w:rFonts w:ascii="Times New Roman" w:eastAsia="Arial" w:hAnsi="Times New Roman" w:cs="Times New Roman"/>
          <w:i/>
          <w:sz w:val="24"/>
          <w:szCs w:val="24"/>
          <w:u w:val="single" w:color="000000"/>
        </w:rPr>
        <w:t>Proporcionar atención a víctimas</w:t>
      </w:r>
      <w:r w:rsidRPr="007A27A5">
        <w:rPr>
          <w:rFonts w:ascii="Times New Roman" w:eastAsia="Arial" w:hAnsi="Times New Roman" w:cs="Times New Roman"/>
          <w:i/>
          <w:sz w:val="24"/>
          <w:szCs w:val="24"/>
        </w:rPr>
        <w:t xml:space="preserve"> u ofendidos o testigos del delito. Para tal efecto, deberá:</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a) </w:t>
      </w:r>
      <w:r w:rsidRPr="007A27A5">
        <w:rPr>
          <w:rFonts w:ascii="Times New Roman" w:eastAsia="Arial" w:hAnsi="Times New Roman" w:cs="Times New Roman"/>
          <w:i/>
          <w:sz w:val="24"/>
          <w:szCs w:val="24"/>
          <w:u w:val="single" w:color="000000"/>
        </w:rPr>
        <w:t>Prestar protección y auxilio inmediato</w:t>
      </w:r>
      <w:r w:rsidRPr="007A27A5">
        <w:rPr>
          <w:rFonts w:ascii="Times New Roman" w:eastAsia="Arial" w:hAnsi="Times New Roman" w:cs="Times New Roman"/>
          <w:i/>
          <w:sz w:val="24"/>
          <w:szCs w:val="24"/>
        </w:rPr>
        <w:t>, de conformidad con las disposiciones aplicables;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b) </w:t>
      </w:r>
      <w:r w:rsidRPr="007A27A5">
        <w:rPr>
          <w:rFonts w:ascii="Times New Roman" w:eastAsia="Arial" w:hAnsi="Times New Roman" w:cs="Times New Roman"/>
          <w:i/>
          <w:sz w:val="24"/>
          <w:szCs w:val="24"/>
          <w:u w:val="single" w:color="000000"/>
        </w:rPr>
        <w:t>Informar a la víctima</w:t>
      </w:r>
      <w:r w:rsidRPr="007A27A5">
        <w:rPr>
          <w:rFonts w:ascii="Times New Roman" w:eastAsia="Arial" w:hAnsi="Times New Roman" w:cs="Times New Roman"/>
          <w:i/>
          <w:sz w:val="24"/>
          <w:szCs w:val="24"/>
        </w:rPr>
        <w:t xml:space="preserve"> u ofendido sobre </w:t>
      </w:r>
      <w:r w:rsidRPr="007A27A5">
        <w:rPr>
          <w:rFonts w:ascii="Times New Roman" w:eastAsia="Arial" w:hAnsi="Times New Roman" w:cs="Times New Roman"/>
          <w:i/>
          <w:sz w:val="24"/>
          <w:szCs w:val="24"/>
          <w:u w:val="single" w:color="000000"/>
        </w:rPr>
        <w:t>los derechos</w:t>
      </w:r>
      <w:r w:rsidRPr="007A27A5">
        <w:rPr>
          <w:rFonts w:ascii="Times New Roman" w:eastAsia="Arial" w:hAnsi="Times New Roman" w:cs="Times New Roman"/>
          <w:i/>
          <w:sz w:val="24"/>
          <w:szCs w:val="24"/>
        </w:rPr>
        <w:t xml:space="preserve"> que </w:t>
      </w:r>
      <w:r w:rsidRPr="007A27A5">
        <w:rPr>
          <w:rFonts w:ascii="Times New Roman" w:eastAsia="Arial" w:hAnsi="Times New Roman" w:cs="Times New Roman"/>
          <w:i/>
          <w:sz w:val="24"/>
          <w:szCs w:val="24"/>
          <w:u w:val="single" w:color="000000"/>
        </w:rPr>
        <w:t>en su favor</w:t>
      </w:r>
      <w:r w:rsidRPr="007A27A5">
        <w:rPr>
          <w:rFonts w:ascii="Times New Roman" w:eastAsia="Arial" w:hAnsi="Times New Roman" w:cs="Times New Roman"/>
          <w:i/>
          <w:sz w:val="24"/>
          <w:szCs w:val="24"/>
        </w:rPr>
        <w:t xml:space="preserve"> se establecen;</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c</w:t>
      </w:r>
      <w:r w:rsidRPr="007A27A5">
        <w:rPr>
          <w:rFonts w:ascii="Times New Roman" w:eastAsia="Arial" w:hAnsi="Times New Roman" w:cs="Times New Roman"/>
          <w:i/>
          <w:sz w:val="24"/>
          <w:szCs w:val="24"/>
          <w:u w:val="single" w:color="000000"/>
        </w:rPr>
        <w:t>) Procurar que reciban atención médica y psicológica</w:t>
      </w:r>
      <w:r w:rsidRPr="007A27A5">
        <w:rPr>
          <w:rFonts w:ascii="Times New Roman" w:eastAsia="Arial" w:hAnsi="Times New Roman" w:cs="Times New Roman"/>
          <w:i/>
          <w:sz w:val="24"/>
          <w:szCs w:val="24"/>
        </w:rPr>
        <w:t xml:space="preserve"> cuando sea necesaria;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d) Adoptar las medidas que se consideren necesarias, en el ámbito de su competencia, tendientes a </w:t>
      </w:r>
      <w:r w:rsidRPr="007A27A5">
        <w:rPr>
          <w:rFonts w:ascii="Times New Roman" w:eastAsia="Arial" w:hAnsi="Times New Roman" w:cs="Times New Roman"/>
          <w:i/>
          <w:sz w:val="24"/>
          <w:szCs w:val="24"/>
          <w:u w:val="single" w:color="000000"/>
        </w:rPr>
        <w:t>evitar que se ponga en peligro su integridad física y psicológica</w:t>
      </w:r>
      <w:r w:rsidRPr="007A27A5">
        <w:rPr>
          <w:rFonts w:ascii="Times New Roman" w:eastAsia="Arial" w:hAnsi="Times New Roman" w:cs="Times New Roman"/>
          <w:i/>
          <w:sz w:val="24"/>
          <w:szCs w:val="24"/>
        </w:rPr>
        <w:t>, y</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i/>
          <w:sz w:val="24"/>
          <w:szCs w:val="24"/>
        </w:rPr>
        <w:t>e) Tratándose de delitos por razón de género, deberá actuar con perspectiva de género.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XII Bis. A XV.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sz w:val="24"/>
          <w:szCs w:val="24"/>
        </w:rPr>
        <w:t>LEY GENERAL DE VÍCTIMAS:</w:t>
      </w:r>
      <w:r w:rsidRPr="007A27A5">
        <w:rPr>
          <w:rFonts w:ascii="Times New Roman" w:eastAsia="Arial" w:hAnsi="Times New Roman" w:cs="Times New Roman"/>
          <w:color w:val="FF0000"/>
          <w:sz w:val="24"/>
          <w:szCs w:val="24"/>
          <w:vertAlign w:val="superscript"/>
        </w:rPr>
        <w:t>12</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Artículo 127. Además de los deberes establecidos para todo servidor público, y las disposiciones específicas contempladas en los ordenamientos respectivos, </w:t>
      </w:r>
      <w:r w:rsidRPr="007A27A5">
        <w:rPr>
          <w:rFonts w:ascii="Times New Roman" w:eastAsia="Arial" w:hAnsi="Times New Roman" w:cs="Times New Roman"/>
          <w:i/>
          <w:sz w:val="24"/>
          <w:szCs w:val="24"/>
          <w:u w:val="single" w:color="000000"/>
        </w:rPr>
        <w:t>a</w:t>
      </w:r>
      <w:r w:rsidRPr="007A27A5">
        <w:rPr>
          <w:rFonts w:ascii="Times New Roman" w:eastAsia="Arial" w:hAnsi="Times New Roman" w:cs="Times New Roman"/>
          <w:i/>
          <w:sz w:val="24"/>
          <w:szCs w:val="24"/>
        </w:rPr>
        <w:t xml:space="preserve"> </w:t>
      </w:r>
      <w:r w:rsidRPr="007A27A5">
        <w:rPr>
          <w:rFonts w:ascii="Times New Roman" w:eastAsia="Arial" w:hAnsi="Times New Roman" w:cs="Times New Roman"/>
          <w:i/>
          <w:sz w:val="24"/>
          <w:szCs w:val="24"/>
          <w:u w:val="single" w:color="000000"/>
        </w:rPr>
        <w:t>los miembros de las policías</w:t>
      </w:r>
      <w:r w:rsidRPr="007A27A5">
        <w:rPr>
          <w:rFonts w:ascii="Times New Roman" w:eastAsia="Arial" w:hAnsi="Times New Roman" w:cs="Times New Roman"/>
          <w:i/>
          <w:sz w:val="24"/>
          <w:szCs w:val="24"/>
        </w:rPr>
        <w:t xml:space="preserve"> de los distintos órdenes de gobierno, en el ámbito de su competencia, </w:t>
      </w:r>
      <w:r w:rsidRPr="007A27A5">
        <w:rPr>
          <w:rFonts w:ascii="Times New Roman" w:eastAsia="Arial" w:hAnsi="Times New Roman" w:cs="Times New Roman"/>
          <w:i/>
          <w:sz w:val="24"/>
          <w:szCs w:val="24"/>
          <w:u w:val="single" w:color="000000"/>
        </w:rPr>
        <w:t>les corresponde</w:t>
      </w:r>
      <w:r w:rsidRPr="007A27A5">
        <w:rPr>
          <w:rFonts w:ascii="Times New Roman" w:eastAsia="Arial" w:hAnsi="Times New Roman" w:cs="Times New Roman"/>
          <w:i/>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I. </w:t>
      </w:r>
      <w:r w:rsidRPr="007A27A5">
        <w:rPr>
          <w:rFonts w:ascii="Times New Roman" w:eastAsia="Arial" w:hAnsi="Times New Roman" w:cs="Times New Roman"/>
          <w:i/>
          <w:sz w:val="24"/>
          <w:szCs w:val="24"/>
          <w:u w:val="single" w:color="000000"/>
        </w:rPr>
        <w:t>Informar a la víctima</w:t>
      </w:r>
      <w:r w:rsidRPr="007A27A5">
        <w:rPr>
          <w:rFonts w:ascii="Times New Roman" w:eastAsia="Arial" w:hAnsi="Times New Roman" w:cs="Times New Roman"/>
          <w:i/>
          <w:sz w:val="24"/>
          <w:szCs w:val="24"/>
        </w:rPr>
        <w:t xml:space="preserve">, desde el momento en que se presente o comparezca ante él, los </w:t>
      </w:r>
      <w:r w:rsidRPr="007A27A5">
        <w:rPr>
          <w:rFonts w:ascii="Times New Roman" w:eastAsia="Arial" w:hAnsi="Times New Roman" w:cs="Times New Roman"/>
          <w:i/>
          <w:sz w:val="24"/>
          <w:szCs w:val="24"/>
          <w:u w:val="single" w:color="000000"/>
        </w:rPr>
        <w:t>derechos que le otorga la Constitución y los tratados internacionales,</w:t>
      </w:r>
      <w:r w:rsidRPr="007A27A5">
        <w:rPr>
          <w:rFonts w:ascii="Times New Roman" w:eastAsia="Arial" w:hAnsi="Times New Roman" w:cs="Times New Roman"/>
          <w:i/>
          <w:sz w:val="24"/>
          <w:szCs w:val="24"/>
        </w:rPr>
        <w:t xml:space="preserve"> </w:t>
      </w:r>
      <w:r w:rsidRPr="007A27A5">
        <w:rPr>
          <w:rFonts w:ascii="Times New Roman" w:eastAsia="Arial" w:hAnsi="Times New Roman" w:cs="Times New Roman"/>
          <w:i/>
          <w:sz w:val="24"/>
          <w:szCs w:val="24"/>
          <w:u w:val="single" w:color="000000"/>
        </w:rPr>
        <w:t>el código penal y procesal penal respectivo</w:t>
      </w:r>
      <w:r w:rsidRPr="007A27A5">
        <w:rPr>
          <w:rFonts w:ascii="Times New Roman" w:eastAsia="Arial" w:hAnsi="Times New Roman" w:cs="Times New Roman"/>
          <w:i/>
          <w:sz w:val="24"/>
          <w:szCs w:val="24"/>
        </w:rPr>
        <w:t xml:space="preserve"> y las demás disposiciones aplicables, así como el alcance de esos derechos, debiendo dejar constancia escrita de la lectura y explicación realizada;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II. </w:t>
      </w:r>
      <w:r w:rsidRPr="007A27A5">
        <w:rPr>
          <w:rFonts w:ascii="Times New Roman" w:eastAsia="Arial" w:hAnsi="Times New Roman" w:cs="Times New Roman"/>
          <w:i/>
          <w:sz w:val="24"/>
          <w:szCs w:val="24"/>
          <w:u w:val="single" w:color="000000"/>
        </w:rPr>
        <w:t>Permitir la participación de la víctima</w:t>
      </w:r>
      <w:r w:rsidRPr="007A27A5">
        <w:rPr>
          <w:rFonts w:ascii="Times New Roman" w:eastAsia="Arial" w:hAnsi="Times New Roman" w:cs="Times New Roman"/>
          <w:i/>
          <w:sz w:val="24"/>
          <w:szCs w:val="24"/>
        </w:rPr>
        <w:t xml:space="preserve"> y su defensor en procedimientos encaminados a la procuración de justicia, así como el ejercicio de su coadyuvancia;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III. </w:t>
      </w:r>
      <w:r w:rsidRPr="007A27A5">
        <w:rPr>
          <w:rFonts w:ascii="Times New Roman" w:eastAsia="Arial" w:hAnsi="Times New Roman" w:cs="Times New Roman"/>
          <w:i/>
          <w:sz w:val="24"/>
          <w:szCs w:val="24"/>
          <w:u w:val="single" w:color="000000"/>
        </w:rPr>
        <w:t>Facilitar el acceso de la víctima a la investigación</w:t>
      </w:r>
      <w:r w:rsidRPr="007A27A5">
        <w:rPr>
          <w:rFonts w:ascii="Times New Roman" w:eastAsia="Arial" w:hAnsi="Times New Roman" w:cs="Times New Roman"/>
          <w:i/>
          <w:sz w:val="24"/>
          <w:szCs w:val="24"/>
        </w:rPr>
        <w:t>, con el objeto de respetar su derecho a la verdad;</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IV. Colaborar con los tribunales de justicia, el ministerio público, las procuradurías, contralorías y demás autoridades en todas las actuaciones policiales requeridas;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Calibri" w:hAnsi="Times New Roman" w:cs="Times New Roman"/>
          <w:sz w:val="20"/>
          <w:szCs w:val="24"/>
        </w:rPr>
      </w:pPr>
      <w:r w:rsidRPr="007A27A5">
        <w:rPr>
          <w:rFonts w:ascii="Times New Roman" w:eastAsia="Arial" w:hAnsi="Times New Roman" w:cs="Times New Roman"/>
          <w:color w:val="FF0000"/>
          <w:sz w:val="20"/>
          <w:szCs w:val="24"/>
          <w:vertAlign w:val="superscript"/>
        </w:rPr>
        <w:t>12</w:t>
      </w:r>
      <w:r w:rsidRPr="007A27A5">
        <w:rPr>
          <w:rFonts w:ascii="Times New Roman" w:eastAsia="Arial" w:hAnsi="Times New Roman" w:cs="Times New Roman"/>
          <w:sz w:val="20"/>
          <w:szCs w:val="24"/>
        </w:rPr>
        <w:t xml:space="preserve"> https:/</w:t>
      </w:r>
      <w:hyperlink r:id="rId52">
        <w:r w:rsidRPr="007A27A5">
          <w:rPr>
            <w:rFonts w:ascii="Times New Roman" w:eastAsia="Arial" w:hAnsi="Times New Roman" w:cs="Times New Roman"/>
            <w:sz w:val="20"/>
            <w:szCs w:val="24"/>
          </w:rPr>
          <w:t>/www.diputados.gob.mx/LeyesBiblio/pdf/LGV.pd</w:t>
        </w:r>
      </w:hyperlink>
      <w:r w:rsidRPr="007A27A5">
        <w:rPr>
          <w:rFonts w:ascii="Times New Roman" w:eastAsia="Arial" w:hAnsi="Times New Roman" w:cs="Times New Roman"/>
          <w:sz w:val="20"/>
          <w:szCs w:val="24"/>
        </w:rPr>
        <w:t>f</w:t>
      </w:r>
      <w:r w:rsidRPr="007A27A5">
        <w:rPr>
          <w:rFonts w:ascii="Times New Roman" w:eastAsia="Calibri" w:hAnsi="Times New Roman" w:cs="Times New Roman"/>
          <w:sz w:val="20"/>
          <w:szCs w:val="24"/>
        </w:rPr>
        <w:t xml:space="preserve">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V. Remitir los datos de prueba e informes respectivos, con debida diligencia en concordancia con el artículo 5 de la presente Ley;</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 xml:space="preserve">VI. </w:t>
      </w:r>
      <w:r w:rsidRPr="007A27A5">
        <w:rPr>
          <w:rFonts w:ascii="Times New Roman" w:eastAsia="Arial" w:hAnsi="Times New Roman" w:cs="Times New Roman"/>
          <w:i/>
          <w:sz w:val="24"/>
          <w:szCs w:val="24"/>
          <w:u w:val="single" w:color="000000"/>
        </w:rPr>
        <w:t>Respetar las mejores prácticas y los estándares mínimos de derecho</w:t>
      </w:r>
      <w:r w:rsidRPr="007A27A5">
        <w:rPr>
          <w:rFonts w:ascii="Times New Roman" w:eastAsia="Arial" w:hAnsi="Times New Roman" w:cs="Times New Roman"/>
          <w:i/>
          <w:sz w:val="24"/>
          <w:szCs w:val="24"/>
        </w:rPr>
        <w:t xml:space="preserve"> </w:t>
      </w:r>
      <w:r w:rsidRPr="007A27A5">
        <w:rPr>
          <w:rFonts w:ascii="Times New Roman" w:eastAsia="Arial" w:hAnsi="Times New Roman" w:cs="Times New Roman"/>
          <w:i/>
          <w:sz w:val="24"/>
          <w:szCs w:val="24"/>
          <w:u w:val="single" w:color="000000"/>
        </w:rPr>
        <w:t>internacional de los derechos humanos</w:t>
      </w:r>
      <w:r w:rsidRPr="007A27A5">
        <w:rPr>
          <w:rFonts w:ascii="Times New Roman" w:eastAsia="Arial" w:hAnsi="Times New Roman" w:cs="Times New Roman"/>
          <w:i/>
          <w:sz w:val="24"/>
          <w:szCs w:val="24"/>
        </w:rPr>
        <w:t>, y</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i/>
          <w:sz w:val="24"/>
          <w:szCs w:val="24"/>
        </w:rPr>
        <w:t>VII. Mantener actualizados los registros en cumplimiento de esta Ley y de las leyes conforme su competencia.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En consecuencia, la presente iniciativa busca fortalecer e incrementar sustancialmente la capacidad del Estado para atender a las víctimas del delito, con especial énfasis en nuestras niñas, niños y adolescentes.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Para lograrlo se propone, por un lado, fortalecer la capacidad de la Comisión Ejecutiva de Atención a Víctimas (CEAVEM), permitiéndole ampliar su plantilla de asesores jurídicos mediante la contratación temporal de abogados particulares, siempre bajo hipótesis específicas y tarifas previamente determinadas; y por otro, reconocer que los más de 40 mil policías estatales y municipales son igualmente responsables en la atención a víctimas del delito.</w:t>
      </w:r>
      <w:r w:rsidRPr="007A27A5">
        <w:rPr>
          <w:rFonts w:ascii="Times New Roman" w:eastAsia="Arial" w:hAnsi="Times New Roman" w:cs="Times New Roman"/>
          <w:color w:val="FF0000"/>
          <w:sz w:val="24"/>
          <w:szCs w:val="24"/>
          <w:vertAlign w:val="superscript"/>
        </w:rPr>
        <w:t>13</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Esta reforma traería consigo una transformación profunda y tangible para las víctimas del delito en el Estado de México, pues permitiría que los ministerios públicos, la CEAVEM y la Procuraduría de Protección de Niñas, Niños y Adolescentes, trabajen de forma conjunta y coordinada con las policías estatal y municipales para garantizar el acceso a la justicia, la reparación del daño y la no revictimización.</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Calibri" w:hAnsi="Times New Roman" w:cs="Times New Roman"/>
          <w:sz w:val="20"/>
          <w:szCs w:val="24"/>
        </w:rPr>
      </w:pPr>
      <w:r w:rsidRPr="007A27A5">
        <w:rPr>
          <w:rFonts w:ascii="Times New Roman" w:eastAsia="Arial" w:hAnsi="Times New Roman" w:cs="Times New Roman"/>
          <w:color w:val="FF0000"/>
          <w:sz w:val="20"/>
          <w:szCs w:val="24"/>
          <w:vertAlign w:val="superscript"/>
        </w:rPr>
        <w:t>13</w:t>
      </w:r>
      <w:r w:rsidRPr="007A27A5">
        <w:rPr>
          <w:rFonts w:ascii="Times New Roman" w:eastAsia="Arial" w:hAnsi="Times New Roman" w:cs="Times New Roman"/>
          <w:sz w:val="20"/>
          <w:szCs w:val="24"/>
        </w:rPr>
        <w:t xml:space="preserve"> El Censo Nacional de Seguridad Pública Estatal 2024 y el Censo Nacional de Gobiernos Municipales y Demarcaciones Territoriales de la Ciudad de México 2023, calcularon que el Estado de México cuenta con un estado de fuerza de 20,797 policías estatales y 20,126 municipales.</w:t>
      </w:r>
      <w:r w:rsidRPr="007A27A5">
        <w:rPr>
          <w:rFonts w:ascii="Times New Roman" w:eastAsia="Calibri" w:hAnsi="Times New Roman" w:cs="Times New Roman"/>
          <w:sz w:val="20"/>
          <w:szCs w:val="24"/>
        </w:rPr>
        <w:t xml:space="preserve">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En este sentido, tanto la Secretaría de Seguridad del Estado como las direcciones de seguridad pública municipal deberán contar con elementos especializados en atención a víctimas del delito, con un enfoque prioritario en niñas, niños y adolescentes. Estos policías estarán debidamente capacitados por la CEAVEM y la Procuraduría de Protección de Niñas, Niños y Adolescentes, para brindar atención médica de primeros auxilios, manejo psicológico de crisis y orientación jurídica.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El Estado de México tiene hoy la oportunidad de garantizar a millones de víctimas un acceso real y efectivo a la justicia. Para ello, resulta indispensable aprovechar la capacidad instalada de sus corporaciones policiales y fortalecer las instituciones administrativas existentes.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Esta iniciativa representa, en suma, un paso decisivo para democratizar y ampliar la atención a víctimas, ofreciendo una respuesta integral ante la grave situación de violencia y vulnerabilidad que enfrentan niñas, niños y adolescentes, y garantizando que ninguna víctima quede sin atención, sin protección y sin justicia.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Por lo expuesto, sometemos a consideración de este órgano legislativo, la iniciativa con proyecto de decreto que se acompaña.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A T E N T A M E N T 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PROYECTO DE DECRETO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tabs>
          <w:tab w:val="left" w:pos="3140"/>
        </w:tabs>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DECRETO NÚMERO </w:t>
      </w:r>
      <w:r w:rsidRPr="007A27A5">
        <w:rPr>
          <w:rFonts w:ascii="Times New Roman" w:eastAsia="Arial" w:hAnsi="Times New Roman" w:cs="Times New Roman"/>
          <w:b/>
          <w:sz w:val="24"/>
          <w:szCs w:val="24"/>
          <w:u w:val="thick" w:color="000000"/>
        </w:rPr>
        <w:tab/>
      </w:r>
    </w:p>
    <w:p w:rsidR="00146FA6" w:rsidRPr="007A27A5" w:rsidRDefault="00146FA6" w:rsidP="00146FA6">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LA H. "LXII" LEGISLATURA DEL ESTADO DE MÉXICO</w:t>
      </w: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DECRETA: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PRIMERO.- </w:t>
      </w:r>
      <w:r w:rsidRPr="007A27A5">
        <w:rPr>
          <w:rFonts w:ascii="Times New Roman" w:eastAsia="Arial" w:hAnsi="Times New Roman" w:cs="Times New Roman"/>
          <w:sz w:val="24"/>
          <w:szCs w:val="24"/>
        </w:rPr>
        <w:t xml:space="preserve">Se reforman los artículos 5, fracción III, 12, fracciones VI, VIII y XXXVI, 16, fracción III, 29 Bis, 29 Ter y 36, fracción I, inciso h); y se adicionan una fracción XVII Bis al artículo 5, una fracción IV Bis al artículo 12, una fracción II Bis al artículo 16, una fracción II Bis y II Ter al artículo 29, una fracción I Bis al artículo 31, un inciso d. a la fracción IV del artículo 38 Bis, una fracción III Bis al artículo 73, un párrafo segundo y tercero a la fracción IX del artículo 85, y un Capítulo XIII al Título Cuarto, “De las Unidades de Atención a Víctimas de la Policía”, que comprende los artículos 103 </w:t>
      </w:r>
      <w:proofErr w:type="spellStart"/>
      <w:r w:rsidRPr="007A27A5">
        <w:rPr>
          <w:rFonts w:ascii="Times New Roman" w:eastAsia="Arial" w:hAnsi="Times New Roman" w:cs="Times New Roman"/>
          <w:sz w:val="24"/>
          <w:szCs w:val="24"/>
        </w:rPr>
        <w:t>Octies</w:t>
      </w:r>
      <w:proofErr w:type="spellEnd"/>
      <w:r w:rsidRPr="007A27A5">
        <w:rPr>
          <w:rFonts w:ascii="Times New Roman" w:eastAsia="Arial" w:hAnsi="Times New Roman" w:cs="Times New Roman"/>
          <w:sz w:val="24"/>
          <w:szCs w:val="24"/>
        </w:rPr>
        <w:t xml:space="preserve"> y 103 </w:t>
      </w:r>
      <w:proofErr w:type="spellStart"/>
      <w:r w:rsidRPr="007A27A5">
        <w:rPr>
          <w:rFonts w:ascii="Times New Roman" w:eastAsia="Arial" w:hAnsi="Times New Roman" w:cs="Times New Roman"/>
          <w:sz w:val="24"/>
          <w:szCs w:val="24"/>
        </w:rPr>
        <w:t>Nonies</w:t>
      </w:r>
      <w:proofErr w:type="spellEnd"/>
      <w:r w:rsidRPr="007A27A5">
        <w:rPr>
          <w:rFonts w:ascii="Times New Roman" w:eastAsia="Arial" w:hAnsi="Times New Roman" w:cs="Times New Roman"/>
          <w:sz w:val="24"/>
          <w:szCs w:val="24"/>
        </w:rPr>
        <w:t>, todos de la Ley de Víctimas del Estado de México, para quedar como sigue: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5.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II.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III. </w:t>
      </w:r>
      <w:r w:rsidRPr="007A27A5">
        <w:rPr>
          <w:rFonts w:ascii="Times New Roman" w:eastAsia="Arial" w:hAnsi="Times New Roman" w:cs="Times New Roman"/>
          <w:sz w:val="24"/>
          <w:szCs w:val="24"/>
        </w:rPr>
        <w:t xml:space="preserve">Atención: A la acción de dar información, orientación, asesoría y acompañamiento jurídico y psicosocial a las víctimas y ofendidos del delito y de violaciones de derechos humanos cuando deriven de un hecho delictuoso, </w:t>
      </w:r>
      <w:r w:rsidRPr="007A27A5">
        <w:rPr>
          <w:rFonts w:ascii="Times New Roman" w:eastAsia="Arial" w:hAnsi="Times New Roman" w:cs="Times New Roman"/>
          <w:b/>
          <w:sz w:val="24"/>
          <w:szCs w:val="24"/>
        </w:rPr>
        <w:t xml:space="preserve">así como a recibir sus denuncias a través de las autoridades </w:t>
      </w:r>
      <w:r w:rsidRPr="007A27A5">
        <w:rPr>
          <w:rFonts w:ascii="Times New Roman" w:eastAsia="Arial" w:hAnsi="Times New Roman" w:cs="Times New Roman"/>
          <w:b/>
          <w:sz w:val="24"/>
          <w:szCs w:val="24"/>
        </w:rPr>
        <w:lastRenderedPageBreak/>
        <w:t xml:space="preserve">competentes, </w:t>
      </w:r>
      <w:r w:rsidRPr="007A27A5">
        <w:rPr>
          <w:rFonts w:ascii="Times New Roman" w:eastAsia="Arial" w:hAnsi="Times New Roman" w:cs="Times New Roman"/>
          <w:sz w:val="24"/>
          <w:szCs w:val="24"/>
        </w:rPr>
        <w:t>con miras a facilitar su acceso a los derechos a la verdad, a la justicia y a la reparación integral.</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XVII Bis. Policía: a las policías Estatal y municipales.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XVIII. a XXV.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12.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IV.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IV Bis. A que la Policía o el Ministerio Público reciba la denuncia de hechos posiblemente constitutivos de delito, ya sea en el lugar de los hechos, en la sede policial o ministerial a la que asista, o en el lugar donde la víctima se encuentre.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VI. </w:t>
      </w:r>
      <w:r w:rsidRPr="007A27A5">
        <w:rPr>
          <w:rFonts w:ascii="Times New Roman" w:eastAsia="Arial" w:hAnsi="Times New Roman" w:cs="Times New Roman"/>
          <w:sz w:val="24"/>
          <w:szCs w:val="24"/>
        </w:rPr>
        <w:t xml:space="preserve">Tratándose de delitos vinculados a la violencia de género y en los casos en que las víctimas u ofendidos del delito sean niñas, niños o adolescentes, la Procuraduría de Protección de Niñas, Niños y Adolescentes, el Ministerio Público, </w:t>
      </w:r>
      <w:r w:rsidRPr="007A27A5">
        <w:rPr>
          <w:rFonts w:ascii="Times New Roman" w:eastAsia="Arial" w:hAnsi="Times New Roman" w:cs="Times New Roman"/>
          <w:b/>
          <w:sz w:val="24"/>
          <w:szCs w:val="24"/>
        </w:rPr>
        <w:t xml:space="preserve">la Policía </w:t>
      </w:r>
      <w:r w:rsidRPr="007A27A5">
        <w:rPr>
          <w:rFonts w:ascii="Times New Roman" w:eastAsia="Arial" w:hAnsi="Times New Roman" w:cs="Times New Roman"/>
          <w:sz w:val="24"/>
          <w:szCs w:val="24"/>
        </w:rPr>
        <w:t>o la autoridad judicial, según corresponda, dictarán de oficio y de manera inmediata las medidas de protección necesarias para salvaguardar su seguridad e integridad física y psicológica, de acuerdo a su edad, grado de madurez, desarrollo o necesidades particulares así como las providencias necesarias para su debido cumplimiento y ejecución.</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VII.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VIII. </w:t>
      </w:r>
      <w:r w:rsidRPr="007A27A5">
        <w:rPr>
          <w:rFonts w:ascii="Times New Roman" w:eastAsia="Arial" w:hAnsi="Times New Roman" w:cs="Times New Roman"/>
          <w:sz w:val="24"/>
          <w:szCs w:val="24"/>
        </w:rPr>
        <w:t xml:space="preserve">Solicitar directamente o a través de los asesores jurídicos o abogados particulares, en su caso al Ministerio Público, </w:t>
      </w:r>
      <w:r w:rsidRPr="007A27A5">
        <w:rPr>
          <w:rFonts w:ascii="Times New Roman" w:eastAsia="Arial" w:hAnsi="Times New Roman" w:cs="Times New Roman"/>
          <w:b/>
          <w:sz w:val="24"/>
          <w:szCs w:val="24"/>
        </w:rPr>
        <w:t xml:space="preserve">a la Policía </w:t>
      </w:r>
      <w:r w:rsidRPr="007A27A5">
        <w:rPr>
          <w:rFonts w:ascii="Times New Roman" w:eastAsia="Arial" w:hAnsi="Times New Roman" w:cs="Times New Roman"/>
          <w:sz w:val="24"/>
          <w:szCs w:val="24"/>
        </w:rPr>
        <w:t>o al Juez de Control, las medidas cautelares, de protección y providencias precautorias para proteger su vida, integridad física y psicológica, bienes, posesiones o derechos, salvaguardando, en todo caso, los derechos de defensa.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IX. a XXXV.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XXXVI. </w:t>
      </w:r>
      <w:r w:rsidRPr="007A27A5">
        <w:rPr>
          <w:rFonts w:ascii="Times New Roman" w:eastAsia="Arial" w:hAnsi="Times New Roman" w:cs="Times New Roman"/>
          <w:sz w:val="24"/>
          <w:szCs w:val="24"/>
        </w:rPr>
        <w:t xml:space="preserve">Impugnar las omisiones del Ministerio Público </w:t>
      </w:r>
      <w:r w:rsidRPr="007A27A5">
        <w:rPr>
          <w:rFonts w:ascii="Times New Roman" w:eastAsia="Arial" w:hAnsi="Times New Roman" w:cs="Times New Roman"/>
          <w:b/>
          <w:sz w:val="24"/>
          <w:szCs w:val="24"/>
        </w:rPr>
        <w:t xml:space="preserve">o de la Policía </w:t>
      </w:r>
      <w:r w:rsidRPr="007A27A5">
        <w:rPr>
          <w:rFonts w:ascii="Times New Roman" w:eastAsia="Arial" w:hAnsi="Times New Roman" w:cs="Times New Roman"/>
          <w:sz w:val="24"/>
          <w:szCs w:val="24"/>
        </w:rPr>
        <w:t>en la investigación de los delitos, así como las resoluciones de reserva, no ejercicio, desistimiento de la acción penal o suspensión del procedimiento.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XXXVII. a XLV.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16.-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II.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Bis. Recibir las denuncias de las víctimas u ofendidos del delito, en el lugar de los hechos o donde éstos se encuentren, y ordenar inmediatamente atención jurídica, médica y psicológica;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lastRenderedPageBreak/>
        <w:t xml:space="preserve">III. </w:t>
      </w:r>
      <w:r w:rsidRPr="007A27A5">
        <w:rPr>
          <w:rFonts w:ascii="Times New Roman" w:eastAsia="Arial" w:hAnsi="Times New Roman" w:cs="Times New Roman"/>
          <w:sz w:val="24"/>
          <w:szCs w:val="24"/>
        </w:rPr>
        <w:t xml:space="preserve">Ejecutar las medidas cautelares y de protección que </w:t>
      </w:r>
      <w:r w:rsidRPr="007A27A5">
        <w:rPr>
          <w:rFonts w:ascii="Times New Roman" w:eastAsia="Arial" w:hAnsi="Times New Roman" w:cs="Times New Roman"/>
          <w:b/>
          <w:sz w:val="24"/>
          <w:szCs w:val="24"/>
        </w:rPr>
        <w:t xml:space="preserve">requieran las víctimas, o aquellas que </w:t>
      </w:r>
      <w:r w:rsidRPr="007A27A5">
        <w:rPr>
          <w:rFonts w:ascii="Times New Roman" w:eastAsia="Arial" w:hAnsi="Times New Roman" w:cs="Times New Roman"/>
          <w:sz w:val="24"/>
          <w:szCs w:val="24"/>
        </w:rPr>
        <w:t xml:space="preserve">le </w:t>
      </w:r>
      <w:r w:rsidRPr="007A27A5">
        <w:rPr>
          <w:rFonts w:ascii="Times New Roman" w:eastAsia="Arial" w:hAnsi="Times New Roman" w:cs="Times New Roman"/>
          <w:b/>
          <w:sz w:val="24"/>
          <w:szCs w:val="24"/>
        </w:rPr>
        <w:t xml:space="preserve">ordenen </w:t>
      </w:r>
      <w:r w:rsidRPr="007A27A5">
        <w:rPr>
          <w:rFonts w:ascii="Times New Roman" w:eastAsia="Arial" w:hAnsi="Times New Roman" w:cs="Times New Roman"/>
          <w:sz w:val="24"/>
          <w:szCs w:val="24"/>
        </w:rPr>
        <w:t>el Ministerio Público o la autoridad judicial.</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IV. a XII. …</w:t>
      </w:r>
    </w:p>
    <w:p w:rsidR="00146FA6" w:rsidRPr="007A27A5" w:rsidRDefault="00146FA6" w:rsidP="00146FA6">
      <w:pPr>
        <w:spacing w:after="0" w:line="240" w:lineRule="auto"/>
        <w:rPr>
          <w:rFonts w:ascii="Times New Roman" w:eastAsia="Arial" w:hAnsi="Times New Roman" w:cs="Times New Roman"/>
          <w:b/>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29.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Arial"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I. a II. …</w:t>
      </w:r>
    </w:p>
    <w:p w:rsidR="00146FA6" w:rsidRPr="007A27A5" w:rsidRDefault="00146FA6" w:rsidP="00146FA6">
      <w:pPr>
        <w:spacing w:after="0" w:line="240" w:lineRule="auto"/>
        <w:jc w:val="both"/>
        <w:rPr>
          <w:rFonts w:ascii="Times New Roman" w:eastAsia="Arial" w:hAnsi="Times New Roman" w:cs="Times New Roman"/>
          <w:b/>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II Bis. Recibir las denuncias de hechos posiblemente constitutivos que hagan las</w:t>
      </w:r>
      <w:r w:rsidRPr="007A27A5">
        <w:rPr>
          <w:rFonts w:ascii="Times New Roman" w:eastAsia="Arial" w:hAnsi="Times New Roman" w:cs="Times New Roman"/>
          <w:sz w:val="24"/>
          <w:szCs w:val="24"/>
        </w:rPr>
        <w:t xml:space="preserve"> </w:t>
      </w:r>
      <w:r w:rsidRPr="007A27A5">
        <w:rPr>
          <w:rFonts w:ascii="Times New Roman" w:eastAsia="Arial" w:hAnsi="Times New Roman" w:cs="Times New Roman"/>
          <w:b/>
          <w:sz w:val="24"/>
          <w:szCs w:val="24"/>
        </w:rPr>
        <w:t>víctimas;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Ter. Coordinar el mecanismo para que la Policía reciba las denuncias de hechos posiblemente constitutivos de delito, sin la necesidad de ratificarlas en sede ministerial;</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III. a VII.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29 Bis. </w:t>
      </w:r>
      <w:r w:rsidRPr="007A27A5">
        <w:rPr>
          <w:rFonts w:ascii="Times New Roman" w:eastAsia="Arial" w:hAnsi="Times New Roman" w:cs="Times New Roman"/>
          <w:sz w:val="24"/>
          <w:szCs w:val="24"/>
        </w:rPr>
        <w:t xml:space="preserve">El Ministerio Público </w:t>
      </w:r>
      <w:r w:rsidRPr="007A27A5">
        <w:rPr>
          <w:rFonts w:ascii="Times New Roman" w:eastAsia="Arial" w:hAnsi="Times New Roman" w:cs="Times New Roman"/>
          <w:b/>
          <w:sz w:val="24"/>
          <w:szCs w:val="24"/>
        </w:rPr>
        <w:t xml:space="preserve">o la Policía deberán </w:t>
      </w:r>
      <w:r w:rsidRPr="007A27A5">
        <w:rPr>
          <w:rFonts w:ascii="Times New Roman" w:eastAsia="Arial" w:hAnsi="Times New Roman" w:cs="Times New Roman"/>
          <w:sz w:val="24"/>
          <w:szCs w:val="24"/>
        </w:rPr>
        <w:t>comunicar a la víctima u ofendido los derechos que le reconocen la Constitución Federal, los Tratados Internacionales, la Constitución Local y esta Ley a su favor, dejando constancia en la carpeta de investigación, con independencia de que exista o no un probable responsable de los hechos.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El Ministerio Público </w:t>
      </w:r>
      <w:r w:rsidRPr="007A27A5">
        <w:rPr>
          <w:rFonts w:ascii="Times New Roman" w:eastAsia="Arial" w:hAnsi="Times New Roman" w:cs="Times New Roman"/>
          <w:b/>
          <w:sz w:val="24"/>
          <w:szCs w:val="24"/>
        </w:rPr>
        <w:t xml:space="preserve">o la Policía deberán </w:t>
      </w:r>
      <w:r w:rsidRPr="007A27A5">
        <w:rPr>
          <w:rFonts w:ascii="Times New Roman" w:eastAsia="Arial" w:hAnsi="Times New Roman" w:cs="Times New Roman"/>
          <w:sz w:val="24"/>
          <w:szCs w:val="24"/>
        </w:rPr>
        <w:t>dictar desde el inicio de la investigación y durante el ejercicio de la acción penal, las medidas necesarias a efecto de recabar los datos de prueba suficientes para acreditar los daños y perjuicios causados a la víctima u ofendido del delito, incluyendo la fijación del monto de la reparación del daño material, así como solicitar el aseguramiento y embargo precautorio de bienes para ese efecto.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29 Ter. </w:t>
      </w:r>
      <w:r w:rsidRPr="007A27A5">
        <w:rPr>
          <w:rFonts w:ascii="Times New Roman" w:eastAsia="Arial" w:hAnsi="Times New Roman" w:cs="Times New Roman"/>
          <w:sz w:val="24"/>
          <w:szCs w:val="24"/>
        </w:rPr>
        <w:t xml:space="preserve">Las víctimas y ofendidos del delito tendrán derecho a coadyuvar con </w:t>
      </w:r>
      <w:r w:rsidRPr="007A27A5">
        <w:rPr>
          <w:rFonts w:ascii="Times New Roman" w:eastAsia="Arial" w:hAnsi="Times New Roman" w:cs="Times New Roman"/>
          <w:b/>
          <w:sz w:val="24"/>
          <w:szCs w:val="24"/>
        </w:rPr>
        <w:t xml:space="preserve">la Policía o </w:t>
      </w:r>
      <w:r w:rsidRPr="007A27A5">
        <w:rPr>
          <w:rFonts w:ascii="Times New Roman" w:eastAsia="Arial" w:hAnsi="Times New Roman" w:cs="Times New Roman"/>
          <w:sz w:val="24"/>
          <w:szCs w:val="24"/>
        </w:rPr>
        <w:t>el Ministerio Público, a que se les reciban todos los datos o elementos de prueba con los que cuenten, tanto en la etapa de investigación, intermedia o de preparación a juicio, a que se desahoguen las diligencias correspondientes, y a intervenir en el juicio como partes plenas ejerciendo durante el mismo sus derechos, los cuales en ningún caso podrán ser menores a los del imputado. Asimismo, tendrán derecho a que se les otorguen todas las facilidades para la presentación de denuncias</w:t>
      </w: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o querellas.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31.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 Bis. Implementar, en las policías municipales, los mecanismos para la recepción de denuncias de hechos posiblemente constitutivos de delito que hagan las víctimas, en los términos del Código Nacional.</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II. a X.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36.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I. Poder Ejecutivo</w:t>
      </w:r>
    </w:p>
    <w:p w:rsidR="00146FA6" w:rsidRPr="007A27A5" w:rsidRDefault="00146FA6" w:rsidP="00146FA6">
      <w:pPr>
        <w:spacing w:after="0" w:line="240" w:lineRule="auto"/>
        <w:rPr>
          <w:rFonts w:ascii="Times New Roman" w:eastAsia="Arial"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a) a g). …</w:t>
      </w:r>
    </w:p>
    <w:p w:rsidR="00146FA6" w:rsidRPr="007A27A5" w:rsidRDefault="00146FA6" w:rsidP="00146FA6">
      <w:pPr>
        <w:spacing w:after="0" w:line="240" w:lineRule="auto"/>
        <w:jc w:val="both"/>
        <w:rPr>
          <w:rFonts w:ascii="Times New Roman" w:eastAsia="Arial" w:hAnsi="Times New Roman" w:cs="Times New Roman"/>
          <w:b/>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h) Secretaría de Seguridad.</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m).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II. a 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38 Bis.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III.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IV. </w:t>
      </w:r>
      <w:r w:rsidRPr="007A27A5">
        <w:rPr>
          <w:rFonts w:ascii="Times New Roman" w:eastAsia="Arial" w:hAnsi="Times New Roman" w:cs="Times New Roman"/>
          <w:sz w:val="24"/>
          <w:szCs w:val="24"/>
        </w:rPr>
        <w:t>Los vocales siguientes: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a. a c.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 La Secretaría de Seguridad.</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 (x4)</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73.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I. a III.</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III Bis. La Policía.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IV. a V. …</w:t>
      </w:r>
    </w:p>
    <w:p w:rsidR="00146FA6" w:rsidRPr="007A27A5" w:rsidRDefault="00146FA6" w:rsidP="00146FA6">
      <w:pPr>
        <w:spacing w:after="0" w:line="240" w:lineRule="auto"/>
        <w:rPr>
          <w:rFonts w:ascii="Times New Roman" w:eastAsia="Arial" w:hAnsi="Times New Roman" w:cs="Times New Roman"/>
          <w:b/>
          <w:sz w:val="24"/>
          <w:szCs w:val="24"/>
        </w:rPr>
      </w:pPr>
    </w:p>
    <w:p w:rsidR="00146FA6" w:rsidRPr="007A27A5" w:rsidRDefault="00146FA6" w:rsidP="00146FA6">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Artículo 85. …</w:t>
      </w:r>
    </w:p>
    <w:p w:rsidR="00146FA6" w:rsidRPr="007A27A5" w:rsidRDefault="00146FA6" w:rsidP="00146FA6">
      <w:pPr>
        <w:spacing w:after="0" w:line="240" w:lineRule="auto"/>
        <w:rPr>
          <w:rFonts w:ascii="Times New Roman" w:eastAsia="Arial"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I. a VIII. …</w:t>
      </w:r>
    </w:p>
    <w:p w:rsidR="00146FA6" w:rsidRPr="007A27A5" w:rsidRDefault="00146FA6" w:rsidP="00146FA6">
      <w:pPr>
        <w:spacing w:after="0" w:line="240" w:lineRule="auto"/>
        <w:rPr>
          <w:rFonts w:ascii="Times New Roman" w:eastAsia="Arial"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IX. Proponer a la Comisión Ejecutiva la creación de plazas de asesores jurídicos y empleados auxiliares que sean necesarios para un mejor servicio, de conformidad con la disponibilidad presupuestaria.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En los casos en que se requiera un mayor número de asesores jurídicos, la persona directora de la Defensoría, en acuerdo con la persona Comisionada, podrá contratar los servicios de abogados particulares, bajo tarifas previamente aprobadas por el Consejo Consultivo y por tiempo determinado, a fin de ampliar el alcance de los servicios de la Defensoría Especializada, sin menoscabo de la colaboración gratuita prevista en el artículo 85, fracción XVII, de esta Ley.</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lastRenderedPageBreak/>
        <w:t>Para efectos del párrafo anterior, los abogados particulares estarán sujetos a las obligaciones previstas para los asesores jurídicos de la Defensoría Especializada, y deberán cumplir los requisitos establecidos en el artículo 87 de esta Ley.</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 a XXIII.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CAPÍTULO XIII</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DE LAS UNIDADES DE ATENCIÓN A VÍCTIMAS DE LA POLICÍA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103 </w:t>
      </w:r>
      <w:proofErr w:type="spellStart"/>
      <w:r w:rsidRPr="007A27A5">
        <w:rPr>
          <w:rFonts w:ascii="Times New Roman" w:eastAsia="Arial" w:hAnsi="Times New Roman" w:cs="Times New Roman"/>
          <w:b/>
          <w:sz w:val="24"/>
          <w:szCs w:val="24"/>
        </w:rPr>
        <w:t>Octies</w:t>
      </w:r>
      <w:proofErr w:type="spellEnd"/>
      <w:r w:rsidRPr="007A27A5">
        <w:rPr>
          <w:rFonts w:ascii="Times New Roman" w:eastAsia="Arial" w:hAnsi="Times New Roman" w:cs="Times New Roman"/>
          <w:b/>
          <w:sz w:val="24"/>
          <w:szCs w:val="24"/>
        </w:rPr>
        <w:t>. La Policía deberá integrar, en su estructura organizacional, unidades de atención a víctimas, con énfasis en niñas, niños y adolescentes, en los términos de la presente Ley, el Código Nacional y la Ley de los Derechos de</w:t>
      </w:r>
      <w:r w:rsidRPr="007A27A5">
        <w:rPr>
          <w:rFonts w:ascii="Times New Roman" w:eastAsia="Arial" w:hAnsi="Times New Roman" w:cs="Times New Roman"/>
          <w:sz w:val="24"/>
          <w:szCs w:val="24"/>
        </w:rPr>
        <w:t xml:space="preserve"> </w:t>
      </w:r>
      <w:r w:rsidRPr="007A27A5">
        <w:rPr>
          <w:rFonts w:ascii="Times New Roman" w:eastAsia="Arial" w:hAnsi="Times New Roman" w:cs="Times New Roman"/>
          <w:b/>
          <w:sz w:val="24"/>
          <w:szCs w:val="24"/>
        </w:rPr>
        <w:t>Niñas, Niños y Adolescentes del Estado de México.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103 </w:t>
      </w:r>
      <w:proofErr w:type="spellStart"/>
      <w:r w:rsidRPr="007A27A5">
        <w:rPr>
          <w:rFonts w:ascii="Times New Roman" w:eastAsia="Arial" w:hAnsi="Times New Roman" w:cs="Times New Roman"/>
          <w:b/>
          <w:sz w:val="24"/>
          <w:szCs w:val="24"/>
        </w:rPr>
        <w:t>Nonies</w:t>
      </w:r>
      <w:proofErr w:type="spellEnd"/>
      <w:r w:rsidRPr="007A27A5">
        <w:rPr>
          <w:rFonts w:ascii="Times New Roman" w:eastAsia="Arial" w:hAnsi="Times New Roman" w:cs="Times New Roman"/>
          <w:b/>
          <w:sz w:val="24"/>
          <w:szCs w:val="24"/>
        </w:rPr>
        <w:t>. La Comisión Ejecutiva, a través de la Dirección de Defensoría Especializada para Víctimas y Ofendidos del Delito, y de las Unidades de Atención Inmediata y Primer Contacto, capacitarán y certificarán al personal</w:t>
      </w:r>
      <w:r w:rsidRPr="007A27A5">
        <w:rPr>
          <w:rFonts w:ascii="Times New Roman" w:eastAsia="Arial" w:hAnsi="Times New Roman" w:cs="Times New Roman"/>
          <w:sz w:val="24"/>
          <w:szCs w:val="24"/>
        </w:rPr>
        <w:t xml:space="preserve"> </w:t>
      </w:r>
      <w:r w:rsidRPr="007A27A5">
        <w:rPr>
          <w:rFonts w:ascii="Times New Roman" w:eastAsia="Arial" w:hAnsi="Times New Roman" w:cs="Times New Roman"/>
          <w:b/>
          <w:sz w:val="24"/>
          <w:szCs w:val="24"/>
        </w:rPr>
        <w:t>policial encargado de la atención a víctimas, en los términos de la presente Ley.</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SEGUNDO.- </w:t>
      </w:r>
      <w:r w:rsidRPr="007A27A5">
        <w:rPr>
          <w:rFonts w:ascii="Times New Roman" w:eastAsia="Arial" w:hAnsi="Times New Roman" w:cs="Times New Roman"/>
          <w:sz w:val="24"/>
          <w:szCs w:val="24"/>
        </w:rPr>
        <w:t>Se reforman los artículos 88, primer párrafo, 90, fracciones VIII, IX y XII, y 105, fracción III; y se adicionan un séptimo párrafo al artículo 11, recorriéndose el subsecuente, una fracción V al artículo 83, una fracción XXIV Bis al artículo 85, una fracción VI Bis al artículo 86, una fracción VII Bis al artículo 90, un cuarto párrafo al artículo 94, un párrafo tercero al artículo 94 Ter, y una fracción II Bis al artículo 102, todos de la Ley de los Derechos de Niñas, Niños y Adolescentes del Estado de México, para quedar como sigue: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11.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El Estado y los municipios establecerán, en sus policías Estatal y municipales, unidades para coadyuvar en la atención de niñas, niños y adolescentes víctimas del delito, en los términos del Código Nacional de Procedimientos Penales, la Ley de Víctimas del Estado de México y la presente Ley.</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83.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IV.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 En las instituciones de seguridad pública, procuración y administración de justicia, la obligación de brindar atención especializada a niñas, niños o adolescentes víctimas del delito, en los términos de esta Ley.</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88. </w:t>
      </w:r>
      <w:r w:rsidRPr="007A27A5">
        <w:rPr>
          <w:rFonts w:ascii="Times New Roman" w:eastAsia="Arial" w:hAnsi="Times New Roman" w:cs="Times New Roman"/>
          <w:sz w:val="24"/>
          <w:szCs w:val="24"/>
        </w:rPr>
        <w:t xml:space="preserve">La Procuraduría de Protección de Niñas, Niños y Adolescentes del Estado de México es una unidad administrativa dependiente del Sistema para el Desarrollo Integral de la Familia del Estado de México, cuyo objeto es la protección integral y restitución de los derechos de las niñas, niños y adolescentes, a través de la determinación y coordinación en la ejecución y seguimiento de las medidas de protección. Para tal efecto se deberá establecer contacto y trabajar conjuntamente con las autoridades administrativas de asistencia social, de servicios de salud, de educación, de protección social, de cultura, deporte, </w:t>
      </w:r>
      <w:r w:rsidRPr="007A27A5">
        <w:rPr>
          <w:rFonts w:ascii="Times New Roman" w:eastAsia="Arial" w:hAnsi="Times New Roman" w:cs="Times New Roman"/>
          <w:b/>
          <w:sz w:val="24"/>
          <w:szCs w:val="24"/>
        </w:rPr>
        <w:t xml:space="preserve">de seguridad pública y de procuración de justicia, </w:t>
      </w:r>
      <w:r w:rsidRPr="007A27A5">
        <w:rPr>
          <w:rFonts w:ascii="Times New Roman" w:eastAsia="Arial" w:hAnsi="Times New Roman" w:cs="Times New Roman"/>
          <w:sz w:val="24"/>
          <w:szCs w:val="24"/>
        </w:rPr>
        <w:t>y con todas aquellas necesarias para garantizar los derechos de las niñas, niños y adolescentes.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90. </w:t>
      </w:r>
      <w:r w:rsidRPr="007A27A5">
        <w:rPr>
          <w:rFonts w:ascii="Times New Roman" w:eastAsia="Arial" w:hAnsi="Times New Roman" w:cs="Times New Roman"/>
          <w:sz w:val="24"/>
          <w:szCs w:val="24"/>
        </w:rPr>
        <w:t>La Procuraduría de Protección tendrá las atribuciones siguientes:</w:t>
      </w:r>
    </w:p>
    <w:p w:rsidR="00146FA6" w:rsidRPr="007A27A5" w:rsidRDefault="00146FA6" w:rsidP="00146FA6">
      <w:pPr>
        <w:spacing w:after="0" w:line="240" w:lineRule="auto"/>
        <w:rPr>
          <w:rFonts w:ascii="Times New Roman" w:eastAsia="Arial"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I. a VII. …</w:t>
      </w:r>
    </w:p>
    <w:p w:rsidR="00146FA6" w:rsidRPr="007A27A5" w:rsidRDefault="00146FA6" w:rsidP="00146FA6">
      <w:pPr>
        <w:spacing w:after="0" w:line="240" w:lineRule="auto"/>
        <w:jc w:val="both"/>
        <w:rPr>
          <w:rFonts w:ascii="Times New Roman" w:eastAsia="Arial" w:hAnsi="Times New Roman" w:cs="Times New Roman"/>
          <w:b/>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VII Bis. Capacitar y certificar a las unidades de las policías estatal y municipales que se formen para brindar atención a víctimas, con énfasis en niñas, niños y adolescentes, en los términos de la presente Ley, el Código Nacional y la Ley de Víctimas del Estado de México.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Dichas unidades deberán estar integradas por policías debidamente capacitados en atención médica de primeros auxilios, manejo psicológico de crisis, orientación jurídica y recepción de denuncias.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VIII. Denunciar ante el Ministerio Público </w:t>
      </w:r>
      <w:r w:rsidRPr="007A27A5">
        <w:rPr>
          <w:rFonts w:ascii="Times New Roman" w:eastAsia="Arial" w:hAnsi="Times New Roman" w:cs="Times New Roman"/>
          <w:b/>
          <w:sz w:val="24"/>
          <w:szCs w:val="24"/>
        </w:rPr>
        <w:t xml:space="preserve">o ante las unidades de las policías estatal y municipales de atención a víctimas, </w:t>
      </w:r>
      <w:r w:rsidRPr="007A27A5">
        <w:rPr>
          <w:rFonts w:ascii="Times New Roman" w:eastAsia="Arial" w:hAnsi="Times New Roman" w:cs="Times New Roman"/>
          <w:sz w:val="24"/>
          <w:szCs w:val="24"/>
        </w:rPr>
        <w:t>dentro de las 24 horas siguientes de aquella en la que se tenga conocimiento de hechos que se presuman constitutivos de delito en contra de niñas, niños y adolescentes.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IX. Solicitar al Ministerio Público </w:t>
      </w:r>
      <w:r w:rsidRPr="007A27A5">
        <w:rPr>
          <w:rFonts w:ascii="Times New Roman" w:eastAsia="Arial" w:hAnsi="Times New Roman" w:cs="Times New Roman"/>
          <w:b/>
          <w:sz w:val="24"/>
          <w:szCs w:val="24"/>
        </w:rPr>
        <w:t xml:space="preserve">o a las policías estatal o municipales, </w:t>
      </w:r>
      <w:r w:rsidRPr="007A27A5">
        <w:rPr>
          <w:rFonts w:ascii="Times New Roman" w:eastAsia="Arial" w:hAnsi="Times New Roman" w:cs="Times New Roman"/>
          <w:sz w:val="24"/>
          <w:szCs w:val="24"/>
        </w:rPr>
        <w:t>la imposición de medidas urgentes de protección especial idóneas, cuando exista un riesgo inminente contra la vida, integridad o libertad de niñas, niños y adolescentes, quien deberá decretarlas dentro de las siguientes 3 horas a la recepción de la solicitud, dando aviso de inmediato a la autoridad jurisdiccional competente.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 a XI.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XII. Proceder a verificar el hecho de abandono de una niña, niño o adolescente del que tenga conocimiento y habiéndolo comprobado deberá presentar la denuncia correspondiente ante el Ministerio Público </w:t>
      </w:r>
      <w:r w:rsidRPr="007A27A5">
        <w:rPr>
          <w:rFonts w:ascii="Times New Roman" w:eastAsia="Arial" w:hAnsi="Times New Roman" w:cs="Times New Roman"/>
          <w:b/>
          <w:sz w:val="24"/>
          <w:szCs w:val="24"/>
        </w:rPr>
        <w:t>o ante las policías estatal o municipales, en los términos del artículo 132 de Código Nacional de Procedimientos Penales</w:t>
      </w:r>
      <w:r w:rsidRPr="007A27A5">
        <w:rPr>
          <w:rFonts w:ascii="Times New Roman" w:eastAsia="Arial" w:hAnsi="Times New Roman" w:cs="Times New Roman"/>
          <w:sz w:val="24"/>
          <w:szCs w:val="24"/>
        </w:rPr>
        <w:t>, a efecto de que se levante un acta pormenorizada en la que consten las circunstancias con las que se acredite el abandono.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lastRenderedPageBreak/>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XIII. a XXIV.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94 Ter.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Las Procuradurías de Protección Municipal de Niñas, Niños y Adolescentes podrán convenir con las unidades de atención a víctimas de las policías municipales, para que las asistan en el ejercicio de dichas atribuciones.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102.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sz w:val="24"/>
          <w:szCs w:val="24"/>
        </w:rPr>
        <w:t>Los sistemas de protección de los municipios estarán integrados de la siguiente manera: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II.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II Bis. El Director de Seguridad Pública Municipal o su equivalente.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III. a VI.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105.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II. …</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III. Establecer indicadores de resultados que establezcan metas claras de avances en la protección de las niñas, niños y adolescentes, incluyendo </w:t>
      </w:r>
      <w:r w:rsidRPr="007A27A5">
        <w:rPr>
          <w:rFonts w:ascii="Times New Roman" w:eastAsia="Arial" w:hAnsi="Times New Roman" w:cs="Times New Roman"/>
          <w:sz w:val="24"/>
          <w:szCs w:val="24"/>
        </w:rPr>
        <w:t>mecanismos transparentes que permitan su evaluación y seguimiento, así como de participación ciudadana, mismos que serán publicados en el periódico oficial “Gaceta del Gobierno”.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TERCERO.- </w:t>
      </w:r>
      <w:r w:rsidRPr="007A27A5">
        <w:rPr>
          <w:rFonts w:ascii="Times New Roman" w:eastAsia="Arial" w:hAnsi="Times New Roman" w:cs="Times New Roman"/>
          <w:sz w:val="24"/>
          <w:szCs w:val="24"/>
        </w:rPr>
        <w:t>Se adiciona un tercer párrafo al artículo 142 de la Ley Orgánica Municipal del Estado de México, para quedar como sigue:</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142. </w:t>
      </w: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Los cuerpos de seguridad pública municipal deberán establecer unidades de atención a víctimas, con énfasis en niñas, niños y adolescentes, mismas que deberán estar capacitadas y </w:t>
      </w:r>
      <w:r w:rsidRPr="007A27A5">
        <w:rPr>
          <w:rFonts w:ascii="Times New Roman" w:eastAsia="Arial" w:hAnsi="Times New Roman" w:cs="Times New Roman"/>
          <w:b/>
          <w:sz w:val="24"/>
          <w:szCs w:val="24"/>
        </w:rPr>
        <w:lastRenderedPageBreak/>
        <w:t>certificadas por la Comisión Ejecutiva de Atención a Víctimas del Estado de México y por la Procuraduría de Protección de Niñas, Niños y Adolescentes del Estado de México.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T R A N S I T O R I O 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PRIMERO.- </w:t>
      </w:r>
      <w:r w:rsidRPr="007A27A5">
        <w:rPr>
          <w:rFonts w:ascii="Times New Roman" w:eastAsia="Arial" w:hAnsi="Times New Roman" w:cs="Times New Roman"/>
          <w:sz w:val="24"/>
          <w:szCs w:val="24"/>
        </w:rPr>
        <w:t>Publíquese el presente Decreto en el Periódico Oficial "Gaceta del Gobierno".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SEGUNDO.- </w:t>
      </w:r>
      <w:r w:rsidRPr="007A27A5">
        <w:rPr>
          <w:rFonts w:ascii="Times New Roman" w:eastAsia="Arial" w:hAnsi="Times New Roman" w:cs="Times New Roman"/>
          <w:sz w:val="24"/>
          <w:szCs w:val="24"/>
        </w:rPr>
        <w:t>El presente Decreto entrará en vigor al día siguiente de su publicación en el Periódico Oficial "Gaceta del Gobierno".</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TERCERO.- </w:t>
      </w:r>
      <w:r w:rsidRPr="007A27A5">
        <w:rPr>
          <w:rFonts w:ascii="Times New Roman" w:eastAsia="Arial" w:hAnsi="Times New Roman" w:cs="Times New Roman"/>
          <w:sz w:val="24"/>
          <w:szCs w:val="24"/>
        </w:rPr>
        <w:t>En un plazo no mayor a 90 días a partir de la entrada en vigor del presente Decreto, la Fiscalía General de Justicia, las policías estatal y municipales, la Comisión Ejecutiva de Atención a Víctimas y la Procuraduría de Protección de Niñas, Niños y Adolescentes, deberán firmar los convenios necesarios para la implementación de la presente reforma.</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CUARTO.- </w:t>
      </w:r>
      <w:r w:rsidRPr="007A27A5">
        <w:rPr>
          <w:rFonts w:ascii="Times New Roman" w:eastAsia="Arial" w:hAnsi="Times New Roman" w:cs="Times New Roman"/>
          <w:sz w:val="24"/>
          <w:szCs w:val="24"/>
        </w:rPr>
        <w:t>La Comisión Ejecutiva de Atención a Víctimas del Estado de México, en coordinación con la Procuraduría de Protección de Niñas, Niños y Adolescentes del Estado de México, aprobará, en un plazo no mayor a 90 días a partir de la entrada en vigor del presente Decreto, un programa de capacitación y certificación para las policías Estatal y municipales, con el fin de establecer las unidades de atención a víctimas, con énfasis en niñas, niños y adolescentes.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QUINTO.- </w:t>
      </w:r>
      <w:r w:rsidRPr="007A27A5">
        <w:rPr>
          <w:rFonts w:ascii="Times New Roman" w:eastAsia="Arial" w:hAnsi="Times New Roman" w:cs="Times New Roman"/>
          <w:sz w:val="24"/>
          <w:szCs w:val="24"/>
        </w:rPr>
        <w:t>La Secretaría de Seguridad del Estado de México y las direcciones de seguridad pública municipal, contarán con 30 días a partir de la aprobación del programa al que se refiere el artículo anterior, para establecer sus unidades de atención a víctimas, con énfasis en niñas, niños y adolescentes.</w:t>
      </w:r>
    </w:p>
    <w:p w:rsidR="00146FA6" w:rsidRPr="007A27A5" w:rsidRDefault="00146FA6" w:rsidP="00146FA6">
      <w:pPr>
        <w:spacing w:after="0" w:line="240" w:lineRule="auto"/>
        <w:rPr>
          <w:rFonts w:ascii="Times New Roman" w:eastAsia="Times New Roman" w:hAnsi="Times New Roman" w:cs="Times New Roman"/>
          <w:sz w:val="24"/>
          <w:szCs w:val="24"/>
        </w:rPr>
      </w:pPr>
    </w:p>
    <w:p w:rsidR="00146FA6" w:rsidRPr="007A27A5" w:rsidRDefault="00146FA6" w:rsidP="00146FA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SEXTO.- </w:t>
      </w:r>
      <w:r w:rsidRPr="007A27A5">
        <w:rPr>
          <w:rFonts w:ascii="Times New Roman" w:eastAsia="Arial" w:hAnsi="Times New Roman" w:cs="Times New Roman"/>
          <w:sz w:val="24"/>
          <w:szCs w:val="24"/>
        </w:rPr>
        <w:t>La capacitación y certificación de las unidades de atención a víctimas, con énfasis en niñas, niños y adolescentes, podrán llevarse a cabo con la colaboración de la Universidad Mexiquense de Seguridad.</w:t>
      </w:r>
    </w:p>
    <w:p w:rsidR="00146FA6" w:rsidRPr="00880BBE" w:rsidRDefault="00146FA6" w:rsidP="00146FA6">
      <w:pPr>
        <w:spacing w:after="0" w:line="240" w:lineRule="auto"/>
        <w:rPr>
          <w:rFonts w:ascii="Times New Roman" w:eastAsia="Times New Roman" w:hAnsi="Times New Roman" w:cs="Times New Roman"/>
          <w:sz w:val="24"/>
          <w:szCs w:val="24"/>
        </w:rPr>
      </w:pPr>
    </w:p>
    <w:p w:rsidR="00146FA6" w:rsidRPr="00880BBE" w:rsidRDefault="00146FA6" w:rsidP="00146FA6">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b/>
          <w:sz w:val="24"/>
          <w:szCs w:val="24"/>
        </w:rPr>
        <w:t xml:space="preserve">SÉPTIMO.- </w:t>
      </w:r>
      <w:r w:rsidRPr="00880BBE">
        <w:rPr>
          <w:rFonts w:ascii="Times New Roman" w:eastAsia="Arial" w:hAnsi="Times New Roman" w:cs="Times New Roman"/>
          <w:sz w:val="24"/>
          <w:szCs w:val="24"/>
        </w:rPr>
        <w:t>En un plazo no mayor a 180 días a partir de la entrada en vigor del presente Decreto, el Sistema Estatal y los sistemas municipales deberán determinar los indicadores de resultados y las metas de avance en la protección de niñas, niños y adolescentes.</w:t>
      </w:r>
    </w:p>
    <w:p w:rsidR="00146FA6" w:rsidRPr="00880BBE" w:rsidRDefault="00146FA6" w:rsidP="00146FA6">
      <w:pPr>
        <w:spacing w:after="0" w:line="240" w:lineRule="auto"/>
        <w:rPr>
          <w:rFonts w:ascii="Times New Roman" w:eastAsia="Times New Roman" w:hAnsi="Times New Roman" w:cs="Times New Roman"/>
          <w:sz w:val="24"/>
          <w:szCs w:val="24"/>
        </w:rPr>
      </w:pPr>
    </w:p>
    <w:p w:rsidR="00146FA6" w:rsidRPr="00880BBE" w:rsidRDefault="00146FA6" w:rsidP="00146FA6">
      <w:pPr>
        <w:spacing w:after="0" w:line="240" w:lineRule="auto"/>
        <w:jc w:val="both"/>
        <w:rPr>
          <w:rFonts w:ascii="Times New Roman" w:eastAsia="Times New Roman" w:hAnsi="Times New Roman" w:cs="Times New Roman"/>
          <w:sz w:val="24"/>
          <w:szCs w:val="24"/>
        </w:rPr>
      </w:pPr>
      <w:r w:rsidRPr="00880BBE">
        <w:rPr>
          <w:rFonts w:ascii="Times New Roman" w:eastAsia="Arial" w:hAnsi="Times New Roman" w:cs="Times New Roman"/>
          <w:sz w:val="24"/>
          <w:szCs w:val="24"/>
        </w:rPr>
        <w:t xml:space="preserve">Dado en el Palacio del Poder Legislativo, en la ciudad de Toluca de Lerdo, capital del Estado de México, a los </w:t>
      </w:r>
      <w:r w:rsidRPr="00880BBE">
        <w:rPr>
          <w:rFonts w:ascii="Times New Roman" w:eastAsia="Arial" w:hAnsi="Times New Roman" w:cs="Times New Roman"/>
          <w:sz w:val="24"/>
          <w:szCs w:val="24"/>
          <w:u w:val="single" w:color="000000"/>
        </w:rPr>
        <w:tab/>
      </w:r>
      <w:r w:rsidRPr="00880BBE">
        <w:rPr>
          <w:rFonts w:ascii="Times New Roman" w:eastAsia="Arial" w:hAnsi="Times New Roman" w:cs="Times New Roman"/>
          <w:sz w:val="24"/>
          <w:szCs w:val="24"/>
          <w:u w:val="single" w:color="000000"/>
        </w:rPr>
        <w:tab/>
        <w:t xml:space="preserve"> </w:t>
      </w:r>
      <w:r w:rsidRPr="00880BBE">
        <w:rPr>
          <w:rFonts w:ascii="Times New Roman" w:eastAsia="Arial" w:hAnsi="Times New Roman" w:cs="Times New Roman"/>
          <w:sz w:val="24"/>
          <w:szCs w:val="24"/>
        </w:rPr>
        <w:t xml:space="preserve">días del mes de </w:t>
      </w:r>
      <w:r w:rsidRPr="00880BBE">
        <w:rPr>
          <w:rFonts w:ascii="Times New Roman" w:eastAsia="Arial" w:hAnsi="Times New Roman" w:cs="Times New Roman"/>
          <w:sz w:val="24"/>
          <w:szCs w:val="24"/>
          <w:u w:val="single" w:color="000000"/>
        </w:rPr>
        <w:tab/>
        <w:t xml:space="preserve"> </w:t>
      </w:r>
      <w:r w:rsidRPr="00880BBE">
        <w:rPr>
          <w:rFonts w:ascii="Times New Roman" w:eastAsia="Arial" w:hAnsi="Times New Roman" w:cs="Times New Roman"/>
          <w:sz w:val="24"/>
          <w:szCs w:val="24"/>
        </w:rPr>
        <w:t>del año</w:t>
      </w:r>
      <w:r w:rsidRPr="00880BBE">
        <w:rPr>
          <w:rFonts w:ascii="Times New Roman" w:eastAsia="Arial" w:hAnsi="Times New Roman" w:cs="Times New Roman"/>
          <w:sz w:val="24"/>
          <w:szCs w:val="24"/>
          <w:u w:val="single" w:color="000000"/>
        </w:rPr>
        <w:tab/>
      </w:r>
    </w:p>
    <w:p w:rsidR="00146FA6" w:rsidRPr="00880BBE" w:rsidRDefault="00146FA6" w:rsidP="005F1F14">
      <w:pPr>
        <w:spacing w:after="0" w:line="240" w:lineRule="auto"/>
        <w:jc w:val="center"/>
        <w:rPr>
          <w:rFonts w:ascii="Times New Roman" w:hAnsi="Times New Roman"/>
          <w:sz w:val="24"/>
          <w:szCs w:val="24"/>
        </w:rPr>
      </w:pPr>
    </w:p>
    <w:p w:rsidR="00146FA6" w:rsidRPr="00880BBE" w:rsidRDefault="00146FA6" w:rsidP="005F1F14">
      <w:pPr>
        <w:spacing w:after="0" w:line="240" w:lineRule="auto"/>
        <w:jc w:val="center"/>
        <w:rPr>
          <w:rFonts w:ascii="Times New Roman" w:hAnsi="Times New Roman"/>
          <w:i/>
          <w:sz w:val="24"/>
          <w:szCs w:val="24"/>
        </w:rPr>
      </w:pPr>
      <w:r w:rsidRPr="00880BBE">
        <w:rPr>
          <w:rFonts w:ascii="Times New Roman" w:hAnsi="Times New Roman"/>
          <w:i/>
          <w:sz w:val="24"/>
          <w:szCs w:val="24"/>
        </w:rPr>
        <w:t>(Fin del documento)</w:t>
      </w:r>
    </w:p>
    <w:p w:rsidR="00146FA6" w:rsidRPr="00880BBE" w:rsidRDefault="00146FA6" w:rsidP="005F1F14">
      <w:pPr>
        <w:spacing w:after="0" w:line="240" w:lineRule="auto"/>
        <w:jc w:val="center"/>
        <w:rPr>
          <w:rFonts w:ascii="Times New Roman" w:hAnsi="Times New Roman"/>
          <w:sz w:val="24"/>
          <w:szCs w:val="24"/>
        </w:rPr>
      </w:pPr>
    </w:p>
    <w:p w:rsidR="000C639D" w:rsidRPr="00880BBE" w:rsidRDefault="00146FA6" w:rsidP="000C639D">
      <w:pPr>
        <w:pStyle w:val="Sinespaciado"/>
      </w:pPr>
      <w:r w:rsidRPr="00880BBE">
        <w:rPr>
          <w:kern w:val="2"/>
          <w:lang w:eastAsia="es-MX"/>
        </w:rPr>
        <w:t xml:space="preserve">PRESIDENTA DIP. MARTHA AZUCENA CAMACHO REYNOSO. </w:t>
      </w:r>
      <w:r w:rsidR="000C639D" w:rsidRPr="00880BBE">
        <w:t>Se registra la iniciativa y se remite a las Comisiones Legislativas de Procuración y Administración de Justicia, Para la Protección de los Derechos de las Niñas, Niños, Adolescentes y de la Primera Infancia y de Legislación y Administración Municipal, para su estudio y dictamen.</w:t>
      </w:r>
    </w:p>
    <w:p w:rsidR="000C639D" w:rsidRPr="00880BBE" w:rsidRDefault="000C639D" w:rsidP="000C639D">
      <w:pPr>
        <w:pStyle w:val="Sinespaciado"/>
      </w:pPr>
      <w:r w:rsidRPr="00880BBE">
        <w:tab/>
        <w:t>En cuanto al punto 17, el diputado Eduardo Zarzosa Sánchez presenta en nombre del Grupo Parlamentario del Partido Revolucionario Institucional, Iniciativa con Proyecto de Decreto por el que se reforman el Código Financiero del Estado de México y Municipios, y el Código Administrativo del Estado de México, para ampliar la vigencia de las licencias de conducir de las y los taxistas mexiquenses y apoyar su economía.</w:t>
      </w:r>
    </w:p>
    <w:p w:rsidR="000C639D" w:rsidRPr="00880BBE" w:rsidRDefault="000C639D" w:rsidP="000C639D">
      <w:pPr>
        <w:pStyle w:val="Sinespaciado"/>
      </w:pPr>
      <w:r w:rsidRPr="00880BBE">
        <w:t>DIP. EDUARDO ZARZOSA SÁNCHEZ. Muchas gracias.</w:t>
      </w:r>
    </w:p>
    <w:p w:rsidR="000C639D" w:rsidRPr="00880BBE" w:rsidRDefault="000C639D" w:rsidP="00FE494F">
      <w:pPr>
        <w:pStyle w:val="Sinespaciado"/>
        <w:ind w:firstLine="851"/>
      </w:pPr>
      <w:r w:rsidRPr="00880BBE">
        <w:lastRenderedPageBreak/>
        <w:t>Con su venia, Presidenta.</w:t>
      </w:r>
    </w:p>
    <w:p w:rsidR="000C639D" w:rsidRPr="00880BBE" w:rsidRDefault="000C639D" w:rsidP="00FE494F">
      <w:pPr>
        <w:pStyle w:val="Sinespaciado"/>
        <w:ind w:firstLine="851"/>
      </w:pPr>
      <w:r w:rsidRPr="00880BBE">
        <w:t>Compañeras y compañeros diputados, pueblo del Estado de México, que nos escucha y nos ve por las diferentes redes sociales, medios de comunicación, amigos del transporte público que el día de hoy nos acompañan, sean ustedes bienvenidos a “La Casa del Pueblo”.</w:t>
      </w:r>
    </w:p>
    <w:p w:rsidR="000C639D" w:rsidRPr="00880BBE" w:rsidRDefault="000C639D" w:rsidP="00FE494F">
      <w:pPr>
        <w:pStyle w:val="Sinespaciado"/>
        <w:ind w:firstLine="851"/>
      </w:pPr>
      <w:r w:rsidRPr="00880BBE">
        <w:t>El día de hoy, el Grupo Parlamentario del PRI, a través de un servidor, presenta una iniciativa que pretende reconocer y valorar el servicio que prestan en el Estado de México los servidores públicos que ofrecen transporte para todas y todos los mexiquenses.</w:t>
      </w:r>
    </w:p>
    <w:p w:rsidR="000C639D" w:rsidRPr="00880BBE" w:rsidRDefault="000C639D" w:rsidP="00FE494F">
      <w:pPr>
        <w:pStyle w:val="Sinespaciado"/>
        <w:ind w:firstLine="851"/>
      </w:pPr>
      <w:r w:rsidRPr="00880BBE">
        <w:t>El transporte público de pasajeros constituye un servicio esencial para el desarrollo económico, social y territorial del Estado de México, su adecuada operación garantiza el acceso de la población a oportunidades de empleo, educación, salud y recreación, además de ser un factor determinante en la vida cotidiana de millones de mexiquenses; particularmente en el Estado de México, al formar parte de la zona metropolitana del Valle de México, enfrenta una presión creciente sobre su sistema de movilidad, su densidad poblacional que supera los 16 millones de habitantes, el desarrollo urbano acelerado y la proximidad e interconexión con la Ciudad de México han generado que el sistema de transporte de pasajeros se enfrente a una problemática cada vez más compleja.</w:t>
      </w:r>
    </w:p>
    <w:p w:rsidR="000C639D" w:rsidRPr="00880BBE" w:rsidRDefault="000C639D" w:rsidP="00FE494F">
      <w:pPr>
        <w:pStyle w:val="Sinespaciado"/>
        <w:ind w:firstLine="851"/>
      </w:pPr>
      <w:r w:rsidRPr="00880BBE">
        <w:t>En ese contexto, se vuelve prioritario diseñar, regular e implementar estrategias que fortalezcan el transporte de pasajeros, mejoren la calidad del servicio, reduzcan tiempos de traslado y garanticen condiciones no sólo de seguridad, sino accesibilidad para todas y todos; sin embargo, tanto los usuarios como los propios conductores continúan enfrentando una serie de desafíos que requieren atención urgente y soluciones eficientes, sostenibles y de largo alcance.</w:t>
      </w:r>
    </w:p>
    <w:p w:rsidR="000C639D" w:rsidRPr="00880BBE" w:rsidRDefault="000C639D" w:rsidP="00FE494F">
      <w:pPr>
        <w:pStyle w:val="Sinespaciado"/>
        <w:ind w:firstLine="851"/>
      </w:pPr>
      <w:r w:rsidRPr="00880BBE">
        <w:t>El transporte de pasajeros en su modalidad individual merece especial atención, pues, según datos de la Secretaría de Movilidad del Estado de México, en la entidad operan más de 100 mil taxis; asimismo, según la estadística de vehículos de motor registrados en circulación, publicada en 2024 por el INEGI, se contabilizaron poco más de 111 mil.</w:t>
      </w:r>
    </w:p>
    <w:p w:rsidR="000C639D" w:rsidRPr="00880BBE" w:rsidRDefault="000C639D" w:rsidP="00FE494F">
      <w:pPr>
        <w:pStyle w:val="Sinespaciado"/>
        <w:ind w:firstLine="851"/>
      </w:pPr>
      <w:r w:rsidRPr="00880BBE">
        <w:t>Lo anterior significa que los taxis representan el modo más numeroso y extendido de transporte de servicio regulado, a diferencia de otras modalidades de transporte como el colectivo o el masivo, el taxi garantiza una cobertura más flexible y cercana para personas que residen en zonas con baja conectividad o en comunidades donde no existen rutas establecidas, su disponibilidad inmediata, sin necesidad de horarios fijos o trayectos predeterminados lo convierte en una opción ideal para personas adultas mayores, personas con discapacidad, mujeres y ciudadanos que requieren traslados urgentes o personalizados, dicho de otra manera, el servicio de taxi complementa y fortalece la red de transporte del Estado, contribuyendo a su eficiencia y cobertura territorial, es importante hacer notar también que los taxis representan una fuente de sustento para miles de familias.</w:t>
      </w:r>
    </w:p>
    <w:p w:rsidR="000C639D" w:rsidRPr="00880BBE" w:rsidRDefault="000C639D" w:rsidP="00FE494F">
      <w:pPr>
        <w:pStyle w:val="Sinespaciado"/>
        <w:ind w:firstLine="851"/>
      </w:pPr>
      <w:r w:rsidRPr="00880BBE">
        <w:t>En consecuencia, cualquier mejora regulatoria debe entenderse como una política de movilidad y una medida de justicia social orientada al bienestar económico de sus hogares.</w:t>
      </w:r>
    </w:p>
    <w:p w:rsidR="000C639D" w:rsidRPr="00880BBE" w:rsidRDefault="000C639D" w:rsidP="00FE494F">
      <w:pPr>
        <w:pStyle w:val="Sinespaciado"/>
        <w:ind w:firstLine="851"/>
      </w:pPr>
      <w:r w:rsidRPr="00880BBE">
        <w:t xml:space="preserve">Pese a lo anterior, los taxistas mexiquenses enfrentan cargas administrativas y económicas que no son proporcionales a la del resto de los automovilistas ni para quienes ejercen dicha profesión en otras entidades, me refiero en específico a la vigencia de las licencias para conducir; manejar un vehículo automotor conlleva, desde luego, múltiples obligaciones, más </w:t>
      </w:r>
      <w:proofErr w:type="spellStart"/>
      <w:r w:rsidRPr="00880BBE">
        <w:t>aún</w:t>
      </w:r>
      <w:proofErr w:type="spellEnd"/>
      <w:r w:rsidRPr="00880BBE">
        <w:t xml:space="preserve"> tratándose de personas que hacen del transporte de pasajeros su profesión cotidiana.</w:t>
      </w:r>
    </w:p>
    <w:p w:rsidR="000C639D" w:rsidRPr="00880BBE" w:rsidRDefault="000C639D" w:rsidP="00FE494F">
      <w:pPr>
        <w:pStyle w:val="Sinespaciado"/>
        <w:ind w:firstLine="851"/>
      </w:pPr>
      <w:r w:rsidRPr="00880BBE">
        <w:t>La licencia para conducir resulta especialmente importante, por un lado, acredita la idoneidad de una persona para conducir y por otro, demuestra la autorización administrativa que otorga el Estado para desarrollar dicha actividad.</w:t>
      </w:r>
    </w:p>
    <w:p w:rsidR="000C639D" w:rsidRPr="00880BBE" w:rsidRDefault="000C639D" w:rsidP="00FE494F">
      <w:pPr>
        <w:pStyle w:val="Sinespaciado"/>
        <w:ind w:firstLine="851"/>
      </w:pPr>
      <w:r w:rsidRPr="00880BBE">
        <w:t xml:space="preserve">No obstante, de acuerdo con la fracción VIII del artículo 87 del Código Financiero del Estado de México y Municipios, la licencia para chofer de servicio público sólo puede tener un año de vigencia, mientras que, para el caso de motociclistas, choferes y automovilistas particulares, la </w:t>
      </w:r>
      <w:r w:rsidRPr="00880BBE">
        <w:lastRenderedPageBreak/>
        <w:t>vigencia oscila entre uno y 4 años de duración, existe, pues, un trato desigual para actividades relativamente similares.</w:t>
      </w:r>
    </w:p>
    <w:p w:rsidR="000C639D" w:rsidRPr="00880BBE" w:rsidRDefault="000C639D" w:rsidP="00FE494F">
      <w:pPr>
        <w:pStyle w:val="Sinespaciado"/>
        <w:ind w:firstLine="851"/>
      </w:pPr>
      <w:r w:rsidRPr="00880BBE">
        <w:t>Es necesario señalar que entidades federativas como la Ciudad de México, Jalisco, Yucatán o Nuevo León, por mencionar sólo algunas han reconocido la importancia de ampliar períodos de vigencia de licencias de conducir para taxistas, por ejemplo, el Reglamento de la Ley de Movilidad de la Ciudad de México prevé en su artículo 126 una vigencia de 2 o 3 años, el Reglamento de la Ley de Movilidad de Jalisco dispone en su artículo 19 una duración de 2 años de vigencia, el Reglamento de la Ley de Tránsito y Movilidad de Yucatán prevé en su artículo 126 que la vigencia puede tener una duración de 2 años, de 2, 3 o 5 años y el Reglamento de la Ley de Movilidad Sostenible de Accesibilidad y Seguridad Vial para Nuevo León establece en su artículo 177 que la vigencia puede ser hasta por 2 años de duración, con la particularidad de que sí es renovada por 3 períodos el siguiente puede tener una duración de 5 años.</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Estos plazos son sin duda muestra de confianza hacia las personas conductoras de taxis, en ese sentido, si bien reconocemos que las autoridades del Estado de México no han sido indiferentes con las necesidades de ese sector, es importante igualar las condiciones de las y los taxistas que trabajan en la zona metropolitana del Valle de México y en todo el Estado de México.</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Por lo anterior, y considerando que los taxistas mexiquenses deben operar en igualdad de condiciones respecto a los de la Ciudad de México, por ser la entidad más cercana y otros estados, proponemos ampliar la vigencia de las licencias de choferes de servicio de pasajeros en su modalidad individual, pues ello significaría un apoyo económico considerable para las y los taxistas y sus familias, para quedar como sigue: Un año vigencia, por mil 265 pesos, 2 años de vigencia, por mil 686 y 3 años por 2 mil 248.</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Es importante señalar que, con el fin de alcanzar un justo equilibrio entre el otorgamiento de beneficios y la exigencia de responsabilidades, la presente iniciativa también contempla distintos períodos de vigencia en función de su desempeño y cumplimiento normativo.</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Esta reforma permitirá no sólo reducir cargas administrativas y económicas para las y los taxistas, sino robustecer los exámenes de conocimientos y habilidades requeridos para la obtención y renovación de las licencias de conducir, incorporando contenidos sobre atención a personas usuarias, seguridad vial y principios de movilidad sostenible.</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De esta manera, se construye un esquema que reconoce el valor del trabajo de las y los taxistas al tiempo que fomenta una cultura de responsabilidad y profesionalismo en el desempeño de su trabajo, además el ahorro generado por la ampliación de la vigencia de las licencias podría ser utilizado para modernizar y mejorar la comodidad y calidad del servicio que brindan.</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En el Grupo Parlamentario del PRI reconocemos que las y los taxistas son un pilar fundamental para la movilidad y el desarrollo económico del Estado de México; por ello, consideramos necesario eliminar cargas económicas desproporcionadas, pues, se trata no sólo de una medida de apoyo a su economía familiar sino un acto de reconocimiento y justicia social para los más de 100 mil taxistas de nuestro querido Estado de México.</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Es cuanto señora Presidenta.</w:t>
      </w:r>
    </w:p>
    <w:p w:rsidR="005F1F14" w:rsidRPr="00880BBE" w:rsidRDefault="005F1F14" w:rsidP="005F1F14">
      <w:pPr>
        <w:pStyle w:val="Sinespaciado"/>
      </w:pPr>
    </w:p>
    <w:p w:rsidR="005F1F14" w:rsidRPr="00880BBE" w:rsidRDefault="005F1F14" w:rsidP="005F1F14">
      <w:pPr>
        <w:spacing w:after="0" w:line="240" w:lineRule="auto"/>
        <w:jc w:val="center"/>
        <w:rPr>
          <w:rFonts w:ascii="Times New Roman" w:hAnsi="Times New Roman"/>
          <w:i/>
          <w:sz w:val="24"/>
          <w:szCs w:val="24"/>
        </w:rPr>
      </w:pPr>
      <w:r w:rsidRPr="00880BBE">
        <w:rPr>
          <w:rFonts w:ascii="Times New Roman" w:hAnsi="Times New Roman"/>
          <w:i/>
          <w:sz w:val="24"/>
          <w:szCs w:val="24"/>
        </w:rPr>
        <w:t>(Se inserta documento)</w:t>
      </w:r>
    </w:p>
    <w:p w:rsidR="005F1F14" w:rsidRPr="00880BBE" w:rsidRDefault="005F1F14" w:rsidP="005F1F14">
      <w:pPr>
        <w:spacing w:after="0" w:line="240" w:lineRule="auto"/>
        <w:jc w:val="center"/>
        <w:rPr>
          <w:rFonts w:ascii="Times New Roman" w:hAnsi="Times New Roman"/>
          <w:sz w:val="24"/>
          <w:szCs w:val="24"/>
        </w:rPr>
      </w:pPr>
    </w:p>
    <w:p w:rsidR="005F1F14" w:rsidRPr="00880BBE" w:rsidRDefault="005F1F14" w:rsidP="005F1F14">
      <w:pPr>
        <w:spacing w:after="0" w:line="240" w:lineRule="auto"/>
        <w:jc w:val="center"/>
        <w:rPr>
          <w:rFonts w:ascii="Times New Roman" w:eastAsia="Times New Roman" w:hAnsi="Times New Roman" w:cs="Times New Roman"/>
          <w:b/>
          <w:sz w:val="24"/>
          <w:szCs w:val="24"/>
        </w:rPr>
      </w:pPr>
      <w:r w:rsidRPr="00880BBE">
        <w:rPr>
          <w:rFonts w:ascii="Times New Roman" w:eastAsia="Times New Roman" w:hAnsi="Times New Roman" w:cs="Times New Roman"/>
          <w:b/>
          <w:sz w:val="24"/>
          <w:szCs w:val="24"/>
        </w:rPr>
        <w:t>Diputado Eduardo Zarzosa Sánchez</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right"/>
        <w:rPr>
          <w:rFonts w:ascii="Times New Roman" w:eastAsia="Arial" w:hAnsi="Times New Roman" w:cs="Times New Roman"/>
          <w:sz w:val="24"/>
          <w:szCs w:val="24"/>
        </w:rPr>
      </w:pPr>
      <w:r w:rsidRPr="00880BBE">
        <w:rPr>
          <w:rFonts w:ascii="Times New Roman" w:eastAsia="Arial" w:hAnsi="Times New Roman" w:cs="Times New Roman"/>
          <w:sz w:val="24"/>
          <w:szCs w:val="24"/>
        </w:rPr>
        <w:t>Toluca, Estado de México, a 19 de noviembre de 2025.</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rPr>
          <w:rFonts w:ascii="Times New Roman" w:eastAsia="Arial" w:hAnsi="Times New Roman" w:cs="Times New Roman"/>
          <w:b/>
          <w:sz w:val="24"/>
          <w:szCs w:val="24"/>
        </w:rPr>
      </w:pPr>
      <w:r w:rsidRPr="00880BBE">
        <w:rPr>
          <w:rFonts w:ascii="Times New Roman" w:eastAsia="Arial" w:hAnsi="Times New Roman" w:cs="Times New Roman"/>
          <w:b/>
          <w:sz w:val="24"/>
          <w:szCs w:val="24"/>
        </w:rPr>
        <w:t>DIPUTADA MARTHA AZUCENA CAMACHO REYNOSO</w:t>
      </w:r>
    </w:p>
    <w:p w:rsidR="005F1F14" w:rsidRPr="00880BBE" w:rsidRDefault="005F1F14" w:rsidP="005F1F14">
      <w:pPr>
        <w:spacing w:after="0" w:line="240" w:lineRule="auto"/>
        <w:rPr>
          <w:rFonts w:ascii="Times New Roman" w:eastAsia="Arial" w:hAnsi="Times New Roman" w:cs="Times New Roman"/>
          <w:b/>
          <w:sz w:val="24"/>
          <w:szCs w:val="24"/>
        </w:rPr>
      </w:pPr>
      <w:r w:rsidRPr="00880BBE">
        <w:rPr>
          <w:rFonts w:ascii="Times New Roman" w:eastAsia="Arial" w:hAnsi="Times New Roman" w:cs="Times New Roman"/>
          <w:b/>
          <w:sz w:val="24"/>
          <w:szCs w:val="24"/>
        </w:rPr>
        <w:t>PRESIDENTA DE LA H. “LXII” LEGISLATURA</w:t>
      </w:r>
    </w:p>
    <w:p w:rsidR="005F1F14" w:rsidRPr="00880BBE" w:rsidRDefault="005F1F14" w:rsidP="005F1F14">
      <w:pPr>
        <w:spacing w:after="0" w:line="240" w:lineRule="auto"/>
        <w:rPr>
          <w:rFonts w:ascii="Times New Roman" w:eastAsia="Arial" w:hAnsi="Times New Roman" w:cs="Times New Roman"/>
          <w:sz w:val="24"/>
          <w:szCs w:val="24"/>
        </w:rPr>
      </w:pPr>
      <w:r w:rsidRPr="00880BBE">
        <w:rPr>
          <w:rFonts w:ascii="Times New Roman" w:eastAsia="Arial" w:hAnsi="Times New Roman" w:cs="Times New Roman"/>
          <w:b/>
          <w:sz w:val="24"/>
          <w:szCs w:val="24"/>
        </w:rPr>
        <w:t>DEL CONGRESO DEL ESTADO DE MÉXICO</w:t>
      </w:r>
    </w:p>
    <w:p w:rsidR="005F1F14" w:rsidRPr="00880BBE"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b/>
          <w:sz w:val="24"/>
          <w:szCs w:val="24"/>
        </w:rPr>
        <w:lastRenderedPageBreak/>
        <w:t>P R E S E N T E</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sz w:val="24"/>
          <w:szCs w:val="24"/>
        </w:rPr>
        <w:t xml:space="preserve">El que suscribe, </w:t>
      </w:r>
      <w:r w:rsidRPr="00880BBE">
        <w:rPr>
          <w:rFonts w:ascii="Times New Roman" w:eastAsia="Arial" w:hAnsi="Times New Roman" w:cs="Times New Roman"/>
          <w:b/>
          <w:sz w:val="24"/>
          <w:szCs w:val="24"/>
        </w:rPr>
        <w:t xml:space="preserve">diputado Eduardo Zarzosa Sánchez, integrante del Grupo Parlamentario del Partido Revolucionario Institucional </w:t>
      </w:r>
      <w:r w:rsidRPr="00880BBE">
        <w:rPr>
          <w:rFonts w:ascii="Times New Roman" w:eastAsia="Arial" w:hAnsi="Times New Roman" w:cs="Times New Roman"/>
          <w:sz w:val="24"/>
          <w:szCs w:val="24"/>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someto a consideración de este órgano legislativo, la presente </w:t>
      </w:r>
      <w:r w:rsidRPr="00880BBE">
        <w:rPr>
          <w:rFonts w:ascii="Times New Roman" w:eastAsia="Arial" w:hAnsi="Times New Roman" w:cs="Times New Roman"/>
          <w:b/>
          <w:sz w:val="24"/>
          <w:szCs w:val="24"/>
        </w:rPr>
        <w:t xml:space="preserve">Iniciativa con proyecto de decreto por el que </w:t>
      </w:r>
      <w:r w:rsidRPr="007A27A5">
        <w:rPr>
          <w:rFonts w:ascii="Times New Roman" w:eastAsia="Arial" w:hAnsi="Times New Roman" w:cs="Times New Roman"/>
          <w:b/>
          <w:sz w:val="24"/>
          <w:szCs w:val="24"/>
        </w:rPr>
        <w:t>se reforman el Código Financiero del Estado de México y Municipios, y el Código Administrativo del Estado de México, para ampliar la vigencia de las licencias de conducir de las y los taxistas mexiquenses y apoyar su economía</w:t>
      </w:r>
      <w:r w:rsidRPr="007A27A5">
        <w:rPr>
          <w:rFonts w:ascii="Times New Roman" w:eastAsia="Arial" w:hAnsi="Times New Roman" w:cs="Times New Roman"/>
          <w:sz w:val="24"/>
          <w:szCs w:val="24"/>
        </w:rPr>
        <w:t>, conforme a la siguiente:</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E X P O S I C I </w:t>
      </w:r>
      <w:proofErr w:type="spellStart"/>
      <w:r w:rsidRPr="007A27A5">
        <w:rPr>
          <w:rFonts w:ascii="Times New Roman" w:eastAsia="Arial" w:hAnsi="Times New Roman" w:cs="Times New Roman"/>
          <w:b/>
          <w:sz w:val="24"/>
          <w:szCs w:val="24"/>
        </w:rPr>
        <w:t>Ó</w:t>
      </w:r>
      <w:proofErr w:type="spellEnd"/>
      <w:r w:rsidRPr="007A27A5">
        <w:rPr>
          <w:rFonts w:ascii="Times New Roman" w:eastAsia="Arial" w:hAnsi="Times New Roman" w:cs="Times New Roman"/>
          <w:b/>
          <w:sz w:val="24"/>
          <w:szCs w:val="24"/>
        </w:rPr>
        <w:t xml:space="preserve"> N  D E   M O T I V O 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1. El transporte de pasajeros en el Estado de México</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El transporte público de pasajeros constituye un servicio esencial para el desarrollo económico, social y territorial del Estado de México. Su adecuada operación garantiza el acceso de la población a oportunidades de empleo, educación, salud y recreación, además de ser un factor determinante en la vida cotidiana de millones de mexiquenses.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Particularmente el Estado de México, al formar parte de la Zona Metropolitana del Valle de México, enfrenta una presión creciente sobre su sistema de movilidad. Su densidad poblacional que supera los 16 millones de habitantes,</w:t>
      </w:r>
      <w:r w:rsidRPr="007A27A5">
        <w:rPr>
          <w:rFonts w:ascii="Times New Roman" w:eastAsia="Arial" w:hAnsi="Times New Roman" w:cs="Times New Roman"/>
          <w:color w:val="FF0000"/>
          <w:sz w:val="24"/>
          <w:szCs w:val="24"/>
          <w:vertAlign w:val="superscript"/>
        </w:rPr>
        <w:t>1</w:t>
      </w:r>
      <w:r w:rsidRPr="007A27A5">
        <w:rPr>
          <w:rFonts w:ascii="Times New Roman" w:eastAsia="Arial" w:hAnsi="Times New Roman" w:cs="Times New Roman"/>
          <w:sz w:val="24"/>
          <w:szCs w:val="24"/>
        </w:rPr>
        <w:t xml:space="preserve"> el desarrollo urbano acelerado y la proximidad e interconexión con la Ciudad de México, han generado que el sistema de transporte de pasajeros se enfrente a problemáticas cada vez más complejas. Tan sólo en mayo de 2025, atendió a 179.4 millones de pasajeros.</w:t>
      </w:r>
      <w:r w:rsidRPr="007A27A5">
        <w:rPr>
          <w:rFonts w:ascii="Times New Roman" w:eastAsia="Arial" w:hAnsi="Times New Roman" w:cs="Times New Roman"/>
          <w:color w:val="FF0000"/>
          <w:sz w:val="24"/>
          <w:szCs w:val="24"/>
          <w:vertAlign w:val="superscript"/>
        </w:rPr>
        <w:t>2</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En este contexto, se vuelve prioritario diseñar, regular e implementar estrategias que fortalezcan el transporte de pasajeros, mejoren la calidad del servicio, reduzcan tiempos de traslado y garanticen condiciones no sólo de seguridad, sino de accesibilidad para todas y todos. Sin embargo, tanto los usuarios como los propios conductores continúan enfrentando una serie de desafíos que requieren atención urgente y soluciones eficientes, sostenibles y de largo alcance.</w:t>
      </w:r>
      <w:r w:rsidRPr="007A27A5">
        <w:rPr>
          <w:rFonts w:ascii="Times New Roman" w:eastAsia="Arial" w:hAnsi="Times New Roman" w:cs="Times New Roman"/>
          <w:color w:val="FF0000"/>
          <w:sz w:val="24"/>
          <w:szCs w:val="24"/>
          <w:vertAlign w:val="superscript"/>
        </w:rPr>
        <w:t>3</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2. La relevancia del servicio de taxis en el sistema mexiquense de movilidad</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El transporte de pasajeros, en su modalidad individual, merece especial atención, pues según datos de la Secretaría de Movilidad del Estado de México, en la entidad operan más de 100 mil taxis.</w:t>
      </w:r>
      <w:r w:rsidRPr="007A27A5">
        <w:rPr>
          <w:rFonts w:ascii="Times New Roman" w:eastAsia="Arial" w:hAnsi="Times New Roman" w:cs="Times New Roman"/>
          <w:color w:val="FF0000"/>
          <w:sz w:val="24"/>
          <w:szCs w:val="24"/>
          <w:vertAlign w:val="superscript"/>
        </w:rPr>
        <w:t>4</w:t>
      </w:r>
      <w:r w:rsidRPr="007A27A5">
        <w:rPr>
          <w:rFonts w:ascii="Times New Roman" w:eastAsia="Arial" w:hAnsi="Times New Roman" w:cs="Times New Roman"/>
          <w:sz w:val="24"/>
          <w:szCs w:val="24"/>
        </w:rPr>
        <w:t xml:space="preserve"> Asimismo, según la Estadística de Vehículos de Motor Registrados en Circulación (EVMRC), publicada en 2024 por el INEGI, se contabilizaron poco más de 111 mil.</w:t>
      </w:r>
      <w:r w:rsidRPr="007A27A5">
        <w:rPr>
          <w:rFonts w:ascii="Times New Roman" w:eastAsia="Arial" w:hAnsi="Times New Roman" w:cs="Times New Roman"/>
          <w:color w:val="FF0000"/>
          <w:sz w:val="24"/>
          <w:szCs w:val="24"/>
          <w:vertAlign w:val="superscript"/>
        </w:rPr>
        <w:t>5</w:t>
      </w:r>
      <w:r w:rsidRPr="007A27A5">
        <w:rPr>
          <w:rFonts w:ascii="Times New Roman" w:eastAsia="Arial" w:hAnsi="Times New Roman" w:cs="Times New Roman"/>
          <w:sz w:val="24"/>
          <w:szCs w:val="24"/>
        </w:rPr>
        <w:t xml:space="preserve"> Lo anterior significa que los taxis representan el modo más numeroso y extendido de transporte de servicio regulado.</w:t>
      </w:r>
    </w:p>
    <w:p w:rsidR="005F1F14" w:rsidRPr="007A27A5" w:rsidRDefault="005F1F14" w:rsidP="005F1F14">
      <w:pPr>
        <w:spacing w:after="0" w:line="240" w:lineRule="auto"/>
        <w:jc w:val="both"/>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1</w:t>
      </w:r>
      <w:r w:rsidRPr="007A27A5">
        <w:rPr>
          <w:rFonts w:ascii="Times New Roman" w:eastAsia="Arial" w:hAnsi="Times New Roman" w:cs="Times New Roman"/>
          <w:sz w:val="20"/>
          <w:szCs w:val="24"/>
        </w:rPr>
        <w:t xml:space="preserve"> Instituto Nacional de Estadística y Geografía (INEGI). Censo 2020.</w:t>
      </w:r>
    </w:p>
    <w:p w:rsidR="005F1F14" w:rsidRPr="007A27A5" w:rsidRDefault="005F1F14" w:rsidP="005F1F14">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2</w:t>
      </w:r>
      <w:r w:rsidRPr="007A27A5">
        <w:rPr>
          <w:rFonts w:ascii="Times New Roman" w:eastAsia="Arial" w:hAnsi="Times New Roman" w:cs="Times New Roman"/>
          <w:sz w:val="20"/>
          <w:szCs w:val="24"/>
        </w:rPr>
        <w:t xml:space="preserve"> Estadística de Transporte Urbano de Pasajeros (ETUP) https:/</w:t>
      </w:r>
      <w:hyperlink r:id="rId53">
        <w:r w:rsidRPr="007A27A5">
          <w:rPr>
            <w:rFonts w:ascii="Times New Roman" w:eastAsia="Arial" w:hAnsi="Times New Roman" w:cs="Times New Roman"/>
            <w:sz w:val="20"/>
            <w:szCs w:val="24"/>
          </w:rPr>
          <w:t>/www.inegi.org.mx/contenidos/saladeprensa/boletines/2025/transporteurbano/trans_urb2025_07.pd</w:t>
        </w:r>
      </w:hyperlink>
    </w:p>
    <w:p w:rsidR="005F1F14" w:rsidRPr="007A27A5" w:rsidRDefault="005F1F14" w:rsidP="005F1F14">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2</w:t>
      </w:r>
      <w:r w:rsidRPr="007A27A5">
        <w:rPr>
          <w:rFonts w:ascii="Times New Roman" w:eastAsia="Arial" w:hAnsi="Times New Roman" w:cs="Times New Roman"/>
          <w:sz w:val="20"/>
          <w:szCs w:val="24"/>
        </w:rPr>
        <w:t xml:space="preserve"> Estadística de Transporte Urbano de Pasajeros (ETUP) https:/</w:t>
      </w:r>
      <w:hyperlink r:id="rId54">
        <w:r w:rsidRPr="007A27A5">
          <w:rPr>
            <w:rFonts w:ascii="Times New Roman" w:eastAsia="Arial" w:hAnsi="Times New Roman" w:cs="Times New Roman"/>
            <w:sz w:val="20"/>
            <w:szCs w:val="24"/>
          </w:rPr>
          <w:t>/www.inegi.org.mx/contenidos/saladeprensa/boletines/2025/transporteurbano/trans_urb2025_07.pd</w:t>
        </w:r>
      </w:hyperlink>
      <w:r w:rsidRPr="007A27A5">
        <w:rPr>
          <w:rFonts w:ascii="Times New Roman" w:eastAsia="Arial" w:hAnsi="Times New Roman" w:cs="Times New Roman"/>
          <w:sz w:val="20"/>
          <w:szCs w:val="24"/>
        </w:rPr>
        <w:t>f</w:t>
      </w:r>
    </w:p>
    <w:p w:rsidR="005F1F14" w:rsidRPr="007A27A5" w:rsidRDefault="005F1F14" w:rsidP="005F1F14">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3</w:t>
      </w:r>
      <w:r w:rsidRPr="007A27A5">
        <w:rPr>
          <w:rFonts w:ascii="Times New Roman" w:eastAsia="Arial" w:hAnsi="Times New Roman" w:cs="Times New Roman"/>
          <w:sz w:val="20"/>
          <w:szCs w:val="24"/>
        </w:rPr>
        <w:t xml:space="preserve"> https://imco.org.mx/elecciones-2023-transporte-publico-en-el-estado-de-mexico/.</w:t>
      </w:r>
    </w:p>
    <w:p w:rsidR="005F1F14" w:rsidRPr="007A27A5" w:rsidRDefault="005F1F14" w:rsidP="005F1F14">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lastRenderedPageBreak/>
        <w:t>4</w:t>
      </w:r>
      <w:r w:rsidRPr="007A27A5">
        <w:rPr>
          <w:rFonts w:ascii="Times New Roman" w:eastAsia="Arial" w:hAnsi="Times New Roman" w:cs="Times New Roman"/>
          <w:sz w:val="20"/>
          <w:szCs w:val="24"/>
        </w:rPr>
        <w:t xml:space="preserve"> Realizarán en Edomex censo para 'ordenar' taxis: </w:t>
      </w:r>
      <w:proofErr w:type="spellStart"/>
      <w:r w:rsidRPr="007A27A5">
        <w:rPr>
          <w:rFonts w:ascii="Times New Roman" w:eastAsia="Arial" w:hAnsi="Times New Roman" w:cs="Times New Roman"/>
          <w:sz w:val="20"/>
          <w:szCs w:val="24"/>
        </w:rPr>
        <w:t>Semov</w:t>
      </w:r>
      <w:proofErr w:type="spellEnd"/>
      <w:r w:rsidRPr="007A27A5">
        <w:rPr>
          <w:rFonts w:ascii="Times New Roman" w:eastAsia="Arial" w:hAnsi="Times New Roman" w:cs="Times New Roman"/>
          <w:sz w:val="20"/>
          <w:szCs w:val="24"/>
        </w:rPr>
        <w:t>. https:/</w:t>
      </w:r>
      <w:hyperlink r:id="rId55">
        <w:r w:rsidRPr="007A27A5">
          <w:rPr>
            <w:rFonts w:ascii="Times New Roman" w:eastAsia="Arial" w:hAnsi="Times New Roman" w:cs="Times New Roman"/>
            <w:sz w:val="20"/>
            <w:szCs w:val="24"/>
          </w:rPr>
          <w:t>/www.milenio.com/politica/comunidad/aplicaran-en-edomex-censo-para-ordenar-taxis-</w:t>
        </w:r>
      </w:hyperlink>
      <w:r w:rsidRPr="007A27A5">
        <w:rPr>
          <w:rFonts w:ascii="Times New Roman" w:eastAsia="Arial" w:hAnsi="Times New Roman" w:cs="Times New Roman"/>
          <w:sz w:val="20"/>
          <w:szCs w:val="24"/>
        </w:rPr>
        <w:t xml:space="preserve"> semov#:~:text=En%20el%20Estado%20de%20M%C3%A9xico%20operan%20m%C3%A1s%20de%20100%20mil%20taxis.%20%7C%20Foto:%20Cuartoscuro.</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A diferencia de otras modalidades de transporte, como el colectivo o el masivo, el taxi garantiza una cobertura más flexible y cercana para personas que residen en zonas con baja conectividad, o en comunidades donde no existen rutas establecidas.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Su disponibilidad inmediata, sin necesidad de horarios fijos o trayectos predeterminados, lo convierte en una opción ideal para personas adultas mayores, personas con discapacidad, mujeres y ciudadanos que requieren traslados urgentes o personalizados. Dicho de otra manera: el servicio de taxi complementa y fortalece la red de transporte del Estado, contribuyendo a su eficiencia y cobertura territorial.</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 importante hacer notar, también, que los taxis representan una fuente de sustento para miles de familias mexiquenses. En consecuencia, cualquier mejora regulatoria debe entenderse como una política de movilidad y una medida de justicia social orientada al bienestar económico de sus hogares.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3. Licencias de conducir para las personas chóferes de taxis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Pese a lo anterior, los taxistas mexiquenses enfrentan cargas administrativas y económicas que no son proporcionales a las del resto de los automovilistas, ni para quienes ejercen dicha profesión en otras entidades. Me refiero, en específico, a la vigencia de las licencias para conducir.</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0"/>
          <w:szCs w:val="24"/>
        </w:rPr>
      </w:pPr>
      <w:r w:rsidRPr="007A27A5">
        <w:rPr>
          <w:rFonts w:ascii="Times New Roman" w:eastAsia="Arial" w:hAnsi="Times New Roman" w:cs="Times New Roman"/>
          <w:color w:val="FF0000"/>
          <w:sz w:val="20"/>
          <w:szCs w:val="24"/>
          <w:vertAlign w:val="superscript"/>
        </w:rPr>
        <w:t>5</w:t>
      </w:r>
      <w:r w:rsidRPr="007A27A5">
        <w:rPr>
          <w:rFonts w:ascii="Times New Roman" w:eastAsia="Arial" w:hAnsi="Times New Roman" w:cs="Times New Roman"/>
          <w:sz w:val="20"/>
          <w:szCs w:val="24"/>
        </w:rPr>
        <w:t xml:space="preserve"> Vehículos de motor registrados en circulación. https:/</w:t>
      </w:r>
      <w:hyperlink r:id="rId56">
        <w:r w:rsidRPr="007A27A5">
          <w:rPr>
            <w:rFonts w:ascii="Times New Roman" w:eastAsia="Arial" w:hAnsi="Times New Roman" w:cs="Times New Roman"/>
            <w:sz w:val="20"/>
            <w:szCs w:val="24"/>
          </w:rPr>
          <w:t>/www.inegi.org.mx/sistemas/olap/proyectos/bd/continuas/transporte/vehiculos.asp?s=es</w:t>
        </w:r>
      </w:hyperlink>
      <w:r w:rsidRPr="007A27A5">
        <w:rPr>
          <w:rFonts w:ascii="Times New Roman" w:eastAsia="Arial" w:hAnsi="Times New Roman" w:cs="Times New Roman"/>
          <w:sz w:val="20"/>
          <w:szCs w:val="24"/>
        </w:rPr>
        <w:t>t&amp;c=13158&amp;proy=vm%20rc_vehiculos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Manejar un vehículo automotor conlleva, desde luego, múltiples obligaciones; más aún, tratándose de personas que hacen del transporte de pasajeros su profesión cotidiana. La licencia para conducir resulta especialmente importante: por un lado, acredita la idoneidad de una persona para conducir, y por otro, demuestra la autorización administrativa que otorga el Estado para desarrollar dicha actividad.</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No obstante, de acuerdo con la fracción VIII del artículo 87 del Código Financiero del Estado de México y Municipios, la licencia para “chofer de servicio público” sólo puede tener un año de vigencia, mientras que para el caso de motociclistas, choferes y automovilistas particulares, la vigencia oscila entre uno y cuatro años de duración. Existe, pues, un trato desigual para actividades relativamente similares.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4. Experiencia comparada con otras entidades federativas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 necesario señalar que entidades federativas como la Ciudad de México, Jalisco, Yucatán o Nuevo León, por mencionar sólo algunas, han reconocido la importancia de ampliar los periodos de vigencia de licencias de conducir para taxistas: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1) El Reglamento de la Ley de Movilidad de la Ciudad de México, por ejemplo, prevé, en su artículo 126, una vigencia de dos o tres años.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2) El Reglamento de la Ley de Movilidad de Jalisco dispone, en su artículo 19, una duración de dos años de vigencia.</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3) El Reglamento de la Ley de Tránsito y Movilidad de Yucatán prevé, en su artículo 126, que la vigencia puede tener una duración de dos, tres o cinco años.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4) El Reglamento de la Ley de Movilidad Sostenible de Accesibilidad y Seguridad Vial para Nuevo León establece, en su artículo 177, que la vigencia puede ser hasta por dos años de duración, con la particularidad de que, si es renovada por tres periodos, el siguiente puede tener una duración de cinco años.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Estos plazos son, sin duda alguna, muestra de confianza hacia las personas conductoras de taxis. En ese sentido, si bien reconocemos que las autoridades del Estado de México no han sido indiferentes con las necesidades de este sector, es importante igualar las condiciones de las y los taxistas que trabajan en la Zona Metropolitana del Valle de México.</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5. Contenido de la propuesta legislativa</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Por lo anterior, y considerando que los taxistas mexiquenses deben operar en igualdad de condiciones respecto a los de la Ciudad de México y otros estados, proponemos ampliar la vigencia de las licencias de chóferes de servicio de pasajeros, en su modalidad individual, pues ello significaría un apoyo económico considerable para las y los taxistas y sus familias.</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 importante señalar que, con el fin de alcanzar un justo equilibrio entre el otorgamiento de beneficios y la exigencia de responsabilidades, la presente iniciativa también contempla distintos periodos de vigencia, en función de su desempeño y cumplimiento normativo.</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Esta reforma permitiría no sólo reducir cargas administrativas y económicas para las y los taxistas, sino robustecer los exámenes de conocimientos y habilidades requeridos para la obtención y renovación de las licencias de conducir, incorporando contenidos sobre atención a personas usuarias, seguridad vial y principios de movilidad sostenible.</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De esta manera, se construye un esquema que reconoce el valor del trabajo de las y los taxistas, al tiempo que fomenta una cultura de responsabilidad y profesionalismo en el desempeño de su trabajo. Además, el ahorro generado por la ampliación de la vigencia de las licencias podría ser utilizado para modernizar y mejorar la comodidad y calidad del servicio que brindan.</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En el Grupo Parlamentario del PRI reconocemos que las y los taxistas son un pilar fundamental para la movilidad y el desarrollo económico del Estado de México. Por ello, consideramos necesario eliminar cargas económicas desproporcionadas, pues se trata no sólo de una medida de apoyo a su economía familiar, sino de un acto de justicia social.</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Por lo expuesto, sometemos a consideración de este órgano legislativo, la iniciativa con proyecto de decreto que se acompaña.</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A T E N T A M E N T E</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PROYECTO DE DECRETO</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DECRETO NÚMERO: </w:t>
      </w:r>
      <w:r w:rsidRPr="007A27A5">
        <w:rPr>
          <w:rFonts w:ascii="Times New Roman" w:eastAsia="Arial" w:hAnsi="Times New Roman" w:cs="Times New Roman"/>
          <w:b/>
          <w:sz w:val="24"/>
          <w:szCs w:val="24"/>
          <w:u w:val="thick" w:color="000000"/>
        </w:rPr>
        <w:t xml:space="preserve"> </w:t>
      </w:r>
      <w:r w:rsidRPr="007A27A5">
        <w:rPr>
          <w:rFonts w:ascii="Times New Roman" w:eastAsia="Arial" w:hAnsi="Times New Roman" w:cs="Times New Roman"/>
          <w:b/>
          <w:sz w:val="24"/>
          <w:szCs w:val="24"/>
          <w:u w:val="thick" w:color="000000"/>
        </w:rPr>
        <w:tab/>
      </w:r>
    </w:p>
    <w:p w:rsidR="005F1F14" w:rsidRPr="007A27A5" w:rsidRDefault="005F1F14" w:rsidP="005F1F14">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LA H. “LXII” LEGISLATURA DEL ESTADO DE MÉXICO</w:t>
      </w:r>
    </w:p>
    <w:p w:rsidR="005F1F14" w:rsidRPr="007A27A5" w:rsidRDefault="005F1F14" w:rsidP="005F1F14">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DECRETA:</w:t>
      </w:r>
    </w:p>
    <w:p w:rsidR="005F1F14" w:rsidRPr="007A27A5" w:rsidRDefault="005F1F14" w:rsidP="005F1F14">
      <w:pPr>
        <w:spacing w:after="0" w:line="240" w:lineRule="auto"/>
        <w:jc w:val="both"/>
        <w:rPr>
          <w:rFonts w:ascii="Times New Roman" w:eastAsia="Arial" w:hAnsi="Times New Roman" w:cs="Times New Roman"/>
          <w:b/>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PRIMERO.- </w:t>
      </w:r>
      <w:r w:rsidRPr="007A27A5">
        <w:rPr>
          <w:rFonts w:ascii="Times New Roman" w:eastAsia="Arial" w:hAnsi="Times New Roman" w:cs="Times New Roman"/>
          <w:sz w:val="24"/>
          <w:szCs w:val="24"/>
        </w:rPr>
        <w:t>Se adiciona un segundo párrafo al inciso A) de la fracción VIII del artículo 87, recorriéndose el actual párrafo segundo en su orden, del Código Financiero del Estado de México y Municipios, para quedar como sigue:</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87</w:t>
      </w:r>
      <w:r w:rsidRPr="007A27A5">
        <w:rPr>
          <w:rFonts w:ascii="Times New Roman" w:eastAsia="Arial" w:hAnsi="Times New Roman" w:cs="Times New Roman"/>
          <w:sz w:val="24"/>
          <w:szCs w:val="24"/>
        </w:rPr>
        <w:t>.- …</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a VII. …</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VIII. …</w:t>
      </w:r>
    </w:p>
    <w:p w:rsidR="005F1F14" w:rsidRPr="007A27A5" w:rsidRDefault="005F1F14" w:rsidP="005F1F14">
      <w:pPr>
        <w:spacing w:after="0" w:line="240" w:lineRule="auto"/>
        <w:rPr>
          <w:rFonts w:ascii="Times New Roman" w:eastAsia="Times New Roman" w:hAnsi="Times New Roman" w:cs="Times New Roman"/>
          <w:sz w:val="24"/>
          <w:szCs w:val="24"/>
        </w:rPr>
      </w:pPr>
    </w:p>
    <w:tbl>
      <w:tblPr>
        <w:tblStyle w:val="Tablaconcuadrcu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2"/>
        <w:gridCol w:w="2393"/>
      </w:tblGrid>
      <w:tr w:rsidR="005F1F14" w:rsidRPr="007A27A5" w:rsidTr="007C5FEC">
        <w:trPr>
          <w:jc w:val="center"/>
        </w:trPr>
        <w:tc>
          <w:tcPr>
            <w:tcW w:w="7366" w:type="dxa"/>
          </w:tcPr>
          <w:p w:rsidR="005F1F14" w:rsidRPr="007A27A5" w:rsidRDefault="005F1F14" w:rsidP="005F1F14">
            <w:pPr>
              <w:spacing w:line="240" w:lineRule="auto"/>
              <w:rPr>
                <w:sz w:val="24"/>
                <w:szCs w:val="24"/>
                <w:lang w:val="es-MX"/>
              </w:rPr>
            </w:pPr>
            <w:r w:rsidRPr="007A27A5">
              <w:rPr>
                <w:rFonts w:eastAsia="Arial"/>
                <w:b/>
                <w:sz w:val="24"/>
                <w:szCs w:val="24"/>
                <w:lang w:val="es-MX"/>
              </w:rPr>
              <w:t xml:space="preserve">A). </w:t>
            </w:r>
            <w:r w:rsidRPr="007A27A5">
              <w:rPr>
                <w:rFonts w:eastAsia="Arial"/>
                <w:sz w:val="24"/>
                <w:szCs w:val="24"/>
                <w:lang w:val="es-MX"/>
              </w:rPr>
              <w:t>Chofer de servicio público por un año de vigencia.</w:t>
            </w:r>
          </w:p>
        </w:tc>
        <w:tc>
          <w:tcPr>
            <w:tcW w:w="2484" w:type="dxa"/>
          </w:tcPr>
          <w:p w:rsidR="005F1F14" w:rsidRPr="007A27A5" w:rsidRDefault="005F1F14" w:rsidP="005F1F14">
            <w:pPr>
              <w:spacing w:line="240" w:lineRule="auto"/>
              <w:jc w:val="right"/>
              <w:rPr>
                <w:sz w:val="24"/>
                <w:szCs w:val="24"/>
                <w:lang w:val="es-MX"/>
              </w:rPr>
            </w:pPr>
            <w:r w:rsidRPr="007A27A5">
              <w:rPr>
                <w:rFonts w:eastAsia="Arial"/>
                <w:sz w:val="24"/>
                <w:szCs w:val="24"/>
                <w:lang w:val="es-MX"/>
              </w:rPr>
              <w:t>$1,265</w:t>
            </w:r>
          </w:p>
        </w:tc>
      </w:tr>
    </w:tbl>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Tratándose de chofer de servicio público de pasajeros, en su modalidad individual, las licencias podrán tener una vigencia por uno, dos o tres años, conforme a lo siguiente:</w:t>
      </w:r>
    </w:p>
    <w:p w:rsidR="005F1F14" w:rsidRPr="007A27A5" w:rsidRDefault="005F1F14" w:rsidP="005F1F14">
      <w:pPr>
        <w:spacing w:after="0" w:line="240" w:lineRule="auto"/>
        <w:rPr>
          <w:rFonts w:ascii="Times New Roman" w:eastAsia="Times New Roman" w:hAnsi="Times New Roman" w:cs="Times New Roman"/>
          <w:sz w:val="24"/>
          <w:szCs w:val="24"/>
        </w:rPr>
      </w:pPr>
    </w:p>
    <w:tbl>
      <w:tblPr>
        <w:tblStyle w:val="Tablaconcuadrcu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2"/>
        <w:gridCol w:w="2393"/>
      </w:tblGrid>
      <w:tr w:rsidR="005F1F14" w:rsidRPr="007A27A5" w:rsidTr="007C5FEC">
        <w:trPr>
          <w:jc w:val="center"/>
        </w:trPr>
        <w:tc>
          <w:tcPr>
            <w:tcW w:w="7366" w:type="dxa"/>
          </w:tcPr>
          <w:p w:rsidR="005F1F14" w:rsidRPr="007A27A5" w:rsidRDefault="005F1F14" w:rsidP="005F1F14">
            <w:pPr>
              <w:spacing w:line="240" w:lineRule="auto"/>
              <w:rPr>
                <w:sz w:val="24"/>
                <w:szCs w:val="24"/>
                <w:lang w:val="es-MX"/>
              </w:rPr>
            </w:pPr>
            <w:r w:rsidRPr="007A27A5">
              <w:rPr>
                <w:rFonts w:eastAsia="Arial"/>
                <w:b/>
                <w:sz w:val="24"/>
                <w:szCs w:val="24"/>
                <w:lang w:val="es-MX"/>
              </w:rPr>
              <w:t>1. Por un año de vigencia.</w:t>
            </w:r>
          </w:p>
        </w:tc>
        <w:tc>
          <w:tcPr>
            <w:tcW w:w="2484" w:type="dxa"/>
          </w:tcPr>
          <w:p w:rsidR="005F1F14" w:rsidRPr="007A27A5" w:rsidRDefault="005F1F14" w:rsidP="005F1F14">
            <w:pPr>
              <w:spacing w:line="240" w:lineRule="auto"/>
              <w:jc w:val="right"/>
              <w:rPr>
                <w:rFonts w:eastAsia="Arial"/>
                <w:b/>
                <w:sz w:val="24"/>
                <w:szCs w:val="24"/>
                <w:lang w:val="es-MX"/>
              </w:rPr>
            </w:pPr>
            <w:r w:rsidRPr="007A27A5">
              <w:rPr>
                <w:rFonts w:eastAsia="Arial"/>
                <w:b/>
                <w:sz w:val="24"/>
                <w:szCs w:val="24"/>
                <w:lang w:val="es-MX"/>
              </w:rPr>
              <w:t>$1,265</w:t>
            </w:r>
          </w:p>
          <w:p w:rsidR="005F1F14" w:rsidRPr="007A27A5" w:rsidRDefault="005F1F14" w:rsidP="005F1F14">
            <w:pPr>
              <w:spacing w:line="240" w:lineRule="auto"/>
              <w:jc w:val="right"/>
              <w:rPr>
                <w:sz w:val="24"/>
                <w:szCs w:val="24"/>
                <w:lang w:val="es-MX"/>
              </w:rPr>
            </w:pPr>
          </w:p>
        </w:tc>
      </w:tr>
      <w:tr w:rsidR="005F1F14" w:rsidRPr="007A27A5" w:rsidTr="007C5FEC">
        <w:trPr>
          <w:jc w:val="center"/>
        </w:trPr>
        <w:tc>
          <w:tcPr>
            <w:tcW w:w="7366" w:type="dxa"/>
          </w:tcPr>
          <w:p w:rsidR="005F1F14" w:rsidRPr="007A27A5" w:rsidRDefault="005F1F14" w:rsidP="005F1F14">
            <w:pPr>
              <w:spacing w:line="240" w:lineRule="auto"/>
              <w:rPr>
                <w:rFonts w:eastAsia="Arial"/>
                <w:b/>
                <w:sz w:val="24"/>
                <w:szCs w:val="24"/>
                <w:lang w:val="es-MX"/>
              </w:rPr>
            </w:pPr>
            <w:r w:rsidRPr="007A27A5">
              <w:rPr>
                <w:rFonts w:eastAsia="Arial"/>
                <w:b/>
                <w:sz w:val="24"/>
                <w:szCs w:val="24"/>
                <w:lang w:val="es-MX"/>
              </w:rPr>
              <w:t>2. Por dos años de vigencia.</w:t>
            </w:r>
          </w:p>
        </w:tc>
        <w:tc>
          <w:tcPr>
            <w:tcW w:w="2484" w:type="dxa"/>
          </w:tcPr>
          <w:p w:rsidR="005F1F14" w:rsidRPr="007A27A5" w:rsidRDefault="005F1F14" w:rsidP="005F1F14">
            <w:pPr>
              <w:spacing w:line="240" w:lineRule="auto"/>
              <w:jc w:val="right"/>
              <w:rPr>
                <w:rFonts w:eastAsia="Arial"/>
                <w:b/>
                <w:sz w:val="24"/>
                <w:szCs w:val="24"/>
                <w:lang w:val="es-MX"/>
              </w:rPr>
            </w:pPr>
            <w:r w:rsidRPr="007A27A5">
              <w:rPr>
                <w:rFonts w:eastAsia="Arial"/>
                <w:b/>
                <w:sz w:val="24"/>
                <w:szCs w:val="24"/>
                <w:lang w:val="es-MX"/>
              </w:rPr>
              <w:t>$1,686</w:t>
            </w:r>
          </w:p>
          <w:p w:rsidR="005F1F14" w:rsidRPr="007A27A5" w:rsidRDefault="005F1F14" w:rsidP="005F1F14">
            <w:pPr>
              <w:spacing w:line="240" w:lineRule="auto"/>
              <w:jc w:val="right"/>
              <w:rPr>
                <w:rFonts w:eastAsia="Arial"/>
                <w:b/>
                <w:sz w:val="24"/>
                <w:szCs w:val="24"/>
                <w:lang w:val="es-MX"/>
              </w:rPr>
            </w:pPr>
          </w:p>
        </w:tc>
      </w:tr>
      <w:tr w:rsidR="005F1F14" w:rsidRPr="007A27A5" w:rsidTr="007C5FEC">
        <w:trPr>
          <w:jc w:val="center"/>
        </w:trPr>
        <w:tc>
          <w:tcPr>
            <w:tcW w:w="7366" w:type="dxa"/>
          </w:tcPr>
          <w:p w:rsidR="005F1F14" w:rsidRPr="007A27A5" w:rsidRDefault="005F1F14" w:rsidP="005F1F14">
            <w:pPr>
              <w:spacing w:line="240" w:lineRule="auto"/>
              <w:rPr>
                <w:rFonts w:eastAsia="Arial"/>
                <w:b/>
                <w:sz w:val="24"/>
                <w:szCs w:val="24"/>
                <w:lang w:val="es-MX"/>
              </w:rPr>
            </w:pPr>
            <w:r w:rsidRPr="007A27A5">
              <w:rPr>
                <w:rFonts w:eastAsia="Arial"/>
                <w:b/>
                <w:sz w:val="24"/>
                <w:szCs w:val="24"/>
                <w:lang w:val="es-MX"/>
              </w:rPr>
              <w:t>3. Por tres años de vigencia.</w:t>
            </w:r>
          </w:p>
        </w:tc>
        <w:tc>
          <w:tcPr>
            <w:tcW w:w="2484" w:type="dxa"/>
          </w:tcPr>
          <w:p w:rsidR="005F1F14" w:rsidRPr="007A27A5" w:rsidRDefault="005F1F14" w:rsidP="005F1F14">
            <w:pPr>
              <w:spacing w:line="240" w:lineRule="auto"/>
              <w:jc w:val="right"/>
              <w:rPr>
                <w:rFonts w:eastAsia="Arial"/>
                <w:b/>
                <w:sz w:val="24"/>
                <w:szCs w:val="24"/>
                <w:lang w:val="es-MX"/>
              </w:rPr>
            </w:pPr>
            <w:r w:rsidRPr="007A27A5">
              <w:rPr>
                <w:rFonts w:eastAsia="Arial"/>
                <w:b/>
                <w:sz w:val="24"/>
                <w:szCs w:val="24"/>
                <w:lang w:val="es-MX"/>
              </w:rPr>
              <w:t>$2,248</w:t>
            </w:r>
          </w:p>
          <w:p w:rsidR="005F1F14" w:rsidRPr="007A27A5" w:rsidRDefault="005F1F14" w:rsidP="005F1F14">
            <w:pPr>
              <w:spacing w:line="240" w:lineRule="auto"/>
              <w:jc w:val="right"/>
              <w:rPr>
                <w:rFonts w:eastAsia="Arial"/>
                <w:b/>
                <w:sz w:val="24"/>
                <w:szCs w:val="24"/>
                <w:lang w:val="es-MX"/>
              </w:rPr>
            </w:pPr>
          </w:p>
        </w:tc>
      </w:tr>
    </w:tbl>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La expedición de la Licencia de chofer para servicio público, incluye los exámenes de conocimiento del Reglamento de Tránsito del Estado de México, </w:t>
      </w:r>
      <w:r w:rsidRPr="007A27A5">
        <w:rPr>
          <w:rFonts w:ascii="Times New Roman" w:eastAsia="Arial" w:hAnsi="Times New Roman" w:cs="Times New Roman"/>
          <w:b/>
          <w:sz w:val="24"/>
          <w:szCs w:val="24"/>
        </w:rPr>
        <w:t xml:space="preserve">así como los exámenes </w:t>
      </w:r>
      <w:r w:rsidRPr="007A27A5">
        <w:rPr>
          <w:rFonts w:ascii="Times New Roman" w:eastAsia="Arial" w:hAnsi="Times New Roman" w:cs="Times New Roman"/>
          <w:sz w:val="24"/>
          <w:szCs w:val="24"/>
        </w:rPr>
        <w:t>médico, psicométrico, toxicológico y demás que prevea el reglamento correspondiente.</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B). a F). …</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IX a XVI. …</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 xml:space="preserve">ARTÍCULO SEGUNDO.- </w:t>
      </w:r>
      <w:r w:rsidRPr="007A27A5">
        <w:rPr>
          <w:rFonts w:ascii="Times New Roman" w:eastAsia="Arial" w:hAnsi="Times New Roman" w:cs="Times New Roman"/>
          <w:sz w:val="24"/>
          <w:szCs w:val="24"/>
        </w:rPr>
        <w:t>Se reforman las fracciones II y III del artículo 7.13 del Código Administrativo del Estado de México, para quedar como sigue:</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b/>
          <w:sz w:val="24"/>
          <w:szCs w:val="24"/>
        </w:rPr>
        <w:t>Artículo 7.13. …</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I. …</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7A27A5"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II. Aprobar los exámenes médicos, </w:t>
      </w:r>
      <w:r w:rsidRPr="007A27A5">
        <w:rPr>
          <w:rFonts w:ascii="Times New Roman" w:eastAsia="Arial" w:hAnsi="Times New Roman" w:cs="Times New Roman"/>
          <w:b/>
          <w:sz w:val="24"/>
          <w:szCs w:val="24"/>
        </w:rPr>
        <w:t>psicométricos</w:t>
      </w:r>
      <w:r w:rsidRPr="007A27A5">
        <w:rPr>
          <w:rFonts w:ascii="Times New Roman" w:eastAsia="Arial" w:hAnsi="Times New Roman" w:cs="Times New Roman"/>
          <w:sz w:val="24"/>
          <w:szCs w:val="24"/>
        </w:rPr>
        <w:t xml:space="preserve">, psicológicos, </w:t>
      </w:r>
      <w:r w:rsidRPr="007A27A5">
        <w:rPr>
          <w:rFonts w:ascii="Times New Roman" w:eastAsia="Arial" w:hAnsi="Times New Roman" w:cs="Times New Roman"/>
          <w:b/>
          <w:sz w:val="24"/>
          <w:szCs w:val="24"/>
        </w:rPr>
        <w:t xml:space="preserve">toxicológicos, </w:t>
      </w:r>
      <w:r w:rsidRPr="007A27A5">
        <w:rPr>
          <w:rFonts w:ascii="Times New Roman" w:eastAsia="Arial" w:hAnsi="Times New Roman" w:cs="Times New Roman"/>
          <w:sz w:val="24"/>
          <w:szCs w:val="24"/>
        </w:rPr>
        <w:t>farmacológicos y otros que se establezcan en las disposiciones administrativas</w:t>
      </w:r>
      <w:r w:rsidRPr="007A27A5">
        <w:rPr>
          <w:rFonts w:ascii="Times New Roman" w:eastAsia="Arial" w:hAnsi="Times New Roman" w:cs="Times New Roman"/>
          <w:b/>
          <w:sz w:val="24"/>
          <w:szCs w:val="24"/>
        </w:rPr>
        <w:t>;</w:t>
      </w:r>
    </w:p>
    <w:p w:rsidR="005F1F14" w:rsidRPr="007A27A5"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lastRenderedPageBreak/>
        <w:t xml:space="preserve">III. Acreditar, en términos de las disposiciones reglamentarias, </w:t>
      </w:r>
      <w:r w:rsidRPr="007A27A5">
        <w:rPr>
          <w:rFonts w:ascii="Times New Roman" w:eastAsia="Arial" w:hAnsi="Times New Roman" w:cs="Times New Roman"/>
          <w:b/>
          <w:sz w:val="24"/>
          <w:szCs w:val="24"/>
        </w:rPr>
        <w:t xml:space="preserve">los </w:t>
      </w:r>
      <w:r w:rsidRPr="00880BBE">
        <w:rPr>
          <w:rFonts w:ascii="Times New Roman" w:eastAsia="Arial" w:hAnsi="Times New Roman" w:cs="Times New Roman"/>
          <w:b/>
          <w:sz w:val="24"/>
          <w:szCs w:val="24"/>
        </w:rPr>
        <w:t>exámenes teóricos, prácticos y de habilidades, así como los demás necesarios, que permitan garantizar su mejor capacitación</w:t>
      </w:r>
      <w:r w:rsidRPr="00880BBE">
        <w:rPr>
          <w:rFonts w:ascii="Times New Roman" w:eastAsia="Arial" w:hAnsi="Times New Roman" w:cs="Times New Roman"/>
          <w:sz w:val="24"/>
          <w:szCs w:val="24"/>
        </w:rPr>
        <w:t>;</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sz w:val="24"/>
          <w:szCs w:val="24"/>
        </w:rPr>
        <w:t>IV. ...</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sz w:val="24"/>
          <w:szCs w:val="24"/>
        </w:rPr>
        <w:t>V. ...</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center"/>
        <w:rPr>
          <w:rFonts w:ascii="Times New Roman" w:eastAsia="Arial" w:hAnsi="Times New Roman" w:cs="Times New Roman"/>
          <w:sz w:val="24"/>
          <w:szCs w:val="24"/>
        </w:rPr>
      </w:pPr>
      <w:r w:rsidRPr="00880BBE">
        <w:rPr>
          <w:rFonts w:ascii="Times New Roman" w:eastAsia="Arial" w:hAnsi="Times New Roman" w:cs="Times New Roman"/>
          <w:b/>
          <w:sz w:val="24"/>
          <w:szCs w:val="24"/>
        </w:rPr>
        <w:t>T R A N S I T O R I O S</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b/>
          <w:sz w:val="24"/>
          <w:szCs w:val="24"/>
        </w:rPr>
        <w:t xml:space="preserve">PRIMERO.- </w:t>
      </w:r>
      <w:r w:rsidRPr="00880BBE">
        <w:rPr>
          <w:rFonts w:ascii="Times New Roman" w:eastAsia="Arial" w:hAnsi="Times New Roman" w:cs="Times New Roman"/>
          <w:sz w:val="24"/>
          <w:szCs w:val="24"/>
        </w:rPr>
        <w:t>Publíquese el presente Decreto en el Periódico Oficial "Gaceta del Gobierno" del Estado de México.</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b/>
          <w:sz w:val="24"/>
          <w:szCs w:val="24"/>
        </w:rPr>
        <w:t xml:space="preserve">SEGUNDO.- </w:t>
      </w:r>
      <w:r w:rsidRPr="00880BBE">
        <w:rPr>
          <w:rFonts w:ascii="Times New Roman" w:eastAsia="Arial" w:hAnsi="Times New Roman" w:cs="Times New Roman"/>
          <w:sz w:val="24"/>
          <w:szCs w:val="24"/>
        </w:rPr>
        <w:t>El presente Decreto entrará en vigor el 1 de enero del 2026.</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b/>
          <w:sz w:val="24"/>
          <w:szCs w:val="24"/>
        </w:rPr>
        <w:t xml:space="preserve">TERCERO.- </w:t>
      </w:r>
      <w:r w:rsidRPr="00880BBE">
        <w:rPr>
          <w:rFonts w:ascii="Times New Roman" w:eastAsia="Arial" w:hAnsi="Times New Roman" w:cs="Times New Roman"/>
          <w:sz w:val="24"/>
          <w:szCs w:val="24"/>
        </w:rPr>
        <w:t>La persona titular del Poder Ejecutivo contará con un plazo de 60 días naturales, a partir de que entre en vigor el presente Decreto, para realizar las modificaciones a las disposiciones reglamentarias correspondientes, en los términos previstos en la presente resolución.</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b/>
          <w:sz w:val="24"/>
          <w:szCs w:val="24"/>
        </w:rPr>
        <w:t xml:space="preserve">CUARTO.- </w:t>
      </w:r>
      <w:r w:rsidRPr="00880BBE">
        <w:rPr>
          <w:rFonts w:ascii="Times New Roman" w:eastAsia="Arial" w:hAnsi="Times New Roman" w:cs="Times New Roman"/>
          <w:sz w:val="24"/>
          <w:szCs w:val="24"/>
        </w:rPr>
        <w:t>Tratándose de las licencias para persona chofer de pasajeros, en su modalidad individual, la Secretaría de Movilidad deberá modificar los exámenes de valoración integral de conocimientos y habilidades, así como su guía, a efecto de que en ellos se incorpore un enfoque de capacitación y sensibilización sobre seguridad vial y fomenten una cultura de responsabilidad en el uso de las vialidades.</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Arial" w:hAnsi="Times New Roman" w:cs="Times New Roman"/>
          <w:sz w:val="24"/>
          <w:szCs w:val="24"/>
        </w:rPr>
      </w:pPr>
      <w:r w:rsidRPr="00880BBE">
        <w:rPr>
          <w:rFonts w:ascii="Times New Roman" w:eastAsia="Arial" w:hAnsi="Times New Roman" w:cs="Times New Roman"/>
          <w:b/>
          <w:sz w:val="24"/>
          <w:szCs w:val="24"/>
        </w:rPr>
        <w:t xml:space="preserve">QUINTO.- </w:t>
      </w:r>
      <w:r w:rsidRPr="00880BBE">
        <w:rPr>
          <w:rFonts w:ascii="Times New Roman" w:eastAsia="Arial" w:hAnsi="Times New Roman" w:cs="Times New Roman"/>
          <w:sz w:val="24"/>
          <w:szCs w:val="24"/>
        </w:rPr>
        <w:t>Se derogan todas las disposiciones que se opongan al presente Decreto.</w:t>
      </w:r>
    </w:p>
    <w:p w:rsidR="005F1F14" w:rsidRPr="00880BBE" w:rsidRDefault="005F1F14" w:rsidP="005F1F14">
      <w:pPr>
        <w:spacing w:after="0" w:line="240" w:lineRule="auto"/>
        <w:rPr>
          <w:rFonts w:ascii="Times New Roman" w:eastAsia="Times New Roman" w:hAnsi="Times New Roman" w:cs="Times New Roman"/>
          <w:sz w:val="24"/>
          <w:szCs w:val="24"/>
        </w:rPr>
      </w:pPr>
    </w:p>
    <w:p w:rsidR="005F1F14" w:rsidRPr="00880BBE" w:rsidRDefault="005F1F14" w:rsidP="005F1F14">
      <w:pPr>
        <w:spacing w:after="0" w:line="240" w:lineRule="auto"/>
        <w:jc w:val="both"/>
        <w:rPr>
          <w:rFonts w:ascii="Times New Roman" w:eastAsia="Times New Roman" w:hAnsi="Times New Roman" w:cs="Times New Roman"/>
          <w:sz w:val="24"/>
          <w:szCs w:val="24"/>
        </w:rPr>
      </w:pPr>
      <w:r w:rsidRPr="00880BBE">
        <w:rPr>
          <w:rFonts w:ascii="Times New Roman" w:eastAsia="Arial" w:hAnsi="Times New Roman" w:cs="Times New Roman"/>
          <w:sz w:val="24"/>
          <w:szCs w:val="24"/>
        </w:rPr>
        <w:t xml:space="preserve">Dado en el Palacio del Poder Legislativo, en la ciudad de Toluca de Lerdo, capital del Estado de México, a los </w:t>
      </w:r>
      <w:r w:rsidRPr="00880BBE">
        <w:rPr>
          <w:rFonts w:ascii="Times New Roman" w:eastAsia="Arial" w:hAnsi="Times New Roman" w:cs="Times New Roman"/>
          <w:sz w:val="24"/>
          <w:szCs w:val="24"/>
          <w:u w:val="single" w:color="000000"/>
        </w:rPr>
        <w:tab/>
      </w:r>
      <w:r w:rsidRPr="00880BBE">
        <w:rPr>
          <w:rFonts w:ascii="Times New Roman" w:eastAsia="Arial" w:hAnsi="Times New Roman" w:cs="Times New Roman"/>
          <w:sz w:val="24"/>
          <w:szCs w:val="24"/>
          <w:u w:val="single" w:color="000000"/>
        </w:rPr>
        <w:tab/>
        <w:t xml:space="preserve"> </w:t>
      </w:r>
      <w:r w:rsidRPr="00880BBE">
        <w:rPr>
          <w:rFonts w:ascii="Times New Roman" w:eastAsia="Arial" w:hAnsi="Times New Roman" w:cs="Times New Roman"/>
          <w:sz w:val="24"/>
          <w:szCs w:val="24"/>
        </w:rPr>
        <w:t xml:space="preserve">días del mes de </w:t>
      </w:r>
      <w:r w:rsidRPr="00880BBE">
        <w:rPr>
          <w:rFonts w:ascii="Times New Roman" w:eastAsia="Arial" w:hAnsi="Times New Roman" w:cs="Times New Roman"/>
          <w:sz w:val="24"/>
          <w:szCs w:val="24"/>
          <w:u w:val="single" w:color="000000"/>
        </w:rPr>
        <w:tab/>
        <w:t xml:space="preserve"> </w:t>
      </w:r>
      <w:r w:rsidRPr="00880BBE">
        <w:rPr>
          <w:rFonts w:ascii="Times New Roman" w:eastAsia="Arial" w:hAnsi="Times New Roman" w:cs="Times New Roman"/>
          <w:sz w:val="24"/>
          <w:szCs w:val="24"/>
        </w:rPr>
        <w:t>del año</w:t>
      </w:r>
      <w:r w:rsidRPr="00880BBE">
        <w:rPr>
          <w:rFonts w:ascii="Times New Roman" w:eastAsia="Arial" w:hAnsi="Times New Roman" w:cs="Times New Roman"/>
          <w:sz w:val="24"/>
          <w:szCs w:val="24"/>
          <w:u w:val="single" w:color="000000"/>
        </w:rPr>
        <w:tab/>
      </w:r>
    </w:p>
    <w:p w:rsidR="005F1F14" w:rsidRPr="00880BBE" w:rsidRDefault="005F1F14" w:rsidP="005F1F14">
      <w:pPr>
        <w:spacing w:after="0" w:line="240" w:lineRule="auto"/>
        <w:jc w:val="center"/>
        <w:rPr>
          <w:rFonts w:ascii="Times New Roman" w:hAnsi="Times New Roman"/>
          <w:sz w:val="24"/>
          <w:szCs w:val="24"/>
        </w:rPr>
      </w:pPr>
    </w:p>
    <w:p w:rsidR="005F1F14" w:rsidRPr="00880BBE" w:rsidRDefault="005F1F14" w:rsidP="005F1F14">
      <w:pPr>
        <w:spacing w:after="0" w:line="240" w:lineRule="auto"/>
        <w:jc w:val="center"/>
        <w:rPr>
          <w:rFonts w:ascii="Times New Roman" w:hAnsi="Times New Roman"/>
          <w:i/>
          <w:sz w:val="24"/>
          <w:szCs w:val="24"/>
        </w:rPr>
      </w:pPr>
      <w:r w:rsidRPr="00880BBE">
        <w:rPr>
          <w:rFonts w:ascii="Times New Roman" w:hAnsi="Times New Roman"/>
          <w:i/>
          <w:sz w:val="24"/>
          <w:szCs w:val="24"/>
        </w:rPr>
        <w:t>(Fin del documento)</w:t>
      </w:r>
    </w:p>
    <w:p w:rsidR="005F1F14" w:rsidRPr="00880BBE" w:rsidRDefault="005F1F14" w:rsidP="005F1F14">
      <w:pPr>
        <w:spacing w:after="0" w:line="240" w:lineRule="auto"/>
        <w:jc w:val="center"/>
        <w:rPr>
          <w:rFonts w:ascii="Times New Roman" w:hAnsi="Times New Roman"/>
          <w:sz w:val="24"/>
          <w:szCs w:val="24"/>
        </w:rPr>
      </w:pP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PRESIDENTA DIP. MARTHA AZUCENA CAMACHO REYNOSO. Gracias diputado Eduardo Zarzosa Sánchez.</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Se registra la iniciativa y se remite a la Comisión Legislativa de Planeación y Gasto Público, de Finanzas Públicas, y de Comunicaciones y Transportes, para su estudio y dictamen.</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En cuanto al punto 18, el diputado Anuar Roberto Azar Figueroa leerá la iniciativa con proyecto de decreto por el que se reforman y adicionan diversas disposiciones de la Ley de Protección de Datos Personales en posición de sujetos obligados en el Estado de México y Municipios y de la Ley de Transparencia y Acceso a la Información Pública del Estado de México y Municipios, en materia de Gobierno Digital, Inteligencia Artificial y Datos Abiertos, presentada por el diputado Anuar Roberto Azar Figueroa y el diputado Pablo Fernández de Cevallos González, en nombre del Grupo Parlamentario del Partido de Acción Nacional.</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DIP. ANUAR ROBERTO AZAR FIGUEROA. Muchas gracias Presidenta.</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Con el permiso de la Mesa Directiva, compañeros diputados, el tiempo que nos toca vivir está marcando una fuerte y constante evolución tecnológica, se avanza con velocidad y sin precedentes, la inteligencia artificial apenas hace una década era un concepto futurista, algo que se veía poco probable, ahora forma parte de la vida cotidiana de todas y de todos.</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lastRenderedPageBreak/>
        <w:t>Esta evolución acelerada, especialmente con la irrupción de las nuevas tecnologías, presenta desafíos sin precedentes para la transparencia y el derecho a la información, así como para la protección de los datos personales.</w:t>
      </w:r>
    </w:p>
    <w:p w:rsidR="000C639D" w:rsidRPr="00880BBE" w:rsidRDefault="000C639D" w:rsidP="0018751D">
      <w:pPr>
        <w:spacing w:after="0" w:line="240" w:lineRule="auto"/>
        <w:ind w:firstLine="851"/>
        <w:jc w:val="both"/>
        <w:rPr>
          <w:rFonts w:ascii="Times New Roman" w:hAnsi="Times New Roman" w:cs="Times New Roman"/>
          <w:sz w:val="24"/>
          <w:szCs w:val="24"/>
        </w:rPr>
      </w:pPr>
      <w:r w:rsidRPr="00880BBE">
        <w:rPr>
          <w:rFonts w:ascii="Times New Roman" w:hAnsi="Times New Roman" w:cs="Times New Roman"/>
          <w:sz w:val="24"/>
          <w:szCs w:val="24"/>
        </w:rPr>
        <w:t>En Acción Nacional tenemos la convicción de que la persona humana es el centro y fin de la actividad política, por lo que la tecnología debe ser una herramienta que mejore la calidad de vida de las familias y fomente un mejor y un transparente ejercicio del servicio público de cara a la ciudadanía, por ello, necesitamos un marco jurídico que obligue al uso transparente, explicable y auditado de los algoritmos cuando tenga impacto en la ciudadanía, la transparencia no frena la innovación, al contrario, genera certeza y certidumbre jurídica y mejora las prácticas del desarrollo tecnológico.</w:t>
      </w:r>
    </w:p>
    <w:p w:rsidR="000C639D" w:rsidRPr="00880BBE" w:rsidRDefault="000C639D" w:rsidP="0018751D">
      <w:pPr>
        <w:pStyle w:val="Sinespaciado"/>
        <w:ind w:firstLine="851"/>
      </w:pPr>
      <w:r w:rsidRPr="00880BBE">
        <w:t>Otro tema relacionado con las nuevas tecnologías que es de vital importancia es la protección de los datos personales, uno de los pilares de cualquier sociedad democrática y moderna, ya que la inteligencia artificial depende en gran medida del análisis masivos de datos importantes y sensibles para las familias mexiquenses.</w:t>
      </w:r>
    </w:p>
    <w:p w:rsidR="000C639D" w:rsidRPr="00880BBE" w:rsidRDefault="000C639D" w:rsidP="0018751D">
      <w:pPr>
        <w:pStyle w:val="Sinespaciado"/>
        <w:ind w:firstLine="851"/>
      </w:pPr>
      <w:r w:rsidRPr="00880BBE">
        <w:t>Si bien nuestra entidad ya cuenta con una legislación especializada en estos temas, como la Ley de Protección de Datos Personales y la Ley de Transparencia vigentes, estas representaron un avance crucial en su momento, sin embargo, no fueron diseñadas para enfrentar el desarrollo tecnológico y la creciente digitalización del servicio público, por lo que se vuelve prioritario realizar una actualización profunda de nuestro marco legal para que siga siendo una herramienta eficaz de protección de los datos personales y combate a la opacidad de los algoritmos o capitalizar plenamente el potencial de los datos abiertos.</w:t>
      </w:r>
    </w:p>
    <w:p w:rsidR="000C639D" w:rsidRPr="00880BBE" w:rsidRDefault="000C639D" w:rsidP="0018751D">
      <w:pPr>
        <w:pStyle w:val="Sinespaciado"/>
        <w:ind w:firstLine="851"/>
      </w:pPr>
      <w:r w:rsidRPr="00880BBE">
        <w:t>De tal suerte que las propuestas de reforma a la Ley de Protección de Datos Personales en Posesión de Sujetos Obligados en el Estado de México y Municipios se articulan en dos grandes bloques:</w:t>
      </w:r>
    </w:p>
    <w:p w:rsidR="000C639D" w:rsidRPr="00880BBE" w:rsidRDefault="000C639D" w:rsidP="0018751D">
      <w:pPr>
        <w:pStyle w:val="Sinespaciado"/>
        <w:ind w:firstLine="851"/>
      </w:pPr>
      <w:r w:rsidRPr="00880BBE">
        <w:t xml:space="preserve">1. Modernización del marco general. Se actualizan las definiciones para dar claridad sobre nuevos conceptos tecnológicos, se fortalecen las obligaciones de seguridad; pasando de un modelo de cumplimiento documental a uno de gestión proactiva de riesgos; se robustece la figura de la evaluación de impacto, haciéndola obligatoria para todos los tratamientos de alto riesgo, lo que obliga a los sujetos a analizar y mitigar los peligros para la privacidad, antes de implementar una nueva tecnología. </w:t>
      </w:r>
    </w:p>
    <w:p w:rsidR="000C639D" w:rsidRPr="00880BBE" w:rsidRDefault="000C639D" w:rsidP="0018751D">
      <w:pPr>
        <w:pStyle w:val="Sinespaciado"/>
        <w:ind w:firstLine="851"/>
      </w:pPr>
      <w:r w:rsidRPr="00880BBE">
        <w:t>2. Creación del título sobre Inteligencia Artificial. Este es el componente más innovador, por primera vez en la legislación subnacional mexicana, se propone un marco jurídico completo y sistemático para el uso de la inteligencia artificial por parte del sector público, este título no busca prohibir la tecnología, sino encausarla.</w:t>
      </w:r>
    </w:p>
    <w:p w:rsidR="000C639D" w:rsidRPr="00880BBE" w:rsidRDefault="000C639D" w:rsidP="0018751D">
      <w:pPr>
        <w:pStyle w:val="Sinespaciado"/>
        <w:ind w:firstLine="851"/>
      </w:pPr>
      <w:r w:rsidRPr="00880BBE">
        <w:t xml:space="preserve">Se prohíben explícitamente los usos más lesivos y de alto riesgo, sometiéndolos a salvaguardar de manera forzada la obligación de realizar evaluaciones de impacto, de algoritmo, la inscripción en un registro público para garantizar la transparencia y el deber de asegurar una supervisión humana significativa. </w:t>
      </w:r>
    </w:p>
    <w:p w:rsidR="000C639D" w:rsidRPr="00880BBE" w:rsidRDefault="000C639D" w:rsidP="0018751D">
      <w:pPr>
        <w:pStyle w:val="Sinespaciado"/>
        <w:ind w:firstLine="851"/>
      </w:pPr>
      <w:r w:rsidRPr="00880BBE">
        <w:t>La implementación de estas reformas a nuestro marco legal en materia de protección de datos personales implicará una inversión en capacidades institucionales, tanto para los sujetos obligados; además que fortalecerá la confianza ciudadana en las instituciones digitales, promoviendo una innovación tecnológica responsable y que reducirá los riesgos de litigios y daños reputacionales por un uso indebido de la tecnología.</w:t>
      </w:r>
    </w:p>
    <w:p w:rsidR="000C639D" w:rsidRPr="00880BBE" w:rsidRDefault="000C639D" w:rsidP="000C639D">
      <w:pPr>
        <w:pStyle w:val="Sinespaciado"/>
      </w:pPr>
      <w:r w:rsidRPr="00880BBE">
        <w:tab/>
        <w:t>La propuesta de reforma a nuestra Ley de Transparencia se fundamenta en el principio de máxima publicidad, extendiéndolo al ámbito digital, ya que la opacidad de un algoritmo no puede ser una nueva forma de secreto gubernamental; además también protege los principios de no discriminación y proporcionalidad, asegurando que el uso de la tecnología no genere nuevas brechas ni afecte desproporcionalmente a grupos vulnerables.</w:t>
      </w:r>
    </w:p>
    <w:p w:rsidR="000C639D" w:rsidRPr="007A27A5" w:rsidRDefault="000C639D" w:rsidP="000C639D">
      <w:pPr>
        <w:pStyle w:val="Sinespaciado"/>
      </w:pPr>
      <w:r w:rsidRPr="007A27A5">
        <w:lastRenderedPageBreak/>
        <w:tab/>
        <w:t>Compañeras, compañeros diputados, diputadas, diputados hay ejemplos en la vida cotidiana que dándole un buen uso a estas nuevas tecnologías pueden ser un beneficio sustancial para la ciudadanía.</w:t>
      </w:r>
    </w:p>
    <w:p w:rsidR="000C639D" w:rsidRPr="007A27A5" w:rsidRDefault="000C639D" w:rsidP="000C639D">
      <w:pPr>
        <w:pStyle w:val="Sinespaciado"/>
      </w:pPr>
      <w:r w:rsidRPr="007A27A5">
        <w:tab/>
        <w:t>En un primer caso, el uso responsable de los datos abiertos que usa la inteligencia artificial, imaginemos que una ciudadana quiere poner una pequeña empresa, supongamos un restaurante; pero no saben dónde ponerlo, si le pregunta a la inteligencia artificial dónde le conviene ponerlo, la consulta puede ser tan especializada, tanto como se requiera.</w:t>
      </w:r>
    </w:p>
    <w:p w:rsidR="000C639D" w:rsidRPr="007A27A5" w:rsidRDefault="000C639D" w:rsidP="0018751D">
      <w:pPr>
        <w:pStyle w:val="Sinespaciado"/>
        <w:ind w:firstLine="709"/>
      </w:pPr>
      <w:r w:rsidRPr="007A27A5">
        <w:t>Puede saber gracias a la inteligencia artificial datos que le ayudarán a que su negocio sea próspero, por ejemplo, las zonas más seguras cerca de su domicilio, en qué parte de esa zona el ingreso de las familias le permitiría que su negocio fructifique, puede saber el tipo de población que habita en ese lugar; es decir, le permite tener un uso para elegir el mejor lugar donde esta persona garantice que su negocio es exitoso; pero también se puede utilizar la inteligencia artificial para la manipulación de programas sociales, de becas que asigna el Gobierno del Estado y los Gobiernos Municipales, por ejemplo, discriminando por algún análisis que se tenga de su preferencia electoral, de su situación económica o cualquier otro dato que haya proporcionado a cualquier institución gubernamental.</w:t>
      </w:r>
    </w:p>
    <w:p w:rsidR="000C639D" w:rsidRPr="007A27A5" w:rsidRDefault="000C639D" w:rsidP="000C639D">
      <w:pPr>
        <w:pStyle w:val="Sinespaciado"/>
      </w:pPr>
      <w:r w:rsidRPr="007A27A5">
        <w:tab/>
        <w:t>Es por ello, que es de suma importancia reglamentar los algoritmos, que la ciudadanía sepa de qué manera se están utilizando sus datos, de qué manera están operando los programas y los servidores que el gobierno estatal y municipal tengan para la ejecución de distintos sistemas.</w:t>
      </w:r>
    </w:p>
    <w:p w:rsidR="000C639D" w:rsidRPr="007A27A5" w:rsidRDefault="000C639D" w:rsidP="000C639D">
      <w:pPr>
        <w:pStyle w:val="Sinespaciado"/>
      </w:pPr>
      <w:r w:rsidRPr="007A27A5">
        <w:tab/>
        <w:t>Hoy tenemos la oportunidad histórica de anticiparnos a los riesgos y construir un marco legal que garantice que la tecnología opere bajo valores y no al margen de ellos, que fortalezca el poder de la ciudadanía y no de la opacidad, que amplié derechos, no que los reduzca.</w:t>
      </w:r>
    </w:p>
    <w:p w:rsidR="000C639D" w:rsidRPr="007A27A5" w:rsidRDefault="000C639D" w:rsidP="000C639D">
      <w:pPr>
        <w:pStyle w:val="Sinespaciado"/>
      </w:pPr>
      <w:r w:rsidRPr="007A27A5">
        <w:tab/>
        <w:t>En Acción Nacional estamos convencidos que estas propuestas nos ayudan a alcanzar un Estado de México ordenado y generoso que los mexiquenses merecemos.</w:t>
      </w:r>
    </w:p>
    <w:p w:rsidR="000C639D" w:rsidRPr="007A27A5" w:rsidRDefault="000C639D" w:rsidP="000C639D">
      <w:pPr>
        <w:pStyle w:val="Sinespaciado"/>
      </w:pPr>
      <w:r w:rsidRPr="007A27A5">
        <w:tab/>
        <w:t>Muchísimas gracias.</w:t>
      </w:r>
    </w:p>
    <w:p w:rsidR="00F2139C" w:rsidRPr="007A27A5" w:rsidRDefault="00F2139C" w:rsidP="00B822CD">
      <w:pPr>
        <w:pStyle w:val="Sinespaciado"/>
      </w:pPr>
    </w:p>
    <w:p w:rsidR="00F2139C" w:rsidRPr="007A27A5" w:rsidRDefault="00F2139C" w:rsidP="00B822CD">
      <w:pPr>
        <w:spacing w:after="0" w:line="240" w:lineRule="auto"/>
        <w:jc w:val="center"/>
        <w:rPr>
          <w:rFonts w:ascii="Times New Roman" w:hAnsi="Times New Roman"/>
          <w:i/>
          <w:sz w:val="24"/>
          <w:szCs w:val="24"/>
        </w:rPr>
      </w:pPr>
      <w:r w:rsidRPr="007A27A5">
        <w:rPr>
          <w:rFonts w:ascii="Times New Roman" w:hAnsi="Times New Roman"/>
          <w:i/>
          <w:sz w:val="24"/>
          <w:szCs w:val="24"/>
        </w:rPr>
        <w:t>(Se inserta documento)</w:t>
      </w:r>
    </w:p>
    <w:p w:rsidR="00F2139C" w:rsidRPr="007A27A5" w:rsidRDefault="00F2139C" w:rsidP="00B822CD">
      <w:pPr>
        <w:spacing w:after="0" w:line="240" w:lineRule="auto"/>
        <w:jc w:val="center"/>
        <w:rPr>
          <w:rFonts w:ascii="Times New Roman" w:hAnsi="Times New Roman"/>
          <w:sz w:val="24"/>
          <w:szCs w:val="24"/>
        </w:rPr>
      </w:pPr>
    </w:p>
    <w:p w:rsidR="002F0B70" w:rsidRPr="007A27A5" w:rsidRDefault="002F0B70" w:rsidP="002F0B70">
      <w:pPr>
        <w:spacing w:after="0" w:line="240" w:lineRule="auto"/>
        <w:jc w:val="center"/>
        <w:rPr>
          <w:rFonts w:ascii="Times New Roman" w:eastAsia="Times New Roman" w:hAnsi="Times New Roman" w:cs="Times New Roman"/>
          <w:b/>
          <w:sz w:val="24"/>
          <w:szCs w:val="24"/>
        </w:rPr>
      </w:pPr>
      <w:r w:rsidRPr="007A27A5">
        <w:rPr>
          <w:rFonts w:ascii="Times New Roman" w:eastAsia="Times New Roman" w:hAnsi="Times New Roman" w:cs="Times New Roman"/>
          <w:b/>
          <w:sz w:val="24"/>
          <w:szCs w:val="24"/>
        </w:rPr>
        <w:t>DIP. ANUAR ROBERTO AZAR FIGUEROA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imes New Roman" w:hAnsi="Times New Roman" w:cs="Times New Roman"/>
          <w:sz w:val="24"/>
          <w:szCs w:val="24"/>
        </w:rPr>
      </w:pPr>
      <w:r w:rsidRPr="007A27A5">
        <w:rPr>
          <w:rFonts w:ascii="Times New Roman" w:eastAsia="Times New Roman" w:hAnsi="Times New Roman" w:cs="Times New Roman"/>
          <w:sz w:val="24"/>
          <w:szCs w:val="24"/>
        </w:rPr>
        <w:t>“2025. Bicentenario de la vida municipal en el Estado de México”.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right"/>
        <w:rPr>
          <w:rFonts w:ascii="Times New Roman" w:eastAsia="Tahoma" w:hAnsi="Times New Roman" w:cs="Times New Roman"/>
          <w:sz w:val="24"/>
          <w:szCs w:val="24"/>
        </w:rPr>
      </w:pPr>
      <w:r w:rsidRPr="007A27A5">
        <w:rPr>
          <w:rFonts w:ascii="Times New Roman" w:eastAsia="Tahoma" w:hAnsi="Times New Roman" w:cs="Times New Roman"/>
          <w:sz w:val="24"/>
          <w:szCs w:val="24"/>
        </w:rPr>
        <w:t>Toluca, Capital del Estado de México, a 19 de noviembre de 2025</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b/>
          <w:sz w:val="24"/>
          <w:szCs w:val="24"/>
        </w:rPr>
      </w:pPr>
      <w:r w:rsidRPr="007A27A5">
        <w:rPr>
          <w:rFonts w:ascii="Times New Roman" w:eastAsia="Tahoma" w:hAnsi="Times New Roman" w:cs="Times New Roman"/>
          <w:b/>
          <w:sz w:val="24"/>
          <w:szCs w:val="24"/>
        </w:rPr>
        <w:t>DIPUTADA MARTHA AZUCENA CAMACHO REYNOSO</w:t>
      </w: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PRESIDENTA DE LA MESA DIRECTIVA DE LA</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LXII LEGISLATURA DEL ESTADO LIBRE Y</w:t>
      </w:r>
    </w:p>
    <w:p w:rsidR="002F0B70" w:rsidRPr="007A27A5" w:rsidRDefault="002F0B70" w:rsidP="002F0B70">
      <w:pPr>
        <w:spacing w:after="0" w:line="240" w:lineRule="auto"/>
        <w:rPr>
          <w:rFonts w:ascii="Times New Roman" w:eastAsia="Tahoma" w:hAnsi="Times New Roman" w:cs="Times New Roman"/>
          <w:b/>
          <w:sz w:val="24"/>
          <w:szCs w:val="24"/>
        </w:rPr>
      </w:pPr>
      <w:r w:rsidRPr="007A27A5">
        <w:rPr>
          <w:rFonts w:ascii="Times New Roman" w:eastAsia="Tahoma" w:hAnsi="Times New Roman" w:cs="Times New Roman"/>
          <w:b/>
          <w:sz w:val="24"/>
          <w:szCs w:val="24"/>
        </w:rPr>
        <w:t>SOBERANO DE MÉXICO.</w:t>
      </w: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P R E S E N T 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Honorable Asamblea: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 xml:space="preserve">Con sustento en lo dispuesto por los artículos 116 de la Constitución Política de los Estados Unidos Mexicanos; 51 fracción II, 57, 61 fracción I y demás relativos aplicables de la Constitución Política del Estado Libre y Soberano de México; 28 fracción I y 30 de la Ley Orgánica del Poder Legislativo del Estado Libre y Soberano de México, los </w:t>
      </w:r>
      <w:r w:rsidRPr="007A27A5">
        <w:rPr>
          <w:rFonts w:ascii="Times New Roman" w:eastAsia="Tahoma" w:hAnsi="Times New Roman" w:cs="Times New Roman"/>
          <w:b/>
          <w:sz w:val="24"/>
          <w:szCs w:val="24"/>
        </w:rPr>
        <w:t>Diputados Anuar Roberto Azar Figueroa y Pablo Fernández de Cevallos González</w:t>
      </w:r>
      <w:r w:rsidRPr="007A27A5">
        <w:rPr>
          <w:rFonts w:ascii="Times New Roman" w:eastAsia="Tahoma" w:hAnsi="Times New Roman" w:cs="Times New Roman"/>
          <w:sz w:val="24"/>
          <w:szCs w:val="24"/>
        </w:rPr>
        <w:t xml:space="preserve">, como Diputados integrantes del Grupo Parlamentario del Partido Acción Nacional, y a nombre del mismo, presentan la siguiente Iniciativa con Proyecto de Decreto por el que se reforman y adicionan diversas disposiciones de la Ley de Protección de Datos </w:t>
      </w:r>
      <w:r w:rsidRPr="007A27A5">
        <w:rPr>
          <w:rFonts w:ascii="Times New Roman" w:eastAsia="Tahoma" w:hAnsi="Times New Roman" w:cs="Times New Roman"/>
          <w:sz w:val="24"/>
          <w:szCs w:val="24"/>
        </w:rPr>
        <w:lastRenderedPageBreak/>
        <w:t>Personales en Posesión de Sujetos Obligados en el Estado de México y Municipios y de la Ley de Transparencia y Acceso a la Información Pública del Estado de México y Municipios, en materia de Gobierno Digital, Inteligencia Artificial y Datos Abiertos, al tenor de la siguiente: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EXPOSICIÓN DE MOTIVOS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El tiempo de modernidad en el que vivimos está caracterizado por un mayor uso de las Tecnologías de la Información y Comunicación (TIC) y el uso del internet, lo que ha facilitado la vida de las personas, así como el favorecer un mayor desarrollo económico y social.</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 xml:space="preserve">Es tal el tamaño del uso de estas herramientas que, de acuerdo con </w:t>
      </w:r>
      <w:proofErr w:type="spellStart"/>
      <w:r w:rsidRPr="007A27A5">
        <w:rPr>
          <w:rFonts w:ascii="Times New Roman" w:eastAsia="Tahoma" w:hAnsi="Times New Roman" w:cs="Times New Roman"/>
          <w:sz w:val="24"/>
          <w:szCs w:val="24"/>
        </w:rPr>
        <w:t>We</w:t>
      </w:r>
      <w:proofErr w:type="spellEnd"/>
      <w:r w:rsidRPr="007A27A5">
        <w:rPr>
          <w:rFonts w:ascii="Times New Roman" w:eastAsia="Tahoma" w:hAnsi="Times New Roman" w:cs="Times New Roman"/>
          <w:sz w:val="24"/>
          <w:szCs w:val="24"/>
        </w:rPr>
        <w:t xml:space="preserve"> Are Social</w:t>
      </w:r>
      <w:r w:rsidRPr="007A27A5">
        <w:rPr>
          <w:rFonts w:ascii="Times New Roman" w:eastAsia="Tahoma" w:hAnsi="Times New Roman" w:cs="Times New Roman"/>
          <w:color w:val="FF0000"/>
          <w:sz w:val="24"/>
          <w:szCs w:val="24"/>
          <w:vertAlign w:val="superscript"/>
        </w:rPr>
        <w:t>1</w:t>
      </w:r>
      <w:r w:rsidRPr="007A27A5">
        <w:rPr>
          <w:rFonts w:ascii="Times New Roman" w:eastAsia="Tahoma" w:hAnsi="Times New Roman" w:cs="Times New Roman"/>
          <w:sz w:val="24"/>
          <w:szCs w:val="24"/>
        </w:rPr>
        <w:t>, “el número de usuarios de internet en el mundo alcanzó los 5.560 millones de personas a principios de 2025, lo que representa al 67,9 de la población mundial”.</w:t>
      </w:r>
    </w:p>
    <w:p w:rsidR="002F0B70" w:rsidRPr="007A27A5" w:rsidRDefault="002F0B70" w:rsidP="002F0B70">
      <w:pPr>
        <w:spacing w:after="0" w:line="240" w:lineRule="auto"/>
        <w:jc w:val="both"/>
        <w:rPr>
          <w:rFonts w:ascii="Times New Roman" w:eastAsia="Tahoma"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0"/>
          <w:szCs w:val="24"/>
        </w:rPr>
      </w:pPr>
      <w:r w:rsidRPr="007A27A5">
        <w:rPr>
          <w:rFonts w:ascii="Times New Roman" w:eastAsia="Tahoma" w:hAnsi="Times New Roman" w:cs="Times New Roman"/>
          <w:color w:val="FF0000"/>
          <w:sz w:val="20"/>
          <w:szCs w:val="24"/>
          <w:vertAlign w:val="superscript"/>
        </w:rPr>
        <w:t>1</w:t>
      </w:r>
      <w:r w:rsidRPr="007A27A5">
        <w:rPr>
          <w:rFonts w:ascii="Times New Roman" w:eastAsia="Tahoma" w:hAnsi="Times New Roman" w:cs="Times New Roman"/>
          <w:sz w:val="20"/>
          <w:szCs w:val="24"/>
        </w:rPr>
        <w:t xml:space="preserve"> </w:t>
      </w:r>
      <w:proofErr w:type="spellStart"/>
      <w:r w:rsidRPr="007A27A5">
        <w:rPr>
          <w:rFonts w:ascii="Times New Roman" w:eastAsia="Tahoma" w:hAnsi="Times New Roman" w:cs="Times New Roman"/>
          <w:sz w:val="20"/>
          <w:szCs w:val="24"/>
        </w:rPr>
        <w:t>Feaguela</w:t>
      </w:r>
      <w:proofErr w:type="spellEnd"/>
      <w:r w:rsidRPr="007A27A5">
        <w:rPr>
          <w:rFonts w:ascii="Times New Roman" w:eastAsia="Tahoma" w:hAnsi="Times New Roman" w:cs="Times New Roman"/>
          <w:sz w:val="20"/>
          <w:szCs w:val="24"/>
        </w:rPr>
        <w:t>, N. (5 de febrero de 2025). El número de usuarios de internet en el mundo crece un 2,5% y alcanza los 5.560 millones (2025). Consultado en: https://marketing4ecommerce.net/usuarios-de-internet- mundo/#:~:text=Hay%20210%20millones%20nuevos%20usuarios,en%20los%20últimos%2012%20meses.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En nuestro país, de acuerdo con la Encuesta Nacional sobre Disponibilidad y Uso de Tecnologías de la Información en los Hogares (ENDUTIH)</w:t>
      </w:r>
      <w:r w:rsidRPr="007A27A5">
        <w:rPr>
          <w:rFonts w:ascii="Times New Roman" w:eastAsia="Tahoma" w:hAnsi="Times New Roman" w:cs="Times New Roman"/>
          <w:color w:val="FF0000"/>
          <w:sz w:val="24"/>
          <w:szCs w:val="24"/>
          <w:vertAlign w:val="superscript"/>
        </w:rPr>
        <w:t>2</w:t>
      </w:r>
      <w:r w:rsidRPr="007A27A5">
        <w:rPr>
          <w:rFonts w:ascii="Times New Roman" w:eastAsia="Tahoma" w:hAnsi="Times New Roman" w:cs="Times New Roman"/>
          <w:sz w:val="24"/>
          <w:szCs w:val="24"/>
        </w:rPr>
        <w:t>, en 2024, el número de personas usuarias de internet ascendió a los 100.2 millones de personas usuarias de internet (83.1% de la población de 6 años o más), siendo el grupo de 18 a 24 años el que presentó el mayor porcentaje de personas usuarias de internet con el 97%, seguido de los grupos de los de 12 a 17 años y de 25 a 34 años, ambos con 95.1% y del grupo de 35 a 44 años, con 92.3%. El sector poblacional que uso menos del internet, de acuerdo con la misma Encuesta, fueron las personas de 55 a 64 años y 65 años y más, con 71% y 42.1%, respectivamente. Por último, la ENDUTIH señala que el mayor uso que se le dio al internet fue para comunicarse con el 93%, seguido para acceder a redes sociales con el 90.4%, para entretenimiento con el 89%, para buscar información el 88.2% y como apoyo a la capacitación o educación con el 81.3%.</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De acuerdo con la misma ENDUTIH</w:t>
      </w:r>
      <w:r w:rsidRPr="007A27A5">
        <w:rPr>
          <w:rFonts w:ascii="Times New Roman" w:eastAsia="Tahoma" w:hAnsi="Times New Roman" w:cs="Times New Roman"/>
          <w:color w:val="FF0000"/>
          <w:sz w:val="24"/>
          <w:szCs w:val="24"/>
          <w:vertAlign w:val="superscript"/>
        </w:rPr>
        <w:t>3</w:t>
      </w:r>
      <w:r w:rsidRPr="007A27A5">
        <w:rPr>
          <w:rFonts w:ascii="Times New Roman" w:eastAsia="Tahoma" w:hAnsi="Times New Roman" w:cs="Times New Roman"/>
          <w:sz w:val="24"/>
          <w:szCs w:val="24"/>
        </w:rPr>
        <w:t>, en 2024, en el Estado de México se concentró el 14.3% de usuarios de internet en el país, además reportó que, en la entidad, 3.9 millones de hogares contaban con servicio de internet, alcanzando a 14.3 millones de personas. La misma Encuesta reportó que "13.3 millones de mexiquenses usaron internet diariamente, mientras 919 mil lo utilizaron al menos una vez a la semana y 63 mil al menos una vez al mes".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Dada la importancia que tiene el uso de las TIC y del internet que, en nuestro país, la Constitución Política de los Estados Unidos Mexicanos reconoce la obligación del Estado Mexicano a garantizar el derecho que tienen todos los mexicanos a su acceso, tal como lo señala el párrafo tercero de su artículo 6º estableciendo que “El Estado garantizará el derecho de acceso a las tecnologías de la información y comunicación, así como a los servicios de radiodifusión y telecomunicaciones, incluido el de banda ancha e internet. …”.</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0"/>
          <w:szCs w:val="24"/>
        </w:rPr>
      </w:pPr>
      <w:r w:rsidRPr="007A27A5">
        <w:rPr>
          <w:rFonts w:ascii="Times New Roman" w:eastAsia="Tahoma" w:hAnsi="Times New Roman" w:cs="Times New Roman"/>
          <w:color w:val="FF0000"/>
          <w:sz w:val="20"/>
          <w:szCs w:val="24"/>
          <w:vertAlign w:val="superscript"/>
        </w:rPr>
        <w:t>2</w:t>
      </w:r>
      <w:r w:rsidRPr="007A27A5">
        <w:rPr>
          <w:rFonts w:ascii="Times New Roman" w:eastAsia="Tahoma" w:hAnsi="Times New Roman" w:cs="Times New Roman"/>
          <w:sz w:val="20"/>
          <w:szCs w:val="24"/>
        </w:rPr>
        <w:t xml:space="preserve"> INEGI. (6 de mayo de 2025). Reporte de Resultados 9/25 Encuesta Nacional sobre Disponibilidad y Uso de Tecnologías de la Información en los Hogares (ENDUTIH). Consultado en: https:/</w:t>
      </w:r>
      <w:hyperlink r:id="rId57">
        <w:r w:rsidRPr="007A27A5">
          <w:rPr>
            <w:rFonts w:ascii="Times New Roman" w:eastAsia="Tahoma" w:hAnsi="Times New Roman" w:cs="Times New Roman"/>
            <w:sz w:val="20"/>
            <w:szCs w:val="24"/>
          </w:rPr>
          <w:t>/www.inegi.org.mx/contenidos/saladeprensa/boletines/2025/endutih/ENDUTIH_24_RR.pdf</w:t>
        </w:r>
      </w:hyperlink>
    </w:p>
    <w:p w:rsidR="002F0B70" w:rsidRPr="007A27A5" w:rsidRDefault="002F0B70" w:rsidP="002F0B70">
      <w:pPr>
        <w:spacing w:after="0" w:line="240" w:lineRule="auto"/>
        <w:jc w:val="both"/>
        <w:rPr>
          <w:rFonts w:ascii="Times New Roman" w:eastAsia="Times New Roman" w:hAnsi="Times New Roman" w:cs="Times New Roman"/>
          <w:sz w:val="20"/>
          <w:szCs w:val="24"/>
        </w:rPr>
      </w:pPr>
      <w:r w:rsidRPr="007A27A5">
        <w:rPr>
          <w:rFonts w:ascii="Times New Roman" w:eastAsia="Tahoma" w:hAnsi="Times New Roman" w:cs="Times New Roman"/>
          <w:color w:val="FF0000"/>
          <w:sz w:val="20"/>
          <w:szCs w:val="24"/>
          <w:vertAlign w:val="superscript"/>
        </w:rPr>
        <w:t>3</w:t>
      </w:r>
      <w:r w:rsidRPr="007A27A5">
        <w:rPr>
          <w:rFonts w:ascii="Times New Roman" w:eastAsia="Tahoma" w:hAnsi="Times New Roman" w:cs="Times New Roman"/>
          <w:sz w:val="20"/>
          <w:szCs w:val="24"/>
        </w:rPr>
        <w:t xml:space="preserve"> Olvera, M. (7 de mayo de 2025). Edomex concentra el 14,3% de usuarios de internet en el país, indican datos del INEGI. </w:t>
      </w:r>
      <w:proofErr w:type="spellStart"/>
      <w:r w:rsidRPr="007A27A5">
        <w:rPr>
          <w:rFonts w:ascii="Times New Roman" w:eastAsia="Tahoma" w:hAnsi="Times New Roman" w:cs="Times New Roman"/>
          <w:sz w:val="20"/>
          <w:szCs w:val="24"/>
        </w:rPr>
        <w:t>NotiPress</w:t>
      </w:r>
      <w:proofErr w:type="spellEnd"/>
      <w:r w:rsidRPr="007A27A5">
        <w:rPr>
          <w:rFonts w:ascii="Times New Roman" w:eastAsia="Tahoma" w:hAnsi="Times New Roman" w:cs="Times New Roman"/>
          <w:sz w:val="20"/>
          <w:szCs w:val="24"/>
        </w:rPr>
        <w:t>. Consultado en: https://notipress.mx/estado-de-mexico/edomex-concentra-el-143-usuarios-internet-pais-indican-datos-inegi-29224</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lastRenderedPageBreak/>
        <w:t>Por su parte, la Constitución Política del Estado Libre y Soberano de México, al igual que nuestra Carta Magna, establece, en el párrafo trigésimo de su artículo 5, que “Toda persona tiene derecho al acceso a las tecnologías de la información y la comunicación, así como a los servicios de radiodifusión y telecomunicaciones, incluidos los servicios de banda ancha e internet, conforme a lo dispuesto por el artículo 6, párrafo tercero, de la Constitución Política de los Estados Unidos Mexicanos”.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Ante esta profunda transformación digital que vivimos, tanto en México como en nuestra entidad, el Gobierno del Estado de México y sus municipios no son ajenos a esta realidad,  ya que estos han adoptado, progresivamente, tecnologías para mejorar la prestación de servicios. Sin embargo, esta transición, especialmente con la irrupción de la Inteligencia Artificial (IA), presenta desafíos sin precedentes para la transparencia y el derecho de acceso a la información, así como para la protección de los datos personales.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En este sentido, es importante resaltar que, el derecho a la protección de los datos personales está reconocido como derecho fundamental en los artículos 6°, Apartado A, fracción II, cuyo primer párrafo dispone que “La información que se refiere a la vida privada y los datos personales será protegida en los términos y con las excepciones que fijen las leyes. Para tal efecto, los sujetos obligados contarán con las facultades suficientes para su atención” y en el artículo 16, segundo párrafo, de la Constitución Política de los Estados Unidos Mexicanos, el cual establece que “Toda persona tiene derecho a la protección de sus datos personales, al acceso, rectificación y cancelación de los mismos, así como a manifestar su oposición, en los términos que fije la ley, la cual establecerá los supuestos de excepción a los principios que rijan el tratamiento de datos, por razones de seguridad nacional, disposiciones de orden público, seguridad y salud públicas o para proteger los derechos de terceros”. Este derecho otorga a las personas el poder de control y disposición sobre su información personal, y obliga al Estado a establecer un marco normativo que garantice su tutela.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sz w:val="24"/>
          <w:szCs w:val="24"/>
        </w:rPr>
        <w:t>Por su parte, en el Estado de México, nuestra Constitución Local, al igual que en la Federal, establece, en la fracción II del párrafo cuadragésimo sexto de su artículo 5 que “La información que se refiere a la vida privada y los datos personales será protegida en los términos y con las excepciones que fijen las leyes. Para tal efecto, los sujetos obligados contarán con las facultades suficientes para su atención”, además, este derecho se encuentra reglamentado por la Ley de Protección de Datos</w:t>
      </w:r>
      <w:r w:rsidRPr="007A27A5">
        <w:rPr>
          <w:rFonts w:ascii="Times New Roman" w:eastAsia="Times New Roman" w:hAnsi="Times New Roman" w:cs="Times New Roman"/>
          <w:sz w:val="24"/>
          <w:szCs w:val="24"/>
        </w:rPr>
        <w:t xml:space="preserve"> </w:t>
      </w:r>
      <w:r w:rsidRPr="007A27A5">
        <w:rPr>
          <w:rFonts w:ascii="Times New Roman" w:eastAsia="Tahoma" w:hAnsi="Times New Roman" w:cs="Times New Roman"/>
          <w:sz w:val="24"/>
          <w:szCs w:val="24"/>
        </w:rPr>
        <w:t>Personales en Posesión de Sujetos Obligados del Estado de México y Municipios, publicada en el Periódico Oficial “Gaceta del Gobierno” el 30 de mayo de 2017.</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Por su parte, la transparencia y el derecho de acceso a la información se encuentran consagrados en el mismo artículo 6º Constitucional antes citado, en cuyo primer párrafo se establece que “…El derecho a la información será garantizado por el Estado”, además el segundo párrafo del mencionado artículo dispone que “Toda persona tiene derecho al libre acceso a información plural y oportuna, así como a buscar, recibir y difundir información e ideas de toda índole por cualquier medio de expresión”, por último, la fracción III del Apartado A del mismo artículo señala que “Toda persona, sin necesidad de acreditar interés alguno o justificar su utilización, tendrá acceso gratuito a la información pública, a sus datos personales o a la rectificación de éstos”.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 xml:space="preserve">En el Estado de México, también se encuentran consagrados estos derechos, tal como disponen los párrafos cuadragésimo cuarto y cuadragésimo quinto del artículo 5 de nuestra Constitución, los cuales señalan que “El derecho a la información será garantizado por el Estado. La ley establecerá las previsiones que permitan asegurar la protección, el respeto y la difusión de este derecho” y “Para garantizar el ejercicio del derecho de transparencia, acceso a la información pública y </w:t>
      </w:r>
      <w:r w:rsidRPr="007A27A5">
        <w:rPr>
          <w:rFonts w:ascii="Times New Roman" w:eastAsia="Tahoma" w:hAnsi="Times New Roman" w:cs="Times New Roman"/>
          <w:sz w:val="24"/>
          <w:szCs w:val="24"/>
        </w:rPr>
        <w:lastRenderedPageBreak/>
        <w:t xml:space="preserve">protección de datos personales, los poderes públicos, municipios y organismos autónomos transparentarán sus acciones, en términos de las disposiciones aplicables, la información será oportuna, clara, veraz y de fácil acceso”, respectivamente. Además, </w:t>
      </w:r>
      <w:proofErr w:type="spellStart"/>
      <w:r w:rsidRPr="007A27A5">
        <w:rPr>
          <w:rFonts w:ascii="Times New Roman" w:eastAsia="Tahoma" w:hAnsi="Times New Roman" w:cs="Times New Roman"/>
          <w:sz w:val="24"/>
          <w:szCs w:val="24"/>
        </w:rPr>
        <w:t>estan</w:t>
      </w:r>
      <w:proofErr w:type="spellEnd"/>
      <w:r w:rsidRPr="007A27A5">
        <w:rPr>
          <w:rFonts w:ascii="Times New Roman" w:eastAsia="Tahoma" w:hAnsi="Times New Roman" w:cs="Times New Roman"/>
          <w:sz w:val="24"/>
          <w:szCs w:val="24"/>
        </w:rPr>
        <w:t xml:space="preserve"> reglamentados por la Ley de Transparencia y Acceso a la Información Pública del Estado de México y Municipios, publicada en el Periódico Oficial “Gaceta del Gobierno” el 4 de mayo de 2016.</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Ambas leyes locales, tanto la Ley de Protección de Datos Personales como la Ley de Transparencia vigentes, representaron un avance crucial en su momento, sin embargo no fueron diseñadas para enfrentar el vertiginoso desarrollo tecnológico y la creciente digitalización de los servicios públicos, por lo que se vuelve prioritario realizar una actualización profunda de nuestro marco legal para que siga siendo una herramienta eficaz de protección de los datos personales y combate a la opacidad de los algoritmos o para capitalizar plenamente el potencial de los datos abiertos.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Hoy, los sujetos obligados del Estado y los municipios emplean, o planean emplear, tecnologías cada vez más complejas como la IA, el reconocimiento facial y el análisis masivo de datos para la toma de decisiones que afectan directamente la vida de los ciudadanos. La norma actual carece de disposiciones específicas para abordar los desafíos únicos que plantea la IA, tales como la opacidad de los algoritmos (el problema de la "caja negra"), el riesgo de sesgos que perpetúen la discriminación, y la dificultad de los ciudadanos para ejercer sus derechos frente a decisiones automatizadas.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Entre estos nuevos desafíos, la LXII Legislatura del Congreso del Estado de México convocó a la ciudadanía mexiquense al Parlamento Ciudadano Abierto para el Combate a la Corrupción y de Transparencia 2025, el cual se realizó el pasado 28 de octubre de 2025, y cuyas propuestas hechas por los expertos en materia de protección de datos personales y de transparencia y derecho a la información, son retomadas y presentadas en la presente iniciativa.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De tal suerte, las propuestas aquí planteadas se alinean con los más altos estándares internacionales, como las recomendaciones de la Organización para la Cooperación y el Desarrollo Económico (OCDE) y la Organización de las Naciones Unidas para la Educación, la Ciencia y la Cultura (UNESCO) sobre IA, y con los principios del Gobierno Abierto que el Estado mexicano ha adoptado, así como de las mejores prácticas y los estándares más avanzados a nivel global. Se inspira en el Reglamento General de Protección de Datos (RGPD) de la Unión Europea, particularmente en lo relativo a las Evaluaciones de Impacto y los derechos frente a decisiones automatizadas.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 xml:space="preserve">De manera central, la propuesta para regular la IA adopta el enfoque basado en riesgo del AI </w:t>
      </w:r>
      <w:proofErr w:type="spellStart"/>
      <w:r w:rsidRPr="007A27A5">
        <w:rPr>
          <w:rFonts w:ascii="Times New Roman" w:eastAsia="Tahoma" w:hAnsi="Times New Roman" w:cs="Times New Roman"/>
          <w:sz w:val="24"/>
          <w:szCs w:val="24"/>
        </w:rPr>
        <w:t>Act</w:t>
      </w:r>
      <w:proofErr w:type="spellEnd"/>
      <w:r w:rsidRPr="007A27A5">
        <w:rPr>
          <w:rFonts w:ascii="Times New Roman" w:eastAsia="Tahoma" w:hAnsi="Times New Roman" w:cs="Times New Roman"/>
          <w:sz w:val="24"/>
          <w:szCs w:val="24"/>
        </w:rPr>
        <w:t xml:space="preserve"> de la Unión Europea, considerado el estándar de referencia mundial. Este enfoque permite una regulación proporcional, que impone las obligaciones más estrictas únicamente a aquellos sistemas que presentan un alto riesgo para los derechos fundamentales, sin ahogar la innovación en aplicaciones de bajo riesgo. Asimismo, se incorporan los principios éticos para una IA confiable promovidos por la OCDE y la UNESCO, como la equidad, la transparencia y la rendición de cuentas.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De tal suerte, las propuestas de reforma a la Ley de Protección de Datos Personales en Posesión de Sujetos Obligados en el Estado de México y Municipios se articulan en dos grandes bloques: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 xml:space="preserve">1. Modernización del marco general: Se actualizan las definiciones para dar claridad sobre nuevos conceptos tecnológicos. Se fortalecen las obligaciones de seguridad, pasando de un modelo de </w:t>
      </w:r>
      <w:r w:rsidRPr="007A27A5">
        <w:rPr>
          <w:rFonts w:ascii="Times New Roman" w:eastAsia="Tahoma" w:hAnsi="Times New Roman" w:cs="Times New Roman"/>
          <w:sz w:val="24"/>
          <w:szCs w:val="24"/>
        </w:rPr>
        <w:lastRenderedPageBreak/>
        <w:t>cumplimiento documental a uno de gestión proactiva de riesgos. Se robustece la figura de la Evaluación de Impacto (EIPD), haciéndola obligatoria para tratamientos de alto riesgo, lo que obliga a los sujetos obligados a analizar y mitigar los peligros para la privacidad antes de implementar una nueva tecnología.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2.  Creación del Título XIV sobre IA: Este es el componente más innovador. Por primera vez en la legislación subnacional mexicana, se propone un marco jurídico completo y sistemático para el uso de la IA por parte del sector público. Este título no busca prohibir la tecnología, sino encauzarla. Se prohíben explícitamente los usos más lesivos ("lista roja"), como la puntuación social. Se establece una "lista amarilla" de usos de alto riesgo (en justicia, salud, empleo, etc.), sometiéndolos a salvaguardas reforzadas: la obligación de realizar Evaluaciones de Impacto Algorítmico, la inscripción en un registro público para garantizar la transparencia, y el deber de asegurar una supervisión humana significativa.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La implementación de estas reformas a nuestro marco legal, en materia de protección de datos personales, implicará una inversión en capacidades institucionales, como para los sujetos obligados. Sin embargo, los beneficios superan ampliamente los costos. Se fortalecerá la confianza ciudadana en las instituciones digitales, se promoverá una innovación tecnológica responsable y se reducirán los riesgos de litigios y daños reputacionales por un uso indebido de la tecnología. La proporcionalidad está garantizada por el enfoque de riesgo, que concentra los esfuerzos regulatorios donde más se necesitan.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Desde la perspectiva de los derechos humanos, esta iniciativa es fundamental ya que protege el derecho a la privacidad, pero también el derecho a la no discriminación, al debido proceso y a la tutela judicial efectiva, al garantizar que las decisiones automatizadas sean justas, transparentes e impugnables. Además, se establecen salvaguardas especiales para menores y grupos en situación de vulnerabilidad, quienes son a menudo los más afectados por los sesgos algorítmicos.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Por su parte, las reformas planteadas a la Ley de Transparencia y Acceso a la Información Pública del Estado de México y Municipios buscan fortalecer el derecho a saber en la era digital, cuyos beneficios esperados son transversales: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sz w:val="24"/>
          <w:szCs w:val="24"/>
        </w:rPr>
        <w:t>1. Para las Personas: Se garantiza el derecho a entender las decisiones públicas que les afectan, especialmente aquellas tomadas por máquinas. Se protege a los ciudadanos de posibles sesgos y discriminación algorítmica y se les otorgan herramientas para exigir rendición de cuentas. Se mejora la accesibilidad a la información para personas con discapacidad y hablantes de lenguas indígenas.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 xml:space="preserve">2. Para Periodistas y Academia: La apertura de datos de alto valor mediante </w:t>
      </w:r>
      <w:proofErr w:type="spellStart"/>
      <w:r w:rsidRPr="007A27A5">
        <w:rPr>
          <w:rFonts w:ascii="Times New Roman" w:eastAsia="Tahoma" w:hAnsi="Times New Roman" w:cs="Times New Roman"/>
          <w:sz w:val="24"/>
          <w:szCs w:val="24"/>
        </w:rPr>
        <w:t>APIs</w:t>
      </w:r>
      <w:proofErr w:type="spellEnd"/>
      <w:r w:rsidRPr="007A27A5">
        <w:rPr>
          <w:rFonts w:ascii="Times New Roman" w:eastAsia="Tahoma" w:hAnsi="Times New Roman" w:cs="Times New Roman"/>
          <w:sz w:val="24"/>
          <w:szCs w:val="24"/>
        </w:rPr>
        <w:t xml:space="preserve"> y la transparencia sobre el uso de IA permitirá investigaciones más profundas sobre el quehacer gubernamental, fomentando el periodismo de datos y el análisis de políticas públicas con base en evidencia.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 xml:space="preserve">3. Para la Sociedad Civil y </w:t>
      </w:r>
      <w:proofErr w:type="spellStart"/>
      <w:r w:rsidRPr="007A27A5">
        <w:rPr>
          <w:rFonts w:ascii="Times New Roman" w:eastAsia="Tahoma" w:hAnsi="Times New Roman" w:cs="Times New Roman"/>
          <w:sz w:val="24"/>
          <w:szCs w:val="24"/>
        </w:rPr>
        <w:t>MIPyMES</w:t>
      </w:r>
      <w:proofErr w:type="spellEnd"/>
      <w:r w:rsidRPr="007A27A5">
        <w:rPr>
          <w:rFonts w:ascii="Times New Roman" w:eastAsia="Tahoma" w:hAnsi="Times New Roman" w:cs="Times New Roman"/>
          <w:sz w:val="24"/>
          <w:szCs w:val="24"/>
        </w:rPr>
        <w:t xml:space="preserve">: La disponibilidad de datos abiertos estructurados y de calidad es un insumo fundamental para la innovación cívica y económica. Permite a las </w:t>
      </w:r>
      <w:proofErr w:type="spellStart"/>
      <w:r w:rsidRPr="007A27A5">
        <w:rPr>
          <w:rFonts w:ascii="Times New Roman" w:eastAsia="Tahoma" w:hAnsi="Times New Roman" w:cs="Times New Roman"/>
          <w:sz w:val="24"/>
          <w:szCs w:val="24"/>
        </w:rPr>
        <w:t>MIPyMES</w:t>
      </w:r>
      <w:proofErr w:type="spellEnd"/>
      <w:r w:rsidRPr="007A27A5">
        <w:rPr>
          <w:rFonts w:ascii="Times New Roman" w:eastAsia="Tahoma" w:hAnsi="Times New Roman" w:cs="Times New Roman"/>
          <w:sz w:val="24"/>
          <w:szCs w:val="24"/>
        </w:rPr>
        <w:t xml:space="preserve"> crear nuevos servicios y a las organizaciones de la sociedad civil desarrollar herramientas de monitoreo y participación.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 xml:space="preserve">4.  Para el Propio Gobierno: La reforma promueve un uso más ordenado, ético y eficiente de la tecnología. Las evaluaciones de impacto y las auditorías algorítmicas ayudarán a los sujetos </w:t>
      </w:r>
      <w:r w:rsidRPr="007A27A5">
        <w:rPr>
          <w:rFonts w:ascii="Times New Roman" w:eastAsia="Tahoma" w:hAnsi="Times New Roman" w:cs="Times New Roman"/>
          <w:sz w:val="24"/>
          <w:szCs w:val="24"/>
        </w:rPr>
        <w:lastRenderedPageBreak/>
        <w:t>obligados a mitigar riesgos legales, reputacionales y operativos, mejorando la calidad y equidad de sus servicios.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La propuesta de reformas a nuestra Ley de Transparencia se fundamenta en el principio de máxima publicidad, extendiéndolo al ámbito digital, ya que la opacidad de un algoritmo no puede ser una nueva forma de secreto gubernamental. Además, se basa también en los principios de no discriminación y proporcionalidad, asegurando que el uso de la tecnología no genere nuevas brechas ni afecte desproporcionadamente a grupos vulnerables.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De esta forma, se pretende que esta reforma genere un impacto medible en los siguientes indicadores: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Verdana" w:hAnsi="Times New Roman" w:cs="Times New Roman"/>
          <w:sz w:val="24"/>
          <w:szCs w:val="24"/>
        </w:rPr>
        <w:t>•</w:t>
      </w:r>
      <w:r w:rsidRPr="007A27A5">
        <w:rPr>
          <w:rFonts w:ascii="Times New Roman" w:eastAsia="Verdana" w:hAnsi="Times New Roman" w:cs="Times New Roman"/>
          <w:sz w:val="24"/>
          <w:szCs w:val="24"/>
        </w:rPr>
        <w:tab/>
      </w:r>
      <w:r w:rsidRPr="007A27A5">
        <w:rPr>
          <w:rFonts w:ascii="Times New Roman" w:eastAsia="Tahoma" w:hAnsi="Times New Roman" w:cs="Times New Roman"/>
          <w:sz w:val="24"/>
          <w:szCs w:val="24"/>
        </w:rPr>
        <w:t>Incremento en el número y calidad de conjuntos de datos abiertos de alto valor publicados en el portal estatal.</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Verdana" w:hAnsi="Times New Roman" w:cs="Times New Roman"/>
          <w:sz w:val="24"/>
          <w:szCs w:val="24"/>
        </w:rPr>
        <w:t>•</w:t>
      </w:r>
      <w:r w:rsidRPr="007A27A5">
        <w:rPr>
          <w:rFonts w:ascii="Times New Roman" w:eastAsia="Verdana" w:hAnsi="Times New Roman" w:cs="Times New Roman"/>
          <w:sz w:val="24"/>
          <w:szCs w:val="24"/>
        </w:rPr>
        <w:tab/>
      </w:r>
      <w:r w:rsidRPr="007A27A5">
        <w:rPr>
          <w:rFonts w:ascii="Times New Roman" w:eastAsia="Tahoma" w:hAnsi="Times New Roman" w:cs="Times New Roman"/>
          <w:sz w:val="24"/>
          <w:szCs w:val="24"/>
        </w:rPr>
        <w:t>Reducción de los tiempos de respuesta en solicitudes de información complejas mediante la automatización de la publicación de datos.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Verdana" w:hAnsi="Times New Roman" w:cs="Times New Roman"/>
          <w:sz w:val="24"/>
          <w:szCs w:val="24"/>
        </w:rPr>
        <w:t>•</w:t>
      </w:r>
      <w:r w:rsidRPr="007A27A5">
        <w:rPr>
          <w:rFonts w:ascii="Times New Roman" w:eastAsia="Verdana" w:hAnsi="Times New Roman" w:cs="Times New Roman"/>
          <w:sz w:val="24"/>
          <w:szCs w:val="24"/>
        </w:rPr>
        <w:tab/>
      </w:r>
      <w:r w:rsidRPr="007A27A5">
        <w:rPr>
          <w:rFonts w:ascii="Times New Roman" w:eastAsia="Tahoma" w:hAnsi="Times New Roman" w:cs="Times New Roman"/>
          <w:sz w:val="24"/>
          <w:szCs w:val="24"/>
        </w:rPr>
        <w:t>100% de cumplimiento en la publicación del Registro Público de Sistemas Algorítmicos por parte de los sujetos obligados que los utilicen.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Verdana" w:hAnsi="Times New Roman" w:cs="Times New Roman"/>
          <w:sz w:val="24"/>
          <w:szCs w:val="24"/>
        </w:rPr>
        <w:t>•</w:t>
      </w:r>
      <w:r w:rsidRPr="007A27A5">
        <w:rPr>
          <w:rFonts w:ascii="Times New Roman" w:eastAsia="Verdana" w:hAnsi="Times New Roman" w:cs="Times New Roman"/>
          <w:sz w:val="24"/>
          <w:szCs w:val="24"/>
        </w:rPr>
        <w:tab/>
      </w:r>
      <w:r w:rsidRPr="007A27A5">
        <w:rPr>
          <w:rFonts w:ascii="Times New Roman" w:eastAsia="Tahoma" w:hAnsi="Times New Roman" w:cs="Times New Roman"/>
          <w:sz w:val="24"/>
          <w:szCs w:val="24"/>
        </w:rPr>
        <w:t>Aumento en el índice de usabilidad y accesibilidad de los portales de transparencia de los sujetos obligados.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Por último, la implementación de las reformas aquí planteadas se concibe de forma escalonada y costo-eficiente, aprovechando las plataformas existentes y enfocando la inversión en capacitación y en la adecuación de los sistemas críticos, garantizando un despliegue viable y sostenible.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Como representantes ciudadanos es nuestra responsabilidad responder a la necesidad impostergable de actualizar nuestro marco normativo para que no solo regule el presente, sino que también siente las bases para un futuro digital seguro, justo, ético y transparente, ya que esta brecha regulatoria en la que nos encontramos genera un estado de vulnerabilidad para los mexiquenses y de incertidumbre jurídica para las propias autoridades.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En mérito de las consideraciones planteadas, sometemos a la estimación de la Asamblea la presente iniciativa para que, de estimarla conducente, se apruebe en sus términos, anexando el proyecto de decreto correspondiente.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“Por una Patria Ordenada y Generosa”</w:t>
      </w:r>
    </w:p>
    <w:p w:rsidR="002F0B70" w:rsidRPr="007A27A5" w:rsidRDefault="002F0B70" w:rsidP="002F0B70">
      <w:pPr>
        <w:spacing w:after="0" w:line="240" w:lineRule="auto"/>
        <w:rPr>
          <w:rFonts w:ascii="Times New Roman" w:eastAsia="Times New Roman" w:hAnsi="Times New Roman" w:cs="Times New Roman"/>
          <w:sz w:val="24"/>
          <w:szCs w:val="24"/>
        </w:rPr>
      </w:pPr>
    </w:p>
    <w:tbl>
      <w:tblPr>
        <w:tblStyle w:val="Tablaconcuadrcu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707"/>
      </w:tblGrid>
      <w:tr w:rsidR="002F0B70" w:rsidRPr="007A27A5" w:rsidTr="00B822CD">
        <w:tc>
          <w:tcPr>
            <w:tcW w:w="4845" w:type="dxa"/>
          </w:tcPr>
          <w:p w:rsidR="002F0B70" w:rsidRPr="007A27A5" w:rsidRDefault="002F0B70" w:rsidP="00FA6E4C">
            <w:pPr>
              <w:spacing w:line="240" w:lineRule="auto"/>
              <w:jc w:val="center"/>
              <w:rPr>
                <w:b/>
                <w:sz w:val="24"/>
                <w:szCs w:val="24"/>
                <w:lang w:val="es-MX"/>
              </w:rPr>
            </w:pPr>
            <w:r w:rsidRPr="007A27A5">
              <w:rPr>
                <w:rFonts w:eastAsia="Tahoma"/>
                <w:b/>
                <w:sz w:val="24"/>
                <w:szCs w:val="24"/>
                <w:lang w:val="es-MX"/>
              </w:rPr>
              <w:t>DIP. ANUAR ROBERTO AZAR FIGUEROA</w:t>
            </w:r>
          </w:p>
        </w:tc>
        <w:tc>
          <w:tcPr>
            <w:tcW w:w="4845" w:type="dxa"/>
          </w:tcPr>
          <w:p w:rsidR="002F0B70" w:rsidRPr="007A27A5" w:rsidRDefault="002F0B70" w:rsidP="00FA6E4C">
            <w:pPr>
              <w:spacing w:line="240" w:lineRule="auto"/>
              <w:jc w:val="center"/>
              <w:rPr>
                <w:sz w:val="24"/>
                <w:szCs w:val="24"/>
                <w:lang w:val="es-MX"/>
              </w:rPr>
            </w:pPr>
            <w:r w:rsidRPr="007A27A5">
              <w:rPr>
                <w:rFonts w:eastAsia="Tahoma"/>
                <w:b/>
                <w:sz w:val="24"/>
                <w:szCs w:val="24"/>
                <w:lang w:val="es-MX"/>
              </w:rPr>
              <w:t>DIP. PABLO FERNÁNDEZ DE CEVALLOS GONZÁLEZ</w:t>
            </w:r>
          </w:p>
        </w:tc>
      </w:tr>
    </w:tbl>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DECRETO No</w:t>
      </w:r>
      <w:r w:rsidRPr="007A27A5">
        <w:rPr>
          <w:rFonts w:ascii="Times New Roman" w:eastAsia="Times New Roman" w:hAnsi="Times New Roman" w:cs="Times New Roman"/>
          <w:sz w:val="24"/>
          <w:szCs w:val="24"/>
          <w:u w:val="thick" w:color="000000"/>
        </w:rPr>
        <w:t xml:space="preserve"> </w:t>
      </w:r>
      <w:r w:rsidRPr="007A27A5">
        <w:rPr>
          <w:rFonts w:ascii="Times New Roman" w:eastAsia="Times New Roman" w:hAnsi="Times New Roman" w:cs="Times New Roman"/>
          <w:sz w:val="24"/>
          <w:szCs w:val="24"/>
          <w:u w:val="thick" w:color="000000"/>
        </w:rPr>
        <w:tab/>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LA LXII LEGISLATURA DEL ESTADO DE MÉXICO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DECRETA: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ART</w:t>
      </w:r>
      <w:r w:rsidR="00FA6E4C" w:rsidRPr="007A27A5">
        <w:rPr>
          <w:rFonts w:ascii="Times New Roman" w:eastAsia="Tahoma" w:hAnsi="Times New Roman" w:cs="Times New Roman"/>
          <w:b/>
          <w:sz w:val="24"/>
          <w:szCs w:val="24"/>
        </w:rPr>
        <w:t>Í</w:t>
      </w:r>
      <w:r w:rsidRPr="007A27A5">
        <w:rPr>
          <w:rFonts w:ascii="Times New Roman" w:eastAsia="Tahoma" w:hAnsi="Times New Roman" w:cs="Times New Roman"/>
          <w:b/>
          <w:sz w:val="24"/>
          <w:szCs w:val="24"/>
        </w:rPr>
        <w:t xml:space="preserve">CULO PRIMERO. </w:t>
      </w:r>
      <w:r w:rsidRPr="007A27A5">
        <w:rPr>
          <w:rFonts w:ascii="Times New Roman" w:eastAsia="Tahoma" w:hAnsi="Times New Roman" w:cs="Times New Roman"/>
          <w:sz w:val="24"/>
          <w:szCs w:val="24"/>
        </w:rPr>
        <w:t>Se reforma  la fracción XX del artículo 4; el artículo 15; el artículo 38; el artículo 39; el artículo 70; y se adicionan LIII a la LXVIII del artículo 4; un último párrafo al artículo 40; los artículos 70 Bis y 70 Ter; los artículos 103 Bis y 103 Ter; un último párrafo a la fracción XXV Del artículo 165 con los incisos a), b), c), d) y e), y un título décimo cuarto, denominado "Del Tratamiento de Datos Personales mediante Sistemas de Inteligencia Artificial" con los artículos 170 al 184, todos de la Ley de Protección de Datos Personales en Posesión de Sujetos Obligados en el Estado de México y Municipios, para quedar como sigue: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4.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ahoma"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sz w:val="24"/>
          <w:szCs w:val="24"/>
        </w:rPr>
        <w:t>I a la XIX. …</w:t>
      </w:r>
    </w:p>
    <w:p w:rsidR="002F0B70" w:rsidRPr="007A27A5" w:rsidRDefault="002F0B70" w:rsidP="002F0B70">
      <w:pPr>
        <w:spacing w:after="0" w:line="240" w:lineRule="auto"/>
        <w:jc w:val="both"/>
        <w:rPr>
          <w:rFonts w:ascii="Times New Roman" w:eastAsia="Tahoma" w:hAnsi="Times New Roman" w:cs="Times New Roman"/>
          <w:b/>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XX. </w:t>
      </w:r>
      <w:r w:rsidRPr="007A27A5">
        <w:rPr>
          <w:rFonts w:ascii="Times New Roman" w:eastAsia="Tahoma" w:hAnsi="Times New Roman" w:cs="Times New Roman"/>
          <w:sz w:val="24"/>
          <w:szCs w:val="24"/>
        </w:rPr>
        <w:t xml:space="preserve">Evaluación de impacto en la protección de datos personales </w:t>
      </w:r>
      <w:r w:rsidRPr="007A27A5">
        <w:rPr>
          <w:rFonts w:ascii="Times New Roman" w:eastAsia="Tahoma" w:hAnsi="Times New Roman" w:cs="Times New Roman"/>
          <w:b/>
          <w:sz w:val="24"/>
          <w:szCs w:val="24"/>
        </w:rPr>
        <w:t xml:space="preserve">(EIPD): </w:t>
      </w:r>
      <w:r w:rsidRPr="007A27A5">
        <w:rPr>
          <w:rFonts w:ascii="Times New Roman" w:eastAsia="Tahoma" w:hAnsi="Times New Roman" w:cs="Times New Roman"/>
          <w:sz w:val="24"/>
          <w:szCs w:val="24"/>
        </w:rPr>
        <w:t xml:space="preserve">al </w:t>
      </w:r>
      <w:r w:rsidRPr="007A27A5">
        <w:rPr>
          <w:rFonts w:ascii="Times New Roman" w:eastAsia="Tahoma" w:hAnsi="Times New Roman" w:cs="Times New Roman"/>
          <w:b/>
          <w:sz w:val="24"/>
          <w:szCs w:val="24"/>
        </w:rPr>
        <w:t xml:space="preserve">proceso sistemático, preventivo y obligatorio, realizado de forma previa a la puesta en operación o modificación sustancial de cualquier </w:t>
      </w:r>
      <w:r w:rsidRPr="007A27A5">
        <w:rPr>
          <w:rFonts w:ascii="Times New Roman" w:eastAsia="Tahoma" w:hAnsi="Times New Roman" w:cs="Times New Roman"/>
          <w:sz w:val="24"/>
          <w:szCs w:val="24"/>
        </w:rPr>
        <w:t xml:space="preserve">política pública, programa, sistema </w:t>
      </w:r>
      <w:r w:rsidRPr="007A27A5">
        <w:rPr>
          <w:rFonts w:ascii="Times New Roman" w:eastAsia="Tahoma" w:hAnsi="Times New Roman" w:cs="Times New Roman"/>
          <w:b/>
          <w:sz w:val="24"/>
          <w:szCs w:val="24"/>
        </w:rPr>
        <w:t xml:space="preserve">o tecnología que implique un tratamiento de datos personales susceptible de generar un alto riesgo para los derechos y libertades de los titulares. Mediante este proceso, el responsable, utilizando </w:t>
      </w:r>
      <w:r w:rsidRPr="007A27A5">
        <w:rPr>
          <w:rFonts w:ascii="Times New Roman" w:eastAsia="Tahoma" w:hAnsi="Times New Roman" w:cs="Times New Roman"/>
          <w:sz w:val="24"/>
          <w:szCs w:val="24"/>
        </w:rPr>
        <w:t xml:space="preserve">parámetros cualitativos y cuantitativos, </w:t>
      </w:r>
      <w:r w:rsidRPr="007A27A5">
        <w:rPr>
          <w:rFonts w:ascii="Times New Roman" w:eastAsia="Tahoma" w:hAnsi="Times New Roman" w:cs="Times New Roman"/>
          <w:b/>
          <w:sz w:val="24"/>
          <w:szCs w:val="24"/>
        </w:rPr>
        <w:t xml:space="preserve">identifica, evalúa y mitiga dichos riesgos, a fin de demostrar la conformidad con los principios, deberes y obligaciones </w:t>
      </w:r>
      <w:r w:rsidRPr="007A27A5">
        <w:rPr>
          <w:rFonts w:ascii="Times New Roman" w:eastAsia="Tahoma" w:hAnsi="Times New Roman" w:cs="Times New Roman"/>
          <w:sz w:val="24"/>
          <w:szCs w:val="24"/>
        </w:rPr>
        <w:t>previstos en esta Ley.</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XXI a la LII. …</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LIII. Sistema de Inteligencia Artificial (Sistema de IA): Software desarrollado con una o varias de las técnicas y estrategias de aprendizaje automático, lógica y conocimiento, o enfoques estadísticos, que puede, para un conjunto de objetivos definidos por seres humanos, generar información de salida como contenidos, predicciones, recomendaciones o decisiones que influyan en los entornos con los que interactúa.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LIV. Datos biométricos: Datos personales obtenidos a partir de un tratamiento técnico específico, relativos a las características físicas,</w:t>
      </w:r>
      <w:r w:rsidRPr="007A27A5">
        <w:rPr>
          <w:rFonts w:ascii="Times New Roman" w:eastAsia="Times New Roman" w:hAnsi="Times New Roman" w:cs="Times New Roman"/>
          <w:sz w:val="24"/>
          <w:szCs w:val="24"/>
        </w:rPr>
        <w:t xml:space="preserve"> </w:t>
      </w:r>
      <w:r w:rsidRPr="007A27A5">
        <w:rPr>
          <w:rFonts w:ascii="Times New Roman" w:eastAsia="Tahoma" w:hAnsi="Times New Roman" w:cs="Times New Roman"/>
          <w:b/>
          <w:sz w:val="24"/>
          <w:szCs w:val="24"/>
        </w:rPr>
        <w:t>fisiológicas o conductuales de una persona física que permitan o confirmen la identificación única de dicha persona, como imágenes faciales o datos dactiloscópicos.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LV. Decisión exclusivamente automatizada: Decisión que afecta significativamente a un titular, basada únicamente en el tratamiento automatizado de sus datos personales, sin intervención humana significativa y con efectos jurídicos o que le impacte de modo similar.</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LVI. Perfilamiento: Toda forma de tratamiento automatizado de datos personales consistente en utilizar datos personales para evaluar determinados aspectos personales de una persona física, en particular para analizar o predecir aspectos relativos a su rendimiento profesional, situación económica, salud, preferencias personales, intereses, fiabilidad, comportamiento, ubicación o movimientos.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LVII. Sesgo algorítmico: Errores sistemáticos o repetibles en un sistema de IA que generan resultados injustos o perjudiciales, privilegiando a un grupo de personas en detrimento de otro, o que resulten en cualquier forma de discriminación prohibida por el artículo 1° de la Constitución Política de los Estados Unidos Mexicanos.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 xml:space="preserve">LVIII. </w:t>
      </w:r>
      <w:proofErr w:type="spellStart"/>
      <w:r w:rsidRPr="007A27A5">
        <w:rPr>
          <w:rFonts w:ascii="Times New Roman" w:eastAsia="Tahoma" w:hAnsi="Times New Roman" w:cs="Times New Roman"/>
          <w:b/>
          <w:sz w:val="24"/>
          <w:szCs w:val="24"/>
        </w:rPr>
        <w:t>Explicabilidad</w:t>
      </w:r>
      <w:proofErr w:type="spellEnd"/>
      <w:r w:rsidRPr="007A27A5">
        <w:rPr>
          <w:rFonts w:ascii="Times New Roman" w:eastAsia="Tahoma" w:hAnsi="Times New Roman" w:cs="Times New Roman"/>
          <w:b/>
          <w:sz w:val="24"/>
          <w:szCs w:val="24"/>
        </w:rPr>
        <w:t>: La capacidad de presentar en términos comprensibles para un ser humano la lógica y los factores que llevaron a un sistema de IA a tomar una decisión o predicción específica que afecte al titular.</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LIX. Supervisión humana significativa: El control y la capacidad de intervención ejercida por una persona física con la competencia, la formación y la autoridad necesarias para revisar, y en su caso, anular una decisión tomada por un sistema de IA antes de que esta surta efectos.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LX. Evaluación de Impacto Algorítmico (EIA): Proceso sistemático para identificar, evaluar y mitigar los riesgos y posibles impactos negativos de un sistema de IA sobre los derechos fundamentales, la equidad y la no discriminación, antes de su implementación. Forma parte integral de la EIPD para sistemas de alto riesgo.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LXI. </w:t>
      </w:r>
      <w:proofErr w:type="spellStart"/>
      <w:r w:rsidRPr="007A27A5">
        <w:rPr>
          <w:rFonts w:ascii="Times New Roman" w:eastAsia="Tahoma" w:hAnsi="Times New Roman" w:cs="Times New Roman"/>
          <w:b/>
          <w:sz w:val="24"/>
          <w:szCs w:val="24"/>
        </w:rPr>
        <w:t>Seudonimización</w:t>
      </w:r>
      <w:proofErr w:type="spellEnd"/>
      <w:r w:rsidRPr="007A27A5">
        <w:rPr>
          <w:rFonts w:ascii="Times New Roman" w:eastAsia="Tahoma" w:hAnsi="Times New Roman" w:cs="Times New Roman"/>
          <w:b/>
          <w:sz w:val="24"/>
          <w:szCs w:val="24"/>
        </w:rPr>
        <w:t>: El tratamiento de datos personales de manera tal que ya no puedan atribuirse a un titular sin utilizar información adicional, siempre que dicha información adicional figure por separado y esté sujeta a medidas técnicas y organizativas destinadas a garantizar que los datos personales no se atribuyan a una persona física identificada o identificable.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LXII. Privacidad desde el diseño: La integración de los principios de protección de datos personales en los sistemas de tratamiento desde las primeras etapas de su concepción, garantizando la protección de la privacidad a lo largo de todo el ciclo de vida de la tecnología.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LXIII. Privacidad por defecto: La aplicación de las configuraciones más respetuosas con la privacidad de forma predeterminada en cualquier sistema o servicio, sin que el usuario deba realizar ninguna acción para activarlas.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LXIV. Transferencias internacionales de datos: La comunicación de datos personales realizada por un responsable en el Estado de México a un destinatario en un país extranjero, ya sea para su tratamiento por cuenta del responsable o para un tercero.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LXV. Corresponsables del tratamiento: Dos o más responsables que determinan conjuntamente los objetivos y los medios del tratamiento.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LXVI. Auditoría algorítmica: Un examen y una evaluación sistemática, independiente y documentada de un sistema de IA para determinar si sus resultados y procesos se ajustan a los principios de licitud, equidad, transparencia y a los requisitos de esta Ley.</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LXVII. Sandbox regulatorio (Espacio controlado de prueba): Un marco controlado y supervisado por el Instituto que permite a los sujetos obligados probar tecnologías innovadoras, como sistemas de IA, durante un tiempo limitado y bajo un conjunto de salvaguardas, con el fin de garantizar su conformidad con la normativa de protección de datos antes de su despliegue a gran escala.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LXVIII. Datos inferidos: Datos personales que no han sido proporcionados directamente por el titular, sino que son el resultado de un análisis o procesamiento algorítmico sobre otros datos relacionados con él.</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 xml:space="preserve">Artículo 15. </w:t>
      </w:r>
      <w:r w:rsidRPr="007A27A5">
        <w:rPr>
          <w:rFonts w:ascii="Times New Roman" w:eastAsia="Tahoma" w:hAnsi="Times New Roman" w:cs="Times New Roman"/>
          <w:sz w:val="24"/>
          <w:szCs w:val="24"/>
        </w:rPr>
        <w:t xml:space="preserve">Los responsables en el tratamiento de datos personales, observarán los principios de calidad, consentimiento, finalidad, información, lealtad, licitud, proporcionalidad y responsabilidad. </w:t>
      </w:r>
      <w:r w:rsidRPr="007A27A5">
        <w:rPr>
          <w:rFonts w:ascii="Times New Roman" w:eastAsia="Tahoma" w:hAnsi="Times New Roman" w:cs="Times New Roman"/>
          <w:b/>
          <w:sz w:val="24"/>
          <w:szCs w:val="24"/>
        </w:rPr>
        <w:t>Para el tratamiento de datos mediante sistemas automatizados o de inteligencia artificial, se observarán, además, los principios específicos establecidos en el Título Décimo Cuarto de esta Ley.</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38. </w:t>
      </w:r>
      <w:r w:rsidRPr="007A27A5">
        <w:rPr>
          <w:rFonts w:ascii="Times New Roman" w:eastAsia="Tahoma" w:hAnsi="Times New Roman" w:cs="Times New Roman"/>
          <w:sz w:val="24"/>
          <w:szCs w:val="24"/>
        </w:rPr>
        <w:t xml:space="preserve">Con independencia del tipo de sistema </w:t>
      </w:r>
      <w:r w:rsidRPr="007A27A5">
        <w:rPr>
          <w:rFonts w:ascii="Times New Roman" w:eastAsia="Tahoma" w:hAnsi="Times New Roman" w:cs="Times New Roman"/>
          <w:b/>
          <w:sz w:val="24"/>
          <w:szCs w:val="24"/>
        </w:rPr>
        <w:t xml:space="preserve">de tratamiento, el responsable deberá establecer, mantener y documentar un Sistema de Gestión de Seguridad de Datos Personales. Dicho sistema integrará </w:t>
      </w:r>
      <w:r w:rsidRPr="007A27A5">
        <w:rPr>
          <w:rFonts w:ascii="Times New Roman" w:eastAsia="Tahoma" w:hAnsi="Times New Roman" w:cs="Times New Roman"/>
          <w:sz w:val="24"/>
          <w:szCs w:val="24"/>
        </w:rPr>
        <w:t xml:space="preserve">las medidas de seguridad administrativas, físicas y técnicas </w:t>
      </w:r>
      <w:r w:rsidRPr="007A27A5">
        <w:rPr>
          <w:rFonts w:ascii="Times New Roman" w:eastAsia="Tahoma" w:hAnsi="Times New Roman" w:cs="Times New Roman"/>
          <w:b/>
          <w:sz w:val="24"/>
          <w:szCs w:val="24"/>
        </w:rPr>
        <w:t xml:space="preserve">necesarias para preservar </w:t>
      </w:r>
      <w:r w:rsidRPr="007A27A5">
        <w:rPr>
          <w:rFonts w:ascii="Times New Roman" w:eastAsia="Tahoma" w:hAnsi="Times New Roman" w:cs="Times New Roman"/>
          <w:sz w:val="24"/>
          <w:szCs w:val="24"/>
        </w:rPr>
        <w:t>la integridad, confidencialidad y disponibilidad de los datos personales, a través de controles y acciones que eviten su daño, alteración, pérdida, destrucción, o el uso, acceso o tratamiento no autorizado.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Este sistema se basará en una gestión de riesgos continua y deberá considerar el ciclo de vida completo de los datos, desde su obtención hasta su supresión definitiva, </w:t>
      </w:r>
      <w:r w:rsidRPr="007A27A5">
        <w:rPr>
          <w:rFonts w:ascii="Times New Roman" w:eastAsia="Tahoma" w:hAnsi="Times New Roman" w:cs="Times New Roman"/>
          <w:sz w:val="24"/>
          <w:szCs w:val="24"/>
        </w:rPr>
        <w:t xml:space="preserve">de conformidad con lo dispuesto </w:t>
      </w:r>
      <w:r w:rsidRPr="007A27A5">
        <w:rPr>
          <w:rFonts w:ascii="Times New Roman" w:eastAsia="Tahoma" w:hAnsi="Times New Roman" w:cs="Times New Roman"/>
          <w:b/>
          <w:sz w:val="24"/>
          <w:szCs w:val="24"/>
        </w:rPr>
        <w:t xml:space="preserve">en esta Ley y </w:t>
      </w:r>
      <w:r w:rsidRPr="007A27A5">
        <w:rPr>
          <w:rFonts w:ascii="Times New Roman" w:eastAsia="Tahoma" w:hAnsi="Times New Roman" w:cs="Times New Roman"/>
          <w:sz w:val="24"/>
          <w:szCs w:val="24"/>
        </w:rPr>
        <w:t>los lineamientos que al efecto se expidan.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39. El Sistema de Gestión de Seguridad de Datos Personales deberá diseñarse </w:t>
      </w:r>
      <w:r w:rsidRPr="007A27A5">
        <w:rPr>
          <w:rFonts w:ascii="Times New Roman" w:eastAsia="Tahoma" w:hAnsi="Times New Roman" w:cs="Times New Roman"/>
          <w:sz w:val="24"/>
          <w:szCs w:val="24"/>
        </w:rPr>
        <w:t xml:space="preserve">para garantizar un nivel de seguridad adecuado al riesgo, </w:t>
      </w:r>
      <w:r w:rsidRPr="007A27A5">
        <w:rPr>
          <w:rFonts w:ascii="Times New Roman" w:eastAsia="Tahoma" w:hAnsi="Times New Roman" w:cs="Times New Roman"/>
          <w:b/>
          <w:sz w:val="24"/>
          <w:szCs w:val="24"/>
        </w:rPr>
        <w:t xml:space="preserve">observando en todo momento </w:t>
      </w:r>
      <w:r w:rsidRPr="007A27A5">
        <w:rPr>
          <w:rFonts w:ascii="Times New Roman" w:eastAsia="Tahoma" w:hAnsi="Times New Roman" w:cs="Times New Roman"/>
          <w:sz w:val="24"/>
          <w:szCs w:val="24"/>
        </w:rPr>
        <w:t xml:space="preserve">los deberes de confidencialidad, integridad y disponibilidad. </w:t>
      </w:r>
      <w:r w:rsidRPr="007A27A5">
        <w:rPr>
          <w:rFonts w:ascii="Times New Roman" w:eastAsia="Tahoma" w:hAnsi="Times New Roman" w:cs="Times New Roman"/>
          <w:b/>
          <w:sz w:val="24"/>
          <w:szCs w:val="24"/>
        </w:rPr>
        <w:t>Dicho sistema deberá, como mínimo: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Contar con un inventario de datos personales y de los sistemas de tratamiento utilizados, y realizar un análisis de riesgos periódico para identificar amenazas y vulnerabilidades.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 xml:space="preserve">II. Establecer una política de seguridad que defina funciones y obligaciones, e implementar los controles y medidas administrativas, físicas y técnicas adecuadas al riesgo, tales como el cifrado, la </w:t>
      </w:r>
      <w:proofErr w:type="spellStart"/>
      <w:r w:rsidRPr="007A27A5">
        <w:rPr>
          <w:rFonts w:ascii="Times New Roman" w:eastAsia="Tahoma" w:hAnsi="Times New Roman" w:cs="Times New Roman"/>
          <w:b/>
          <w:sz w:val="24"/>
          <w:szCs w:val="24"/>
        </w:rPr>
        <w:t>seudonimización</w:t>
      </w:r>
      <w:proofErr w:type="spellEnd"/>
      <w:r w:rsidRPr="007A27A5">
        <w:rPr>
          <w:rFonts w:ascii="Times New Roman" w:eastAsia="Tahoma" w:hAnsi="Times New Roman" w:cs="Times New Roman"/>
          <w:b/>
          <w:sz w:val="24"/>
          <w:szCs w:val="24"/>
        </w:rPr>
        <w:t xml:space="preserve"> y la </w:t>
      </w:r>
      <w:proofErr w:type="spellStart"/>
      <w:r w:rsidRPr="007A27A5">
        <w:rPr>
          <w:rFonts w:ascii="Times New Roman" w:eastAsia="Tahoma" w:hAnsi="Times New Roman" w:cs="Times New Roman"/>
          <w:b/>
          <w:sz w:val="24"/>
          <w:szCs w:val="24"/>
        </w:rPr>
        <w:t>anonimización</w:t>
      </w:r>
      <w:proofErr w:type="spellEnd"/>
      <w:r w:rsidRPr="007A27A5">
        <w:rPr>
          <w:rFonts w:ascii="Times New Roman" w:eastAsia="Tahoma" w:hAnsi="Times New Roman" w:cs="Times New Roman"/>
          <w:b/>
          <w:sz w:val="24"/>
          <w:szCs w:val="24"/>
        </w:rPr>
        <w:t xml:space="preserve"> de datos personales.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III. Contar con un plan de respuesta a incidentes que garantice la capacidad </w:t>
      </w:r>
      <w:r w:rsidRPr="007A27A5">
        <w:rPr>
          <w:rFonts w:ascii="Times New Roman" w:eastAsia="Tahoma" w:hAnsi="Times New Roman" w:cs="Times New Roman"/>
          <w:sz w:val="24"/>
          <w:szCs w:val="24"/>
        </w:rPr>
        <w:t xml:space="preserve">de restaurar la disponibilidad y el acceso a los datos personales de forma rápida en caso de </w:t>
      </w:r>
      <w:r w:rsidRPr="007A27A5">
        <w:rPr>
          <w:rFonts w:ascii="Times New Roman" w:eastAsia="Tahoma" w:hAnsi="Times New Roman" w:cs="Times New Roman"/>
          <w:b/>
          <w:sz w:val="24"/>
          <w:szCs w:val="24"/>
        </w:rPr>
        <w:t>una contingencia.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IV. Implementar un proceso </w:t>
      </w:r>
      <w:r w:rsidRPr="007A27A5">
        <w:rPr>
          <w:rFonts w:ascii="Times New Roman" w:eastAsia="Tahoma" w:hAnsi="Times New Roman" w:cs="Times New Roman"/>
          <w:sz w:val="24"/>
          <w:szCs w:val="24"/>
        </w:rPr>
        <w:t xml:space="preserve">de verificación y evaluación </w:t>
      </w:r>
      <w:r w:rsidRPr="007A27A5">
        <w:rPr>
          <w:rFonts w:ascii="Times New Roman" w:eastAsia="Tahoma" w:hAnsi="Times New Roman" w:cs="Times New Roman"/>
          <w:b/>
          <w:sz w:val="24"/>
          <w:szCs w:val="24"/>
        </w:rPr>
        <w:t>regular, a través de auditorías de seguridad periódicas, para valorar la eficacia de las medidas implementadas.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V. Desarrollar un programa de capacitación y sensibilización continuo para todo el personal.</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40.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Para aquellos sistemas que traten datos personales sensibles a gran escala o que sean clasificados como de alto riesgo conforme a esta Ley, el responsable deberá realizar, al menos </w:t>
      </w:r>
      <w:r w:rsidRPr="007A27A5">
        <w:rPr>
          <w:rFonts w:ascii="Times New Roman" w:eastAsia="Tahoma" w:hAnsi="Times New Roman" w:cs="Times New Roman"/>
          <w:b/>
          <w:sz w:val="24"/>
          <w:szCs w:val="24"/>
        </w:rPr>
        <w:lastRenderedPageBreak/>
        <w:t>cada dos años, auditorías externas y pruebas de penetración llevadas a cabo por terceros independientes, con el fin de evaluar la robustez de sus controles de seguridad.</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70. El responsable deberá realizar una EIPD, de forma previa a la puesta en operación, cuando un tratamiento de datos personales sea susceptible de generar un alto riesgo para los derechos y libertades de los titulares.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Se considera que existe un alto riesgo, de manera enunciativa y no limitativa, cuando: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I. Se traten datos personales sensibles a gran escala o datos relativos a personas en situación de vulnerabilidad.</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Se realice una observación sistemática y a gran escala de una zona de acceso público.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III. Se utilicen nuevas tecnologías que, por su naturaleza, impidan a los titulares ejercer sus derechos con facilidad.</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IV. Se implemente un Sistema de Inteligencia Artificial clasificado como de alto riesgo, en los términos del Título Décimo Cuarto de esta Ley.</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Contenido Mínimo de la EIPD.</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70 Bis. La EIPD deberá contener, como mínimo: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La descripción sistemática del tratamiento previsto, sus finalidades y la base de licitud.</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Un análisis de la necesidad y proporcionalidad del tratamiento en relación con las finalidades.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III. Una evaluación de los riesgos para los derechos y libertades de los titulares.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IV. Las medidas previstas para afrontar los riesgos, incluyendo garantías, medidas de seguridad y mecanismos que demuestren la conformidad con la presente Ley.</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Evaluación de Impacto Algorítmica (EIA).</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70 Ter. Cuando la EIPD se realice con motivo de la implementación de un Sistema de IA de alto riesgo, esta deberá incluir una sección específica de Evaluación de Impacto Algorítmica, la cual deberá analizar, adicionalmente: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Los riesgos de sesgo y discriminación algorítmica, y las medidas adoptadas para mitigarlos.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La calidad, pertinencia y representatividad de los datos de entrenamiento, validación y prueba.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 xml:space="preserve">III. Los mecanismos de transparencia, </w:t>
      </w:r>
      <w:proofErr w:type="spellStart"/>
      <w:r w:rsidRPr="007A27A5">
        <w:rPr>
          <w:rFonts w:ascii="Times New Roman" w:eastAsia="Tahoma" w:hAnsi="Times New Roman" w:cs="Times New Roman"/>
          <w:b/>
          <w:sz w:val="24"/>
          <w:szCs w:val="24"/>
        </w:rPr>
        <w:t>explicabilidad</w:t>
      </w:r>
      <w:proofErr w:type="spellEnd"/>
      <w:r w:rsidRPr="007A27A5">
        <w:rPr>
          <w:rFonts w:ascii="Times New Roman" w:eastAsia="Tahoma" w:hAnsi="Times New Roman" w:cs="Times New Roman"/>
          <w:b/>
          <w:sz w:val="24"/>
          <w:szCs w:val="24"/>
        </w:rPr>
        <w:t xml:space="preserve"> y supervisión humana que se implementarán</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Derecho a no ser objeto de decisiones exclusivamente automatizadas. Artículo 103 Bis. Todo titular tendrá derecho a no ser objeto de una decisión basada única y exclusivamente en un </w:t>
      </w:r>
      <w:r w:rsidRPr="007A27A5">
        <w:rPr>
          <w:rFonts w:ascii="Times New Roman" w:eastAsia="Tahoma" w:hAnsi="Times New Roman" w:cs="Times New Roman"/>
          <w:b/>
          <w:sz w:val="24"/>
          <w:szCs w:val="24"/>
        </w:rPr>
        <w:lastRenderedPageBreak/>
        <w:t>tratamiento automatizado, incluida la elaboración de perfiles, que produzca efectos jurídicos en él o le afecte significativamente de modo similar.</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Lo anterior no será aplicable cuando la decisión: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I. Sea necesaria para la celebración o ejecución de un contrato entre el titular y el responsable.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b/>
          <w:sz w:val="24"/>
          <w:szCs w:val="24"/>
        </w:rPr>
      </w:pPr>
      <w:r w:rsidRPr="007A27A5">
        <w:rPr>
          <w:rFonts w:ascii="Times New Roman" w:eastAsia="Tahoma" w:hAnsi="Times New Roman" w:cs="Times New Roman"/>
          <w:b/>
          <w:sz w:val="24"/>
          <w:szCs w:val="24"/>
        </w:rPr>
        <w:t>II. Esté autorizada por una disposición legal aplicable. III. Se base en el consentimiento explícito del titular.</w:t>
      </w:r>
    </w:p>
    <w:p w:rsidR="002F0B70" w:rsidRPr="007A27A5" w:rsidRDefault="002F0B70" w:rsidP="002F0B70">
      <w:pPr>
        <w:spacing w:after="0" w:line="240" w:lineRule="auto"/>
        <w:rPr>
          <w:rFonts w:ascii="Times New Roman" w:eastAsia="Tahoma"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En los supuestos de las fracciones I y III, el responsable deberá garantizar el derecho del titular a obtener intervención humana, expresar su punto de vista e impugnar la decisión.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Derecho a la Explicación y a la Intervención Humana.</w:t>
      </w:r>
    </w:p>
    <w:p w:rsidR="002F0B70" w:rsidRPr="007A27A5" w:rsidRDefault="002F0B70" w:rsidP="002F0B70">
      <w:pPr>
        <w:spacing w:after="0" w:line="240" w:lineRule="auto"/>
        <w:rPr>
          <w:rFonts w:ascii="Times New Roman" w:eastAsia="Tahoma" w:hAnsi="Times New Roman" w:cs="Times New Roman"/>
          <w:b/>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103 Ter. Cuando un titular sea objeto de una decisión que le afecte significativamente y en la que haya intervenido un Sistema de IA,</w:t>
      </w:r>
      <w:r w:rsidRPr="007A27A5">
        <w:rPr>
          <w:rFonts w:ascii="Times New Roman" w:eastAsia="Tahoma" w:hAnsi="Times New Roman" w:cs="Times New Roman"/>
          <w:sz w:val="24"/>
          <w:szCs w:val="24"/>
        </w:rPr>
        <w:t xml:space="preserve"> </w:t>
      </w:r>
      <w:r w:rsidRPr="007A27A5">
        <w:rPr>
          <w:rFonts w:ascii="Times New Roman" w:eastAsia="Tahoma" w:hAnsi="Times New Roman" w:cs="Times New Roman"/>
          <w:b/>
          <w:sz w:val="24"/>
          <w:szCs w:val="24"/>
        </w:rPr>
        <w:t>tendrá derecho a solicitar y obtener del responsable: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Información clara y sencilla sobre que su caso fue sujeto a un proceso de decisión total o parcialmente automatizado.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Una explicación significativa sobre la lógica aplicada por el sistema, las principales variables consideradas para tomar la decisión y las consecuencias de dicho tratamiento.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III. La posibilidad de impugnar la decisión y solicitar una revisión directa por una persona con la competencia y autoridad para anularla o modificarla.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165.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ahoma" w:hAnsi="Times New Roman" w:cs="Times New Roman"/>
          <w:sz w:val="24"/>
          <w:szCs w:val="24"/>
        </w:rPr>
      </w:pPr>
    </w:p>
    <w:p w:rsidR="002F0B70" w:rsidRPr="007A27A5" w:rsidRDefault="002F0B70" w:rsidP="002F0B70">
      <w:pPr>
        <w:spacing w:after="0" w:line="240" w:lineRule="auto"/>
        <w:rPr>
          <w:rFonts w:ascii="Times New Roman" w:eastAsia="Times New Roman" w:hAnsi="Times New Roman" w:cs="Times New Roman"/>
          <w:sz w:val="24"/>
          <w:szCs w:val="24"/>
        </w:rPr>
      </w:pPr>
      <w:r w:rsidRPr="007A27A5">
        <w:rPr>
          <w:rFonts w:ascii="Times New Roman" w:eastAsia="Tahoma" w:hAnsi="Times New Roman" w:cs="Times New Roman"/>
          <w:sz w:val="24"/>
          <w:szCs w:val="24"/>
        </w:rPr>
        <w:t>I al XXIV.</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XXV. …</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Se considerarán infracciones graves, además de las que por su naturaleza lo sean y las previstas en este artículo, las siguientes: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 Implementar un Sistema de IA de los prohibidos en el artículo 174.</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b). Omitir la realización de la EIPD/EIA para un Sistema de IA de Alto Riesgo, de forma previa a su implementación.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c). Proporcionar información falsa o engañosa en el Registro Estatal de Sistemas de IA.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d). Incumplir con la obligación de garantizar la supervisión humana significativa o negar el derecho a la explicación en decisiones que afecten significativamente a los titulares.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e). Tratar datos personales con sesgos algorítmicos que generen discriminación, sin haber adoptado medidas razonables para su mitigación.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TÍTULO DÉCIMO CUARTO</w:t>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Del Tratamiento de Datos Personales mediante Sistemas de Inteligencia</w:t>
      </w:r>
      <w:r w:rsidR="007F6590" w:rsidRPr="007A27A5">
        <w:rPr>
          <w:rFonts w:ascii="Times New Roman" w:eastAsia="Tahoma" w:hAnsi="Times New Roman" w:cs="Times New Roman"/>
          <w:b/>
          <w:sz w:val="24"/>
          <w:szCs w:val="24"/>
        </w:rPr>
        <w:t xml:space="preserve"> </w:t>
      </w:r>
      <w:r w:rsidRPr="007A27A5">
        <w:rPr>
          <w:rFonts w:ascii="Times New Roman" w:eastAsia="Tahoma" w:hAnsi="Times New Roman" w:cs="Times New Roman"/>
          <w:b/>
          <w:sz w:val="24"/>
          <w:szCs w:val="24"/>
        </w:rPr>
        <w:t>Artificial</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b/>
          <w:sz w:val="24"/>
          <w:szCs w:val="24"/>
        </w:rPr>
      </w:pPr>
      <w:r w:rsidRPr="007A27A5">
        <w:rPr>
          <w:rFonts w:ascii="Times New Roman" w:eastAsia="Tahoma" w:hAnsi="Times New Roman" w:cs="Times New Roman"/>
          <w:b/>
          <w:sz w:val="24"/>
          <w:szCs w:val="24"/>
        </w:rPr>
        <w:t>CAPÍTULO I</w:t>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Disposiciones Generales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Objeto y Ámbito de Aplicación.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170. El presente Título tiene por objeto regular el tratamiento de datos personales realizado total o parcialmente a través de Sistemas de Inteligencia Artificial por parte de los sujetos obligados, con el fin de garantizar la observancia de los principios, deberes y derechos previstos en esta Ley y la protección de los derechos fundamentales de los titulares frente a los riesgos específicos que estas tecnologías plantean.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Las disposiciones de este Título son de aplicación a todos los sujetos obligados que desarrollen, adquieran, implementen u operen Sistemas de IA que traten datos personales en el ejercicio de sus atribuciones.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Principios Específicos.</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171. Además de los principios establecidos en el artículo 15 de esta Ley, todo tratamiento de datos personales mediante Sistemas de IA se sujetará a los principios de: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Intervención y Supervisión Humana Significativa: Todo sistema de IA, especialmente los de alto riesgo, deberá ser diseñado y operado de manera que pueda ser supervisado eficazmente por personas. Las decisiones con impacto jurídico o significativo en los titulares deberán ser susceptibles de revisión humana antes de surtir efectos.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Equidad y No Discriminación: Los sujetos obligados deberán adoptar medidas técnicas y organizativas para prevenir, identificar y mitigar sesgos algorítmicos que puedan generar resultados discriminatorios.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III. Transparencia y </w:t>
      </w:r>
      <w:proofErr w:type="spellStart"/>
      <w:r w:rsidRPr="007A27A5">
        <w:rPr>
          <w:rFonts w:ascii="Times New Roman" w:eastAsia="Tahoma" w:hAnsi="Times New Roman" w:cs="Times New Roman"/>
          <w:b/>
          <w:sz w:val="24"/>
          <w:szCs w:val="24"/>
        </w:rPr>
        <w:t>Explicabilidad</w:t>
      </w:r>
      <w:proofErr w:type="spellEnd"/>
      <w:r w:rsidRPr="007A27A5">
        <w:rPr>
          <w:rFonts w:ascii="Times New Roman" w:eastAsia="Tahoma" w:hAnsi="Times New Roman" w:cs="Times New Roman"/>
          <w:b/>
          <w:sz w:val="24"/>
          <w:szCs w:val="24"/>
        </w:rPr>
        <w:t>: Los titulares de los datos tienen derecho a ser informados sobre el uso de sistemas de IA para tratar sus datos y a obtener una explicación comprensible sobre la lógica aplicada en las decisiones automatizadas que les afecten significativamente.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IV. Seguridad, Resiliencia y Exactitud: Los sistemas de IA deberán ser seguros, resilientes frente a ataques y diseñados para operar con un nivel de exactitud apropiado y validado para su finalidad.</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V. Rendición de Cuentas (</w:t>
      </w:r>
      <w:proofErr w:type="spellStart"/>
      <w:r w:rsidRPr="007A27A5">
        <w:rPr>
          <w:rFonts w:ascii="Times New Roman" w:eastAsia="Tahoma" w:hAnsi="Times New Roman" w:cs="Times New Roman"/>
          <w:b/>
          <w:sz w:val="24"/>
          <w:szCs w:val="24"/>
        </w:rPr>
        <w:t>Accountability</w:t>
      </w:r>
      <w:proofErr w:type="spellEnd"/>
      <w:r w:rsidRPr="007A27A5">
        <w:rPr>
          <w:rFonts w:ascii="Times New Roman" w:eastAsia="Tahoma" w:hAnsi="Times New Roman" w:cs="Times New Roman"/>
          <w:b/>
          <w:sz w:val="24"/>
          <w:szCs w:val="24"/>
        </w:rPr>
        <w:t>): Deberá ser posible atribuir la responsabilidad por los resultados de un sistema de IA a un sujeto obligado específico a lo largo de todo su ciclo de vida.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b/>
          <w:sz w:val="24"/>
          <w:szCs w:val="24"/>
        </w:rPr>
      </w:pPr>
      <w:r w:rsidRPr="007A27A5">
        <w:rPr>
          <w:rFonts w:ascii="Times New Roman" w:eastAsia="Tahoma" w:hAnsi="Times New Roman" w:cs="Times New Roman"/>
          <w:b/>
          <w:sz w:val="24"/>
          <w:szCs w:val="24"/>
        </w:rPr>
        <w:t>CAPÍTULO II</w:t>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Clasificación y Gestión de Riesgos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Enfoque Basado en Riesgo.</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172. El tratamiento de datos personales mediante Sistemas de IA se regulará con un enfoque basado en el riesgo, estableciendo obligaciones diferenciadas en función del impacto potencial que dichos sistemas puedan tener sobre los derechos y libertades de las personas.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Sistemas de IA de Riesgo Inaceptable (Prácticas Prohibidas).</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173. Quedan prohibidos los siguientes usos de Sistemas de IA por parte de los sujetos obligados: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Los que utilicen técnicas subliminales o manipuladoras que trasciendan la conciencia de una persona para distorsionar su comportamiento de una manera que le cause o pueda causarle un perjuicio.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II. Los sistemas de puntuación social ("social </w:t>
      </w:r>
      <w:proofErr w:type="spellStart"/>
      <w:r w:rsidRPr="007A27A5">
        <w:rPr>
          <w:rFonts w:ascii="Times New Roman" w:eastAsia="Tahoma" w:hAnsi="Times New Roman" w:cs="Times New Roman"/>
          <w:b/>
          <w:sz w:val="24"/>
          <w:szCs w:val="24"/>
        </w:rPr>
        <w:t>scoring</w:t>
      </w:r>
      <w:proofErr w:type="spellEnd"/>
      <w:r w:rsidRPr="007A27A5">
        <w:rPr>
          <w:rFonts w:ascii="Times New Roman" w:eastAsia="Tahoma" w:hAnsi="Times New Roman" w:cs="Times New Roman"/>
          <w:b/>
          <w:sz w:val="24"/>
          <w:szCs w:val="24"/>
        </w:rPr>
        <w:t>") para evaluar la fiabilidad de las personas con base en su comportamiento social o características personales, que tengan como resultado un tratamiento perjudicial o desfavorable para dichas personas en contextos ajenos a aquellos en los que se generaron los datos.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III. Los sistemas de identificación biométrica remota "en tiempo real" en espacios de acceso público para fines de seguridad pública, salvo autorización judicial previa y en los casos de persecución de delitos graves, búsqueda de víctimas específicas o prevención de una amenaza específica, sustancial e inminente para la vida o la seguridad física.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Sistemas de IA de Alto Riesgo.</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174. Se considerarán de alto riesgo los Sistemas de IA que traten datos personales y se utilicen en los siguientes ámbitos: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Como componente de seguridad en infraestructuras críticas.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II. En la evaluación o calificación de personas para el acceso y permanencia en la educación, la formación profesional o el empleo.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III. En la evaluación de la solvencia de personas físicas o el establecimiento de su calificación crediticia.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IV. En la determinación del acceso, o la asignación, de servicios públicos esenciales, tanto públicos como privados, y de las prestaciones y servicios sociales.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V. Para el perfilamiento con fines de prevención, investigación o persecución de delitos, así como en la administración de justicia.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VI. En el ámbito de la salud, para diagnóstico, decisiones terapéuticas o gestión de servicios sanitarios, cuando la decisión pueda tener un impacto significativo en la vida o salud de la persona.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VII. En la gestión de procesos migratorios, de asilo y de control fronterizo. La autoridad garante, mediante lineamientos técnicos, podrá actualizar y precisar los supuestos de alto riesgo.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Sistemas de IA de Riesgo Limitado y Mínimo.</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175. Se consideran de riesgo limitado los Sistemas de IA que interactúan directamente con personas, como los </w:t>
      </w:r>
      <w:proofErr w:type="spellStart"/>
      <w:r w:rsidRPr="007A27A5">
        <w:rPr>
          <w:rFonts w:ascii="Times New Roman" w:eastAsia="Tahoma" w:hAnsi="Times New Roman" w:cs="Times New Roman"/>
          <w:b/>
          <w:sz w:val="24"/>
          <w:szCs w:val="24"/>
        </w:rPr>
        <w:t>chatbots</w:t>
      </w:r>
      <w:proofErr w:type="spellEnd"/>
      <w:r w:rsidRPr="007A27A5">
        <w:rPr>
          <w:rFonts w:ascii="Times New Roman" w:eastAsia="Tahoma" w:hAnsi="Times New Roman" w:cs="Times New Roman"/>
          <w:b/>
          <w:sz w:val="24"/>
          <w:szCs w:val="24"/>
        </w:rPr>
        <w:t xml:space="preserve"> o los sistemas de reconocimiento de emociones. Estos sistemas estarán sujetos a un deber reforzado de transparencia, debiendo informar a los usuarios que están interactuando con una IA.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Se consideran de riesgo mínimo aquellos sistemas no incluidos en las categorías anteriores, como los filtros de correo no deseado o los sistemas de optimización logística. Estos sistemas deberán cumplir con los principios generales de esta Ley, fomentándose la adopción de códigos de conducta voluntarios.</w:t>
      </w:r>
    </w:p>
    <w:p w:rsidR="002F0B70" w:rsidRPr="007A27A5" w:rsidRDefault="002F0B70" w:rsidP="002F0B70">
      <w:pPr>
        <w:spacing w:after="0" w:line="240" w:lineRule="auto"/>
        <w:jc w:val="center"/>
        <w:rPr>
          <w:rFonts w:ascii="Times New Roman" w:eastAsia="Tahoma" w:hAnsi="Times New Roman" w:cs="Times New Roman"/>
          <w:b/>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CAPÍTULO III</w:t>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Obligaciones para Sistemas de IA de Alto Riesgo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Sistema de Gestión de Riesgos.</w:t>
      </w: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Artículo 176. Los sujetos obligados que desarrollen o implementen Sistemas de IA de alto riesgo deberán establecer, implementar, documentar y mantener un sistema de gestión de riesgos a lo largo de todo el ciclo de vida del sistema.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Evaluación de Impacto en la Protección de Datos y Algorítmica (EIPD/EIA).</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177. Previo al desarrollo, contratación o implementación de cualquier Sistema de IA clasificado como de alto riesgo, el sujeto obligado deberá realizar y documentar una Evaluación de Impacto en la Protección de Datos y Algorítmica.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La EIPD/EIA deberá contener, como mínimo: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La descripción sistemática del tratamiento, sus finalidades y la base de licitud.</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Un análisis de la necesidad y proporcionalidad del tratamiento.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III. Una evaluación de los riesgos para los derechos y libertades de los titulares, incluyendo el riesgo de sesgo y discriminación, y el impacto en grupos en situación de vulnerabilidad.</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IV. Una descripción de la gobernanza de los datos de entrenamiento, validación y prueba, y las medidas adoptadas para garantizar su calidad, pertinencia y para mitigar sesgos. V. Las medidas previstas para afrontar los riesgos, incluidas garantías, medidas de seguridad, mecanismos de supervisión humana y el procedimiento para el ejercicio de los derechos de los titulares.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La autoridad garante emitirá los lineamientos técnicos para la elaboración de las EIPD/EIA.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Registro Estatal de Sistemas de Inteligencia Artificial.</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178. Se crea el Registro Estatal de Sistemas de Inteligencia Artificial, bajo la administración del Instituto.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Los sujetos obligados deberán inscribir en dicho Registro todos los Sistemas de IA de alto riesgo que utilicen, antes de su puesta en operación.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El Registro será público, gratuito y accesible en formato de datos abiertos. Contendrá, como mínimo, el nombre del sistema, el sujeto obligado responsable, una descripción de su finalidad, la categoría de alto riesgo y un resumen no técnico de la última EIPD/EIA realizada.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Documentación Técnica, Transparencia y Supervisión.</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179. Los sujetos obligados deberán mantener actualizada la documentación técnica del sistema de IA, incluyendo sus capacidades, limitaciones y la lógica de sus algoritmos.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Deberán garantizar mecanismos de supervisión humana efectiva que permitan monitorear el funcionamiento del sistema y, en su caso, intervenir o anular sus decisiones.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Deberán publicar en su portal de transparencia una ficha técnica por cada sistema de IA de alto riesgo, con lenguaje claro y sencillo, explicando su finalidad, el tipo de decisiones que toma y los derechos que asisten a los titulares.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CAPÍTULO IV</w:t>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Derechos de los Titulares frente a Decisiones Automatizadas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Derecho a no ser objeto de decisiones exclusivamente automatizadas. Artículo 180. El titular tendrá derecho a no ser objeto de una decisión basada única y exclusivamente en un tratamiento automatizado, incluida la elaboración de perfiles, que produzca efectos jurídicos en él o le afecte significativamente de modo similar.</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Derecho a la Intervención Humana y a Obtener una Explicación.</w:t>
      </w: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181. En los casos del artículo anterior, o cuando un sistema de IA de alto riesgo sea utilizado en la toma de una decisión que le afecte, el titular tendrá derecho 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Ser informado de que es objeto de una decisión de esta naturaleza.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Obtener una explicación clara, sencilla y significativa sobre la lógica utilizada por el Sistema de IA, así como de la importancia y las consecuencias previstas de dicho tratamiento.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III. Impugnar la decisión ante el sujeto obligado.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IV. Solicitar y obtener la intervención humana directa para revisar la decisión.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V. Expresar su punto de vista.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Derecho de Oposición al Perfilamiento y Rectificación de Inferencias. Artículo 182. El titular tendrá derecho a oponerse en cualquier momento, por motivos relacionados con su situación particular, a que los datos personales que le conciernan sean objeto de un tratamiento basado en el perfilamiento.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El titular tendrá derecho a solicitar la rectificación de datos personales inferidos por un sistema de IA cuando estos sean inexactos o incorrectos.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b/>
          <w:sz w:val="24"/>
          <w:szCs w:val="24"/>
        </w:rPr>
      </w:pPr>
      <w:r w:rsidRPr="007A27A5">
        <w:rPr>
          <w:rFonts w:ascii="Times New Roman" w:eastAsia="Tahoma" w:hAnsi="Times New Roman" w:cs="Times New Roman"/>
          <w:b/>
          <w:sz w:val="24"/>
          <w:szCs w:val="24"/>
        </w:rPr>
        <w:t>CAPÍTULO V</w:t>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Gobernanza y Supervisión</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Atribuciones del Instituto.</w:t>
      </w: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183. Corresponde al Instituto supervisar el cumplimiento de las disposiciones de este Título. Para ello, además de sus atribuciones generales, tendrá las siguientes:</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Administrar el Registro Estatal de Sistemas de IA.</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Emitir lineamientos y criterios técnicos para la elaboración de las EIPD/EIA.</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III. Ordenar la realización de auditorías algorítmicas a Sistemas de IA de Alto Riesgo, ya sea con personal propio o a través de terceros independientes.</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IV. Conocer y resolver los recursos de revisión relacionados con el ejercicio de los derechos previstos en este Título.</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V. Investigar y sancionar las infracciones a lo dispuesto en este Título.</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VI. Promover y gestionar un Sandbox regulatorio para la innovación responsable.</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Infracciones y Sanciones Específicas.</w:t>
      </w: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184. Se considerarán infracciones graves, además de las previstas en el artículo 165, las siguientes:</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 Implementar un Sistema de IA de los prohibidos en el artículo 173.</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 Omitir la realización de la EIPD/EIA para un Sistema de IA de Alto Riesgo.</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III. Proporcionar información falsa o engañosa en el Registro Estatal de Sistemas de IA.</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IV. Incumplir con la obligación de garantizar la supervisión humana significativa o el derecho a la explicación.</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V. No adoptar medidas suficientes para identificar y mitigar sesgos algorítmicos que resulten en discriminación.</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7F659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Las sanciones por estas infracciones se graduarán atendiendo a la naturaleza de los derechos vulnerados, el número de titulares afectados, la intencionalidad y la reincidencia, pudiendo llegar a la suspensión o retiro definitivo del sistema de IA.</w:t>
      </w:r>
    </w:p>
    <w:p w:rsidR="002F0B70" w:rsidRPr="007A27A5" w:rsidRDefault="002F0B70" w:rsidP="007F6590">
      <w:pPr>
        <w:spacing w:after="0" w:line="240" w:lineRule="auto"/>
        <w:jc w:val="both"/>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 xml:space="preserve">ARTÍCULO SEGUNDO. </w:t>
      </w:r>
      <w:r w:rsidRPr="007A27A5">
        <w:rPr>
          <w:rFonts w:ascii="Times New Roman" w:eastAsia="Tahoma" w:hAnsi="Times New Roman" w:cs="Times New Roman"/>
          <w:sz w:val="24"/>
          <w:szCs w:val="24"/>
        </w:rPr>
        <w:t xml:space="preserve">Se reforma la fracción III del artículo 214 y se adicionan fracciones XXXII Bis, XXXII Ter, XXXII </w:t>
      </w:r>
      <w:proofErr w:type="spellStart"/>
      <w:r w:rsidRPr="007A27A5">
        <w:rPr>
          <w:rFonts w:ascii="Times New Roman" w:eastAsia="Tahoma" w:hAnsi="Times New Roman" w:cs="Times New Roman"/>
          <w:sz w:val="24"/>
          <w:szCs w:val="24"/>
        </w:rPr>
        <w:t>Quáter</w:t>
      </w:r>
      <w:proofErr w:type="spellEnd"/>
      <w:r w:rsidRPr="007A27A5">
        <w:rPr>
          <w:rFonts w:ascii="Times New Roman" w:eastAsia="Tahoma" w:hAnsi="Times New Roman" w:cs="Times New Roman"/>
          <w:sz w:val="24"/>
          <w:szCs w:val="24"/>
        </w:rPr>
        <w:t xml:space="preserve">, XXXII Quinquies, XXXII </w:t>
      </w:r>
      <w:proofErr w:type="spellStart"/>
      <w:r w:rsidRPr="007A27A5">
        <w:rPr>
          <w:rFonts w:ascii="Times New Roman" w:eastAsia="Tahoma" w:hAnsi="Times New Roman" w:cs="Times New Roman"/>
          <w:sz w:val="24"/>
          <w:szCs w:val="24"/>
        </w:rPr>
        <w:t>Sexties</w:t>
      </w:r>
      <w:proofErr w:type="spellEnd"/>
      <w:r w:rsidRPr="007A27A5">
        <w:rPr>
          <w:rFonts w:ascii="Times New Roman" w:eastAsia="Tahoma" w:hAnsi="Times New Roman" w:cs="Times New Roman"/>
          <w:sz w:val="24"/>
          <w:szCs w:val="24"/>
        </w:rPr>
        <w:t xml:space="preserve">, XXXII </w:t>
      </w:r>
      <w:proofErr w:type="spellStart"/>
      <w:r w:rsidRPr="007A27A5">
        <w:rPr>
          <w:rFonts w:ascii="Times New Roman" w:eastAsia="Tahoma" w:hAnsi="Times New Roman" w:cs="Times New Roman"/>
          <w:sz w:val="24"/>
          <w:szCs w:val="24"/>
        </w:rPr>
        <w:t>Septies</w:t>
      </w:r>
      <w:proofErr w:type="spellEnd"/>
      <w:r w:rsidRPr="007A27A5">
        <w:rPr>
          <w:rFonts w:ascii="Times New Roman" w:eastAsia="Tahoma" w:hAnsi="Times New Roman" w:cs="Times New Roman"/>
          <w:sz w:val="24"/>
          <w:szCs w:val="24"/>
        </w:rPr>
        <w:t xml:space="preserve"> y XXXII </w:t>
      </w:r>
      <w:proofErr w:type="spellStart"/>
      <w:r w:rsidRPr="007A27A5">
        <w:rPr>
          <w:rFonts w:ascii="Times New Roman" w:eastAsia="Tahoma" w:hAnsi="Times New Roman" w:cs="Times New Roman"/>
          <w:sz w:val="24"/>
          <w:szCs w:val="24"/>
        </w:rPr>
        <w:t>Octies</w:t>
      </w:r>
      <w:proofErr w:type="spellEnd"/>
      <w:r w:rsidRPr="007A27A5">
        <w:rPr>
          <w:rFonts w:ascii="Times New Roman" w:eastAsia="Tahoma" w:hAnsi="Times New Roman" w:cs="Times New Roman"/>
          <w:sz w:val="24"/>
          <w:szCs w:val="24"/>
        </w:rPr>
        <w:t xml:space="preserve"> del artículo 3; las fracciones LIII, LIV y LV al artículo 92; un Capítulo V denominado "De las Obligaciones en Materia de Gobierno Digital y Uso de Inteligencia Artificial" al Título Quinto, recorriendo los capítulos subsecuentes, con los artículos 105 Bis y 105 Ter; el párrafo quinto del artículo 155; la fracción XV al artículo 179; un segundo párrafo a la fracción III del artículo 214, y las fracciones XXII, XXIII, XXIV y XXV al artículo 222, todos de la Ley de Transparencia y Acceso a la Información Pública del Estado de México y Municipios, para quedar como sigue:</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3.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sz w:val="24"/>
          <w:szCs w:val="24"/>
        </w:rPr>
        <w:t>I. a la XXXII. ...</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XXXII Bis. Decisión Automatizada: La que toma un sujeto obligado utilizando un sistema algorítmico, sin intervención humana directa en la resolución del caso concreto;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XXXII Ter. Evaluación de Impacto en la Protección de Datos Personales: Proceso a través del cual se analiza y mitiga el riesgo que un nuevo producto, servicio o sistema tecnológico que involucre el tratamiento de datos personales puede generar sobre la protección de los mismos;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XXXII </w:t>
      </w:r>
      <w:proofErr w:type="spellStart"/>
      <w:r w:rsidRPr="007A27A5">
        <w:rPr>
          <w:rFonts w:ascii="Times New Roman" w:eastAsia="Tahoma" w:hAnsi="Times New Roman" w:cs="Times New Roman"/>
          <w:b/>
          <w:sz w:val="24"/>
          <w:szCs w:val="24"/>
        </w:rPr>
        <w:t>Quáter</w:t>
      </w:r>
      <w:proofErr w:type="spellEnd"/>
      <w:r w:rsidRPr="007A27A5">
        <w:rPr>
          <w:rFonts w:ascii="Times New Roman" w:eastAsia="Tahoma" w:hAnsi="Times New Roman" w:cs="Times New Roman"/>
          <w:b/>
          <w:sz w:val="24"/>
          <w:szCs w:val="24"/>
        </w:rPr>
        <w:t>. Evaluación de Impacto en la Transparencia y Acceso a la Información: Proceso a través del cual se analiza y mitiga el riesgo que la implementación o adquisición de un sistema tecnológico, en particular un sistema algorítmico, puede generar sobre los principios de máxima publicidad y las obligaciones de transparencia y acceso a la información;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XXXII Quinquies. </w:t>
      </w:r>
      <w:proofErr w:type="spellStart"/>
      <w:r w:rsidRPr="007A27A5">
        <w:rPr>
          <w:rFonts w:ascii="Times New Roman" w:eastAsia="Tahoma" w:hAnsi="Times New Roman" w:cs="Times New Roman"/>
          <w:b/>
          <w:sz w:val="24"/>
          <w:szCs w:val="24"/>
        </w:rPr>
        <w:t>Explicabilidad</w:t>
      </w:r>
      <w:proofErr w:type="spellEnd"/>
      <w:r w:rsidRPr="007A27A5">
        <w:rPr>
          <w:rFonts w:ascii="Times New Roman" w:eastAsia="Tahoma" w:hAnsi="Times New Roman" w:cs="Times New Roman"/>
          <w:b/>
          <w:sz w:val="24"/>
          <w:szCs w:val="24"/>
        </w:rPr>
        <w:t>: La capacidad de proveer una justificación comprensible, en lenguaje claro y sencillo, sobre el funcionamiento, los datos utilizados y la lógica detrás de una decisión automatizada;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XXXII </w:t>
      </w:r>
      <w:proofErr w:type="spellStart"/>
      <w:r w:rsidRPr="007A27A5">
        <w:rPr>
          <w:rFonts w:ascii="Times New Roman" w:eastAsia="Tahoma" w:hAnsi="Times New Roman" w:cs="Times New Roman"/>
          <w:b/>
          <w:sz w:val="24"/>
          <w:szCs w:val="24"/>
        </w:rPr>
        <w:t>Sexties</w:t>
      </w:r>
      <w:proofErr w:type="spellEnd"/>
      <w:r w:rsidRPr="007A27A5">
        <w:rPr>
          <w:rFonts w:ascii="Times New Roman" w:eastAsia="Tahoma" w:hAnsi="Times New Roman" w:cs="Times New Roman"/>
          <w:b/>
          <w:sz w:val="24"/>
          <w:szCs w:val="24"/>
        </w:rPr>
        <w:t>. Gobierno Digital: El uso de las tecnologías de la información y la comunicación por parte de los sujetos obligados para mejorar la prestación de servicios, la participación ciudadana y la eficiencia de la gestión pública;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XXXII </w:t>
      </w:r>
      <w:proofErr w:type="spellStart"/>
      <w:r w:rsidRPr="007A27A5">
        <w:rPr>
          <w:rFonts w:ascii="Times New Roman" w:eastAsia="Tahoma" w:hAnsi="Times New Roman" w:cs="Times New Roman"/>
          <w:b/>
          <w:sz w:val="24"/>
          <w:szCs w:val="24"/>
        </w:rPr>
        <w:t>Septies</w:t>
      </w:r>
      <w:proofErr w:type="spellEnd"/>
      <w:r w:rsidRPr="007A27A5">
        <w:rPr>
          <w:rFonts w:ascii="Times New Roman" w:eastAsia="Tahoma" w:hAnsi="Times New Roman" w:cs="Times New Roman"/>
          <w:b/>
          <w:sz w:val="24"/>
          <w:szCs w:val="24"/>
        </w:rPr>
        <w:t>. Interoperabilidad: La capacidad de los sistemas de información y de los procedimientos a los que éstos dan soporte, de compartir datos y posibilitar el intercambio de información y conocimiento entre ellos;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XXXII </w:t>
      </w:r>
      <w:proofErr w:type="spellStart"/>
      <w:r w:rsidRPr="007A27A5">
        <w:rPr>
          <w:rFonts w:ascii="Times New Roman" w:eastAsia="Tahoma" w:hAnsi="Times New Roman" w:cs="Times New Roman"/>
          <w:b/>
          <w:sz w:val="24"/>
          <w:szCs w:val="24"/>
        </w:rPr>
        <w:t>Octies</w:t>
      </w:r>
      <w:proofErr w:type="spellEnd"/>
      <w:r w:rsidRPr="007A27A5">
        <w:rPr>
          <w:rFonts w:ascii="Times New Roman" w:eastAsia="Tahoma" w:hAnsi="Times New Roman" w:cs="Times New Roman"/>
          <w:b/>
          <w:sz w:val="24"/>
          <w:szCs w:val="24"/>
        </w:rPr>
        <w:t>. Sistema Algorítmico: Sistema tecnológico basado en modelos matemáticos y de programación que, a partir de un conjunto de datos, genera análisis, predicciones, recomendaciones o decisiones;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XXXIII. a la XLV. ...</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92.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ahoma" w:hAnsi="Times New Roman" w:cs="Times New Roman"/>
          <w:sz w:val="24"/>
          <w:szCs w:val="24"/>
        </w:rPr>
      </w:pPr>
    </w:p>
    <w:p w:rsidR="002F0B70" w:rsidRPr="007A27A5" w:rsidRDefault="002F0B70" w:rsidP="002F0B70">
      <w:pPr>
        <w:spacing w:after="0" w:line="240" w:lineRule="auto"/>
        <w:rPr>
          <w:rFonts w:ascii="Times New Roman" w:eastAsia="Times New Roman" w:hAnsi="Times New Roman" w:cs="Times New Roman"/>
          <w:sz w:val="24"/>
          <w:szCs w:val="24"/>
        </w:rPr>
      </w:pPr>
      <w:r w:rsidRPr="007A27A5">
        <w:rPr>
          <w:rFonts w:ascii="Times New Roman" w:eastAsia="Tahoma" w:hAnsi="Times New Roman" w:cs="Times New Roman"/>
          <w:sz w:val="24"/>
          <w:szCs w:val="24"/>
        </w:rPr>
        <w:t>I. a LII. ...</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LIII. El inventario de datos abiertos, con una descripción de los conjuntos de datos de alto valor que el sujeto obligado genera, administra o posee, calendarizando su publicación gradual y progresiva, incluyendo el acceso mediante Interfaces de Programación de Aplicaciones (</w:t>
      </w:r>
      <w:proofErr w:type="spellStart"/>
      <w:r w:rsidRPr="007A27A5">
        <w:rPr>
          <w:rFonts w:ascii="Times New Roman" w:eastAsia="Tahoma" w:hAnsi="Times New Roman" w:cs="Times New Roman"/>
          <w:b/>
          <w:sz w:val="24"/>
          <w:szCs w:val="24"/>
        </w:rPr>
        <w:t>APIs</w:t>
      </w:r>
      <w:proofErr w:type="spellEnd"/>
      <w:r w:rsidRPr="007A27A5">
        <w:rPr>
          <w:rFonts w:ascii="Times New Roman" w:eastAsia="Tahoma" w:hAnsi="Times New Roman" w:cs="Times New Roman"/>
          <w:b/>
          <w:sz w:val="24"/>
          <w:szCs w:val="24"/>
        </w:rPr>
        <w:t>), de conformidad con los lineamientos que emita el Instituto y el Sistema Nacional;</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LIV. El Registro Público de Sistemas Algorítmicos, que deberá contener, por cada sistema utilizado para la toma de decisiones automatizadas o como apoyo a la toma de decisiones, como mínimo: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 El nombre y finalidad del sistema algorítmico;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b) El área o unidad administrativa responsable de su desarrollo, implementación y supervisión;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c) Una descripción en lenguaje claro y sencillo de su funcionamiento, incluyendo las variables principales consideradas para la decisión y la lógica involucrada;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d) Las fuentes y tipos de datos utilizados para su entrenamiento y operación;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e) La versión pública de las evaluaciones de impacto en la protección de datos personales y en la transparencia; y</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f) El mecanismo para que una persona pueda solicitar la explicación de una decisión automatizada y, en su caso, la revisión por un servidor público habilitado.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LV. Los informes de las auditorías a los sistemas algorítmicos a que se refiere la fracción anterior, que deberán evaluar, como mínimo, su precisión, equidad, ausencia de sesgos discriminatorios y seguridad, en su versión pública.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sz w:val="24"/>
          <w:szCs w:val="24"/>
        </w:rPr>
        <w:t>TÍTULO QUINTO</w:t>
      </w:r>
    </w:p>
    <w:p w:rsidR="002F0B70" w:rsidRPr="007A27A5" w:rsidRDefault="002F0B70" w:rsidP="002F0B70">
      <w:pPr>
        <w:spacing w:after="0" w:line="240" w:lineRule="auto"/>
        <w:jc w:val="center"/>
        <w:rPr>
          <w:rFonts w:ascii="Times New Roman" w:eastAsia="Times New Roman" w:hAnsi="Times New Roman" w:cs="Times New Roman"/>
          <w:sz w:val="24"/>
          <w:szCs w:val="24"/>
        </w:rPr>
      </w:pPr>
      <w:r w:rsidRPr="007A27A5">
        <w:rPr>
          <w:rFonts w:ascii="Times New Roman" w:eastAsia="Tahoma" w:hAnsi="Times New Roman" w:cs="Times New Roman"/>
          <w:sz w:val="24"/>
          <w:szCs w:val="24"/>
        </w:rPr>
        <w:t>DE LAS OBLIGACIONES DE TRANSPARENCIA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Capítulo VI</w:t>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De las Obligaciones en Materia de Gobierno Digital y Uso de Inteligencia</w:t>
      </w: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t>Artificial</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Artículo 105 Bis. Los sujetos obligados que adquieran, desarrollen o implementen sistemas algorítmicos para la toma de decisiones automatizadas, deberán realizar, previo a su implementación, una Evaluación de Impacto en la Transparencia y Acceso a la Información, y, cuando corresponda, una Evaluación de Impacto en la Protección de Datos Personales, de conformidad con la ley de la materia y los lineamientos que emita el Instituto.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105 Ter. Toda decisión automatizada que afecte la esfera jurídica de una persona deberá ser </w:t>
      </w:r>
      <w:proofErr w:type="spellStart"/>
      <w:r w:rsidRPr="007A27A5">
        <w:rPr>
          <w:rFonts w:ascii="Times New Roman" w:eastAsia="Tahoma" w:hAnsi="Times New Roman" w:cs="Times New Roman"/>
          <w:b/>
          <w:sz w:val="24"/>
          <w:szCs w:val="24"/>
        </w:rPr>
        <w:t>notificable</w:t>
      </w:r>
      <w:proofErr w:type="spellEnd"/>
      <w:r w:rsidRPr="007A27A5">
        <w:rPr>
          <w:rFonts w:ascii="Times New Roman" w:eastAsia="Tahoma" w:hAnsi="Times New Roman" w:cs="Times New Roman"/>
          <w:b/>
          <w:sz w:val="24"/>
          <w:szCs w:val="24"/>
        </w:rPr>
        <w:t xml:space="preserve">, e incluir en dicha notificación el derecho de la persona a conocer los motivos de la decisión, la lógica e información involucradas, así como el derecho a solicitar la </w:t>
      </w:r>
      <w:r w:rsidRPr="007A27A5">
        <w:rPr>
          <w:rFonts w:ascii="Times New Roman" w:eastAsia="Tahoma" w:hAnsi="Times New Roman" w:cs="Times New Roman"/>
          <w:b/>
          <w:sz w:val="24"/>
          <w:szCs w:val="24"/>
        </w:rPr>
        <w:lastRenderedPageBreak/>
        <w:t>revisión de la misma por un servidor público con competencia para rectificarla. El sujeto obligado deberá garantizar un procedimiento sencillo y expedito para este fin.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155.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ahoma"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sz w:val="24"/>
          <w:szCs w:val="24"/>
        </w:rPr>
        <w:t>I. a V. ...</w:t>
      </w:r>
    </w:p>
    <w:p w:rsidR="002F0B70" w:rsidRPr="007A27A5" w:rsidRDefault="002F0B70" w:rsidP="002F0B70">
      <w:pPr>
        <w:spacing w:after="0" w:line="240" w:lineRule="auto"/>
        <w:jc w:val="both"/>
        <w:rPr>
          <w:rFonts w:ascii="Times New Roman" w:eastAsia="Tahoma"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Los sujetos obligados deberán garantizar que los formatos de solicitud y los sistemas electrónicos cumplan con los estándares de accesibilidad universal y usabilidad, de conformidad con las normas técnicas aplicables a nivel nacional e internacional. Deberán promover el uso de lenguaje claro y, cuando se identifique una demanda recurrente, ofrecerán versiones en las lenguas indígenas preponderantes en el municipio o región.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179.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ahoma" w:hAnsi="Times New Roman" w:cs="Times New Roman"/>
          <w:sz w:val="24"/>
          <w:szCs w:val="24"/>
        </w:rPr>
      </w:pPr>
    </w:p>
    <w:p w:rsidR="002F0B70" w:rsidRPr="007A27A5" w:rsidRDefault="002F0B70" w:rsidP="002F0B70">
      <w:pPr>
        <w:spacing w:after="0" w:line="240" w:lineRule="auto"/>
        <w:rPr>
          <w:rFonts w:ascii="Times New Roman" w:eastAsia="Times New Roman" w:hAnsi="Times New Roman" w:cs="Times New Roman"/>
          <w:sz w:val="24"/>
          <w:szCs w:val="24"/>
        </w:rPr>
      </w:pPr>
      <w:r w:rsidRPr="007A27A5">
        <w:rPr>
          <w:rFonts w:ascii="Times New Roman" w:eastAsia="Tahoma" w:hAnsi="Times New Roman" w:cs="Times New Roman"/>
          <w:sz w:val="24"/>
          <w:szCs w:val="24"/>
        </w:rPr>
        <w:t>I. a XIV. ...</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XV. La negativa o insuficiencia en la explicación de una decisión automatizada, o la falta de un procedimiento para la revisión humana de la misma.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214.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ahoma"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sz w:val="24"/>
          <w:szCs w:val="24"/>
        </w:rPr>
        <w:t>I. y II. ...</w:t>
      </w:r>
    </w:p>
    <w:p w:rsidR="002F0B70" w:rsidRPr="007A27A5" w:rsidRDefault="002F0B70" w:rsidP="002F0B70">
      <w:pPr>
        <w:spacing w:after="0" w:line="240" w:lineRule="auto"/>
        <w:jc w:val="both"/>
        <w:rPr>
          <w:rFonts w:ascii="Times New Roman" w:eastAsia="Tahoma" w:hAnsi="Times New Roman" w:cs="Times New Roman"/>
          <w:b/>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III. </w:t>
      </w:r>
      <w:r w:rsidRPr="007A27A5">
        <w:rPr>
          <w:rFonts w:ascii="Times New Roman" w:eastAsia="Tahoma" w:hAnsi="Times New Roman" w:cs="Times New Roman"/>
          <w:sz w:val="24"/>
          <w:szCs w:val="24"/>
        </w:rPr>
        <w:t xml:space="preserve">Multa, de </w:t>
      </w:r>
      <w:r w:rsidRPr="007A27A5">
        <w:rPr>
          <w:rFonts w:ascii="Times New Roman" w:eastAsia="Tahoma" w:hAnsi="Times New Roman" w:cs="Times New Roman"/>
          <w:b/>
          <w:sz w:val="24"/>
          <w:szCs w:val="24"/>
        </w:rPr>
        <w:t xml:space="preserve">doscientas </w:t>
      </w:r>
      <w:r w:rsidRPr="007A27A5">
        <w:rPr>
          <w:rFonts w:ascii="Times New Roman" w:eastAsia="Tahoma" w:hAnsi="Times New Roman" w:cs="Times New Roman"/>
          <w:sz w:val="24"/>
          <w:szCs w:val="24"/>
        </w:rPr>
        <w:t xml:space="preserve">hasta </w:t>
      </w:r>
      <w:r w:rsidRPr="007A27A5">
        <w:rPr>
          <w:rFonts w:ascii="Times New Roman" w:eastAsia="Tahoma" w:hAnsi="Times New Roman" w:cs="Times New Roman"/>
          <w:b/>
          <w:sz w:val="24"/>
          <w:szCs w:val="24"/>
        </w:rPr>
        <w:t xml:space="preserve">dos mil </w:t>
      </w:r>
      <w:r w:rsidRPr="007A27A5">
        <w:rPr>
          <w:rFonts w:ascii="Times New Roman" w:eastAsia="Tahoma" w:hAnsi="Times New Roman" w:cs="Times New Roman"/>
          <w:sz w:val="24"/>
          <w:szCs w:val="24"/>
        </w:rPr>
        <w:t>veces la UMA.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Tratándose de las causas de responsabilidad previstas en las fracciones XXII, XXIII y XXIV del artículo 222, la multa no podrá ser inferior a mil veces la UMA. El Instituto podrá, además, ordenar la suspensión temporal del uso del sistema algorítmico en tanto no se subsane la omisión.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Artículo 222. </w:t>
      </w:r>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ahoma" w:hAnsi="Times New Roman" w:cs="Times New Roman"/>
          <w:sz w:val="24"/>
          <w:szCs w:val="24"/>
        </w:rPr>
      </w:pPr>
    </w:p>
    <w:p w:rsidR="002F0B70" w:rsidRPr="007A27A5" w:rsidRDefault="002F0B70" w:rsidP="002F0B70">
      <w:pPr>
        <w:spacing w:after="0" w:line="240" w:lineRule="auto"/>
        <w:rPr>
          <w:rFonts w:ascii="Times New Roman" w:eastAsia="Tahoma" w:hAnsi="Times New Roman" w:cs="Times New Roman"/>
          <w:sz w:val="24"/>
          <w:szCs w:val="24"/>
        </w:rPr>
      </w:pPr>
      <w:r w:rsidRPr="007A27A5">
        <w:rPr>
          <w:rFonts w:ascii="Times New Roman" w:eastAsia="Tahoma" w:hAnsi="Times New Roman" w:cs="Times New Roman"/>
          <w:sz w:val="24"/>
          <w:szCs w:val="24"/>
        </w:rPr>
        <w:t>I. a XXI. ...</w:t>
      </w:r>
    </w:p>
    <w:p w:rsidR="002F0B70" w:rsidRPr="007A27A5" w:rsidRDefault="002F0B70" w:rsidP="002F0B70">
      <w:pPr>
        <w:spacing w:after="0" w:line="240" w:lineRule="auto"/>
        <w:jc w:val="both"/>
        <w:rPr>
          <w:rFonts w:ascii="Times New Roman" w:eastAsia="Tahoma" w:hAnsi="Times New Roman" w:cs="Times New Roman"/>
          <w:b/>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XXII. Omitir la inscripción de un sistema algorítmico en el Registro Público correspondiente o inscribirlo con información falsa o incompleta;</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XXIII. No realizar las evaluaciones de impacto a que se refiere esta Ley antes de implementar un sistema algorítmico;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XXIV. Omitir la notificación de una decisión automatizada o negar el derecho a su explicación y revisión humana; y</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XXV. Incumplir las obligaciones en materia de datos abiertos y accesibilidad digital establecidas en la presente Ley.</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center"/>
        <w:rPr>
          <w:rFonts w:ascii="Times New Roman" w:eastAsia="Tahoma" w:hAnsi="Times New Roman" w:cs="Times New Roman"/>
          <w:sz w:val="24"/>
          <w:szCs w:val="24"/>
        </w:rPr>
      </w:pPr>
      <w:r w:rsidRPr="007A27A5">
        <w:rPr>
          <w:rFonts w:ascii="Times New Roman" w:eastAsia="Tahoma" w:hAnsi="Times New Roman" w:cs="Times New Roman"/>
          <w:b/>
          <w:sz w:val="24"/>
          <w:szCs w:val="24"/>
        </w:rPr>
        <w:lastRenderedPageBreak/>
        <w:t>TRANSITORIOS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PRIMERO. </w:t>
      </w:r>
      <w:r w:rsidRPr="007A27A5">
        <w:rPr>
          <w:rFonts w:ascii="Times New Roman" w:eastAsia="Tahoma" w:hAnsi="Times New Roman" w:cs="Times New Roman"/>
          <w:sz w:val="24"/>
          <w:szCs w:val="24"/>
        </w:rPr>
        <w:t>Publíquese el presente decreto en el Periódico Oficial “Gaceta del Gobierno”.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 xml:space="preserve">SEGUNDO. </w:t>
      </w:r>
      <w:r w:rsidRPr="007A27A5">
        <w:rPr>
          <w:rFonts w:ascii="Times New Roman" w:eastAsia="Tahoma" w:hAnsi="Times New Roman" w:cs="Times New Roman"/>
          <w:sz w:val="24"/>
          <w:szCs w:val="24"/>
        </w:rPr>
        <w:t>El presente decreto entrará en vigor al día siguiente de su publicación en el Periódico Oficial “Gaceta del Gobierno”.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TERCERO. </w:t>
      </w:r>
      <w:r w:rsidRPr="007A27A5">
        <w:rPr>
          <w:rFonts w:ascii="Times New Roman" w:eastAsia="Tahoma" w:hAnsi="Times New Roman" w:cs="Times New Roman"/>
          <w:sz w:val="24"/>
          <w:szCs w:val="24"/>
        </w:rPr>
        <w:t>Se derogan las disposiciones de igual o menor jerarquía que se opongan al presente decreto, perdiendo vigor al momento de esta publicación.</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CUARTO. </w:t>
      </w:r>
      <w:r w:rsidRPr="007A27A5">
        <w:rPr>
          <w:rFonts w:ascii="Times New Roman" w:eastAsia="Tahoma" w:hAnsi="Times New Roman" w:cs="Times New Roman"/>
          <w:sz w:val="24"/>
          <w:szCs w:val="24"/>
        </w:rPr>
        <w:t>La autoridad competente en materia de protección de datos personales tendrá un plazo máximo de un año para expedir los lineamientos técnicos necesarios para la operación del Registro Estatal de Sistemas de IA, la elaboración de las Evaluaciones de Impacto (EIPD/EIA) y la realización de auditorías algorítmicas.</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QUINTO. </w:t>
      </w:r>
      <w:r w:rsidRPr="007A27A5">
        <w:rPr>
          <w:rFonts w:ascii="Times New Roman" w:eastAsia="Tahoma" w:hAnsi="Times New Roman" w:cs="Times New Roman"/>
          <w:sz w:val="24"/>
          <w:szCs w:val="24"/>
        </w:rPr>
        <w:t>Los sujetos obligados que ya se encuentren utilizando Sistemas de Inteligencia Artificial de Alto Riesgo al momento de la entrada en vigor de la reforma, contarán con un plazo de 18 meses para realizar y presentar las EIPD/EIA correspondientes y para inscribir dichos sistemas en el nuevo Registro Estatal.</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SEXTO. </w:t>
      </w:r>
      <w:r w:rsidRPr="007A27A5">
        <w:rPr>
          <w:rFonts w:ascii="Times New Roman" w:eastAsia="Tahoma" w:hAnsi="Times New Roman" w:cs="Times New Roman"/>
          <w:sz w:val="24"/>
          <w:szCs w:val="24"/>
        </w:rPr>
        <w:t xml:space="preserve">La autoridad garante en materia de transparencia deberá expedir o modificar los lineamientos necesarios para el cumplimiento de las obligaciones previstas en el presente Decreto, en un plazo no mayor a ciento ochenta días hábiles contados a partir de su entrada en vigor, incluyendo, como mínimo, los relativos a: a) El funcionamiento del Registro Público de Sistemas Algorítmicos. b) La metodología para la realización de las Evaluaciones de Impacto en la Transparencia y Acceso a la Información. c) Los criterios para la identificación y publicación de datos de alto valor y el uso de </w:t>
      </w:r>
      <w:proofErr w:type="spellStart"/>
      <w:r w:rsidRPr="007A27A5">
        <w:rPr>
          <w:rFonts w:ascii="Times New Roman" w:eastAsia="Tahoma" w:hAnsi="Times New Roman" w:cs="Times New Roman"/>
          <w:sz w:val="24"/>
          <w:szCs w:val="24"/>
        </w:rPr>
        <w:t>APIs</w:t>
      </w:r>
      <w:proofErr w:type="spellEnd"/>
      <w:r w:rsidRPr="007A27A5">
        <w:rPr>
          <w:rFonts w:ascii="Times New Roman" w:eastAsia="Tahoma" w:hAnsi="Times New Roman" w:cs="Times New Roman"/>
          <w:sz w:val="24"/>
          <w:szCs w:val="24"/>
        </w:rPr>
        <w:t>.</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SÉPTIMO. </w:t>
      </w:r>
      <w:r w:rsidRPr="007A27A5">
        <w:rPr>
          <w:rFonts w:ascii="Times New Roman" w:eastAsia="Tahoma" w:hAnsi="Times New Roman" w:cs="Times New Roman"/>
          <w:sz w:val="24"/>
          <w:szCs w:val="24"/>
        </w:rPr>
        <w:t>Los sujetos obligados contarán con un plazo de hasta un año, contado a partir de la entrada en vigor del presente Decreto, para adecuar sus portales de internet y sistemas tecnológicos a las nuevas obligaciones de accesibilidad, datos abiertos y transparencia algorítmica. El Registro Público de Sistemas Algorítmicos deberá estar publicado a más tardar en dicho plazo.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7A27A5" w:rsidRDefault="002F0B70" w:rsidP="002F0B70">
      <w:pPr>
        <w:spacing w:after="0" w:line="240" w:lineRule="auto"/>
        <w:jc w:val="both"/>
        <w:rPr>
          <w:rFonts w:ascii="Times New Roman" w:eastAsia="Tahoma" w:hAnsi="Times New Roman" w:cs="Times New Roman"/>
          <w:sz w:val="24"/>
          <w:szCs w:val="24"/>
        </w:rPr>
      </w:pPr>
      <w:r w:rsidRPr="007A27A5">
        <w:rPr>
          <w:rFonts w:ascii="Times New Roman" w:eastAsia="Tahoma" w:hAnsi="Times New Roman" w:cs="Times New Roman"/>
          <w:b/>
          <w:sz w:val="24"/>
          <w:szCs w:val="24"/>
        </w:rPr>
        <w:t xml:space="preserve">OCTAVO. </w:t>
      </w:r>
      <w:r w:rsidRPr="007A27A5">
        <w:rPr>
          <w:rFonts w:ascii="Times New Roman" w:eastAsia="Tahoma" w:hAnsi="Times New Roman" w:cs="Times New Roman"/>
          <w:sz w:val="24"/>
          <w:szCs w:val="24"/>
        </w:rPr>
        <w:t>La autoridad garante, en coordinación con los sujetos obligados, deberá diseñar e implementar un programa de capacitación integral y permanente dirigido a los servidores públicos sobre las nuevas disposiciones en materia de gobierno digital, transparencia algorítmica y datos abiertos, el cual deberá iniciar dentro de los noventa días hábiles siguientes a la entrada en vigor de este Decreto.</w:t>
      </w:r>
    </w:p>
    <w:p w:rsidR="002F0B70" w:rsidRPr="007A27A5" w:rsidRDefault="002F0B70" w:rsidP="002F0B70">
      <w:pPr>
        <w:spacing w:after="0" w:line="240" w:lineRule="auto"/>
        <w:rPr>
          <w:rFonts w:ascii="Times New Roman" w:eastAsia="Times New Roman" w:hAnsi="Times New Roman" w:cs="Times New Roman"/>
          <w:sz w:val="24"/>
          <w:szCs w:val="24"/>
        </w:rPr>
      </w:pPr>
    </w:p>
    <w:p w:rsidR="002F0B70" w:rsidRPr="00880BBE" w:rsidRDefault="002F0B70" w:rsidP="002F0B70">
      <w:pPr>
        <w:spacing w:after="0" w:line="240" w:lineRule="auto"/>
        <w:jc w:val="both"/>
        <w:rPr>
          <w:rFonts w:ascii="Times New Roman" w:eastAsia="Times New Roman" w:hAnsi="Times New Roman" w:cs="Times New Roman"/>
          <w:sz w:val="24"/>
          <w:szCs w:val="24"/>
        </w:rPr>
      </w:pPr>
      <w:r w:rsidRPr="007A27A5">
        <w:rPr>
          <w:rFonts w:ascii="Times New Roman" w:eastAsia="Tahoma" w:hAnsi="Times New Roman" w:cs="Times New Roman"/>
          <w:b/>
          <w:sz w:val="24"/>
          <w:szCs w:val="24"/>
        </w:rPr>
        <w:t xml:space="preserve">Lo tendrá entendido la Gobernadora del </w:t>
      </w:r>
      <w:r w:rsidRPr="00880BBE">
        <w:rPr>
          <w:rFonts w:ascii="Times New Roman" w:eastAsia="Tahoma" w:hAnsi="Times New Roman" w:cs="Times New Roman"/>
          <w:b/>
          <w:sz w:val="24"/>
          <w:szCs w:val="24"/>
        </w:rPr>
        <w:t>Estado, haciendo que se publique y se cumpla.</w:t>
      </w:r>
    </w:p>
    <w:p w:rsidR="002F0B70" w:rsidRPr="00880BBE" w:rsidRDefault="002F0B70" w:rsidP="002F0B70">
      <w:pPr>
        <w:spacing w:after="0" w:line="240" w:lineRule="auto"/>
        <w:rPr>
          <w:rFonts w:ascii="Times New Roman" w:eastAsia="Times New Roman" w:hAnsi="Times New Roman" w:cs="Times New Roman"/>
          <w:sz w:val="24"/>
          <w:szCs w:val="24"/>
        </w:rPr>
      </w:pPr>
    </w:p>
    <w:p w:rsidR="002F0B70" w:rsidRPr="00880BBE" w:rsidRDefault="002F0B70" w:rsidP="002F0B70">
      <w:pPr>
        <w:spacing w:after="0" w:line="240" w:lineRule="auto"/>
        <w:jc w:val="both"/>
        <w:rPr>
          <w:rFonts w:ascii="Times New Roman" w:eastAsia="Tahoma" w:hAnsi="Times New Roman" w:cs="Times New Roman"/>
          <w:sz w:val="24"/>
          <w:szCs w:val="24"/>
        </w:rPr>
      </w:pPr>
      <w:r w:rsidRPr="00880BBE">
        <w:rPr>
          <w:rFonts w:ascii="Times New Roman" w:eastAsia="Tahoma" w:hAnsi="Times New Roman" w:cs="Times New Roman"/>
          <w:b/>
          <w:sz w:val="24"/>
          <w:szCs w:val="24"/>
        </w:rPr>
        <w:t xml:space="preserve">“DADO EN EL PALACIO DEL PODER LEGISLATIVO, EN LA CIUDAD DE TOLUCA DE LERDO, CAPITAL DEL ESTADO DE MÉXICO, A LOS </w:t>
      </w:r>
      <w:r w:rsidRPr="00880BBE">
        <w:rPr>
          <w:rFonts w:ascii="Times New Roman" w:eastAsia="Times New Roman" w:hAnsi="Times New Roman" w:cs="Times New Roman"/>
          <w:sz w:val="24"/>
          <w:szCs w:val="24"/>
          <w:u w:val="thick" w:color="000000"/>
        </w:rPr>
        <w:t xml:space="preserve"> </w:t>
      </w:r>
      <w:r w:rsidRPr="00880BBE">
        <w:rPr>
          <w:rFonts w:ascii="Times New Roman" w:eastAsia="Times New Roman" w:hAnsi="Times New Roman" w:cs="Times New Roman"/>
          <w:sz w:val="24"/>
          <w:szCs w:val="24"/>
          <w:u w:val="thick" w:color="000000"/>
        </w:rPr>
        <w:tab/>
      </w:r>
      <w:r w:rsidRPr="00880BBE">
        <w:rPr>
          <w:rFonts w:ascii="Times New Roman" w:eastAsia="Times New Roman" w:hAnsi="Times New Roman" w:cs="Times New Roman"/>
          <w:sz w:val="24"/>
          <w:szCs w:val="24"/>
        </w:rPr>
        <w:t xml:space="preserve"> </w:t>
      </w:r>
      <w:r w:rsidRPr="00880BBE">
        <w:rPr>
          <w:rFonts w:ascii="Times New Roman" w:eastAsia="Tahoma" w:hAnsi="Times New Roman" w:cs="Times New Roman"/>
          <w:b/>
          <w:sz w:val="24"/>
          <w:szCs w:val="24"/>
        </w:rPr>
        <w:t xml:space="preserve">DÍAS DEL MES DE </w:t>
      </w:r>
      <w:r w:rsidRPr="00880BBE">
        <w:rPr>
          <w:rFonts w:ascii="Times New Roman" w:eastAsia="Tahoma" w:hAnsi="Times New Roman" w:cs="Times New Roman"/>
          <w:b/>
          <w:sz w:val="24"/>
          <w:szCs w:val="24"/>
        </w:rPr>
        <w:tab/>
      </w:r>
      <w:r w:rsidRPr="00880BBE">
        <w:rPr>
          <w:rFonts w:ascii="Times New Roman" w:eastAsia="Tahoma" w:hAnsi="Times New Roman" w:cs="Times New Roman"/>
          <w:b/>
          <w:sz w:val="24"/>
          <w:szCs w:val="24"/>
        </w:rPr>
        <w:tab/>
      </w:r>
      <w:r w:rsidRPr="00880BBE">
        <w:rPr>
          <w:rFonts w:ascii="Times New Roman" w:eastAsia="Times New Roman" w:hAnsi="Times New Roman" w:cs="Times New Roman"/>
          <w:sz w:val="24"/>
          <w:szCs w:val="24"/>
        </w:rPr>
        <w:t xml:space="preserve"> </w:t>
      </w:r>
      <w:r w:rsidRPr="00880BBE">
        <w:rPr>
          <w:rFonts w:ascii="Times New Roman" w:eastAsia="Tahoma" w:hAnsi="Times New Roman" w:cs="Times New Roman"/>
          <w:b/>
          <w:sz w:val="24"/>
          <w:szCs w:val="24"/>
        </w:rPr>
        <w:t>DE DOS MIL VEINTICINCO.”</w:t>
      </w:r>
    </w:p>
    <w:p w:rsidR="00F2139C" w:rsidRPr="00880BBE" w:rsidRDefault="00F2139C" w:rsidP="00B822CD">
      <w:pPr>
        <w:spacing w:after="0" w:line="240" w:lineRule="auto"/>
        <w:jc w:val="center"/>
        <w:rPr>
          <w:rFonts w:ascii="Times New Roman" w:hAnsi="Times New Roman"/>
          <w:sz w:val="24"/>
          <w:szCs w:val="24"/>
        </w:rPr>
      </w:pPr>
    </w:p>
    <w:p w:rsidR="00F2139C" w:rsidRPr="00880BBE" w:rsidRDefault="00F2139C" w:rsidP="00B822CD">
      <w:pPr>
        <w:spacing w:after="0" w:line="240" w:lineRule="auto"/>
        <w:jc w:val="center"/>
        <w:rPr>
          <w:rFonts w:ascii="Times New Roman" w:hAnsi="Times New Roman"/>
          <w:i/>
          <w:sz w:val="24"/>
          <w:szCs w:val="24"/>
        </w:rPr>
      </w:pPr>
      <w:r w:rsidRPr="00880BBE">
        <w:rPr>
          <w:rFonts w:ascii="Times New Roman" w:hAnsi="Times New Roman"/>
          <w:i/>
          <w:sz w:val="24"/>
          <w:szCs w:val="24"/>
        </w:rPr>
        <w:t>(Fin del documento)</w:t>
      </w:r>
    </w:p>
    <w:p w:rsidR="00F2139C" w:rsidRPr="00880BBE" w:rsidRDefault="00F2139C" w:rsidP="00B822CD">
      <w:pPr>
        <w:spacing w:after="0" w:line="240" w:lineRule="auto"/>
        <w:jc w:val="center"/>
        <w:rPr>
          <w:rFonts w:ascii="Times New Roman" w:hAnsi="Times New Roman"/>
          <w:sz w:val="24"/>
          <w:szCs w:val="24"/>
        </w:rPr>
      </w:pP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PRESIDENTA DIP. MARTHA AZUCENA CAMACHO REYNOSO. Gracias diputado Anuar Roberto Azar Figueroa.</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lastRenderedPageBreak/>
        <w:tab/>
        <w:t>Se registra la iniciativa y se remite a la Comisión Legislativa de Transparencia, Acceso a la Información Pública y Protección de Datos Personales y a la Comisión Especial de Innovación, Gobierno Digital e Inteligencia Artificial, para su estudio y dictamen.</w:t>
      </w:r>
    </w:p>
    <w:p w:rsidR="000C639D" w:rsidRPr="00880BBE" w:rsidRDefault="000C639D" w:rsidP="000C639D">
      <w:pPr>
        <w:spacing w:after="0" w:line="240" w:lineRule="auto"/>
        <w:jc w:val="both"/>
        <w:rPr>
          <w:rFonts w:ascii="Times New Roman" w:hAnsi="Times New Roman" w:cs="Times New Roman"/>
          <w:sz w:val="24"/>
          <w:szCs w:val="24"/>
        </w:rPr>
      </w:pPr>
      <w:r w:rsidRPr="00880BBE">
        <w:rPr>
          <w:rFonts w:ascii="Times New Roman" w:hAnsi="Times New Roman" w:cs="Times New Roman"/>
          <w:sz w:val="24"/>
          <w:szCs w:val="24"/>
        </w:rPr>
        <w:tab/>
        <w:t>En cuanto al punto 19, la diputada Emma Laura Alvarez Villavicencio leerá la iniciativa de reforma con la que se adicionan los artículos 242 fracción VI, 269 fracción I, 269 Bis párrafo primero, 270 Bis fracción V, 274 fracción IX del Código Penal del Estado de México, con el objetivo de incluir la conducta del acecho como circunstancia agravante, presentada por la diputada Emma Lara Alvarez Villavicencio y el diputado Pablo Fernández de Cevallos González, en nombre del Grupo Parlamentario del Partido Acción Nacional.</w:t>
      </w:r>
    </w:p>
    <w:p w:rsidR="000C639D" w:rsidRPr="00880BBE" w:rsidRDefault="000C639D" w:rsidP="000C639D">
      <w:pPr>
        <w:pStyle w:val="Sinespaciado"/>
      </w:pPr>
      <w:r w:rsidRPr="00880BBE">
        <w:t>DIP. EMMA LAURA ALVAREZ VILLAVICENCIO. Con su venia Presidenta.</w:t>
      </w:r>
    </w:p>
    <w:p w:rsidR="000C639D" w:rsidRPr="00880BBE" w:rsidRDefault="000C639D" w:rsidP="001A0564">
      <w:pPr>
        <w:pStyle w:val="Sinespaciado"/>
        <w:ind w:firstLine="709"/>
      </w:pPr>
      <w:r w:rsidRPr="00880BBE">
        <w:t>Compañeras y compañeros legisladores, hablar del acecho es hablar de miedo, de vigilancia constante, de mensajes que nunca se detienen, de pasos que se escuchan detrás de nosotros, de perfiles falsos que siguen cada movimiento que hacemos, de rutas vigiladas, de amenazas veladas, es hablar de esa sensación que roba la tranquilidad más elemental, poder salir de casa sin temor y con la seguridad de poder regresar y hoy Acción Nacional viene a esta tribuna a decir algo con claridad, esta forma de violencia previa no puede seguir minimizándose, no puede seguir tratándose como un simple antecedente, debe reconocerse como lo que es, una señal de alto riesgo y un predictor de delitos graves, las cifras oficiales no mienten.</w:t>
      </w:r>
    </w:p>
    <w:p w:rsidR="000C639D" w:rsidRPr="00880BBE" w:rsidRDefault="000C639D" w:rsidP="001A0564">
      <w:pPr>
        <w:pStyle w:val="Sinespaciado"/>
        <w:ind w:firstLine="709"/>
      </w:pPr>
      <w:r w:rsidRPr="00880BBE">
        <w:t>El INEGI en el año 2023 reportó que 18.4 millones de personas usuarias de Internet fueron víctimas de acoso digital, es decir, una de cada 5 personas en nuestro país experimentó una conducta que forma parte del fenómeno del acecho.</w:t>
      </w:r>
    </w:p>
    <w:p w:rsidR="000C639D" w:rsidRPr="00880BBE" w:rsidRDefault="000C639D" w:rsidP="001A0564">
      <w:pPr>
        <w:pStyle w:val="Sinespaciado"/>
        <w:ind w:firstLine="709"/>
      </w:pPr>
      <w:r w:rsidRPr="00880BBE">
        <w:t>A nivel nacional, el Centro de Estudios Sociales y de Opinión Público, señaló que casi 300 mil personas en el Estado de México han sido víctimas de intimidación o acecho y esta cifra nos coloca en el primer lugar nacional; primer lugar de un delito que no debería de existir.</w:t>
      </w:r>
    </w:p>
    <w:p w:rsidR="000C639D" w:rsidRPr="00880BBE" w:rsidRDefault="000C639D" w:rsidP="001A0564">
      <w:pPr>
        <w:pStyle w:val="Sinespaciado"/>
        <w:ind w:firstLine="709"/>
      </w:pPr>
      <w:r w:rsidRPr="00880BBE">
        <w:t xml:space="preserve">El Observatorio Nacional de Feminicidios en el año 2023 advierte que en 76% de los feminicidios cometidos en pareja existe un patrón previo de acecho, amenazas o vigilancias persistentes, es decir, más de 3 cuartas partes de estos crímenes pudieron haberse advertido desde antes de cometerse y el Centro de Investigación y Política Social del Gobierno del Estado de México encontró que cada uno de 2 mujeres que denuncian violencia en sus relaciones de pareja reportan haber sido acechadas constantemente por su agresor. </w:t>
      </w:r>
    </w:p>
    <w:p w:rsidR="000C639D" w:rsidRPr="00880BBE" w:rsidRDefault="000C639D" w:rsidP="001A0564">
      <w:pPr>
        <w:pStyle w:val="Sinespaciado"/>
        <w:ind w:firstLine="709"/>
      </w:pPr>
      <w:r w:rsidRPr="00880BBE">
        <w:t>Estas cifras no son sólo números, es el miedo constante y no se debe, y no se puede hablar de libertad sin seguridad, ni de estado de derecho sin justicia, no estamos aquí para reaccionar después del daño, estamos aquí para prevenir, para proteger, para dar señales claras de que en el Estado de México sí se ve, sí se escuchan y sí se actúa.</w:t>
      </w:r>
    </w:p>
    <w:p w:rsidR="000C639D" w:rsidRPr="00880BBE" w:rsidRDefault="000C639D" w:rsidP="001A0564">
      <w:pPr>
        <w:pStyle w:val="Sinespaciado"/>
        <w:ind w:firstLine="709"/>
      </w:pPr>
      <w:r w:rsidRPr="00880BBE">
        <w:t>El acecho no es un acto aislado es un patrón, un mecanismo de control que permite al agresor conocer las rutinas, los espacios, la vulnerabilidad de la víctima, los especialistas lo dicen y la evidencia lo confirma.</w:t>
      </w:r>
    </w:p>
    <w:p w:rsidR="000C639D" w:rsidRPr="00880BBE" w:rsidRDefault="000C639D" w:rsidP="001A0564">
      <w:pPr>
        <w:pStyle w:val="Sinespaciado"/>
        <w:ind w:firstLine="709"/>
      </w:pPr>
      <w:r w:rsidRPr="00880BBE">
        <w:t>El acecho es una antesala de los delitos más violentos que se presentan en nuestro país, por eso hoy proponemos que cuando un homicidio, una violación, un abuso sexual o un acto de hostigamiento ocurra después un patrón probado de acecho, la ley lo reconozca como circunstancia agravante, la prevención sí salva vidas, la justicia temprana sí evita agresiones y el Estado debe actuar antes, no después.</w:t>
      </w:r>
    </w:p>
    <w:p w:rsidR="000C639D" w:rsidRPr="00880BBE" w:rsidRDefault="000C639D" w:rsidP="001A0564">
      <w:pPr>
        <w:pStyle w:val="Sinespaciado"/>
        <w:ind w:firstLine="709"/>
      </w:pPr>
      <w:r w:rsidRPr="00880BBE">
        <w:t>Esta iniciativa manda un mensaje claro a quien piense controlar, dominar o intimidar a una mujer, la ley lo va a castigar con mayor severidad porque su conducta demuestra peligrosidad anticipada, hoy hablamos de acecho, pero en realidad hablamos de algo más profundo, el derecho de toda persona a vivir sin miedo.</w:t>
      </w:r>
    </w:p>
    <w:p w:rsidR="000C639D" w:rsidRPr="00880BBE" w:rsidRDefault="000C639D" w:rsidP="001A0564">
      <w:pPr>
        <w:pStyle w:val="Sinespaciado"/>
        <w:ind w:firstLine="709"/>
      </w:pPr>
      <w:r w:rsidRPr="00880BBE">
        <w:t>Presidenta, solicito que el texto íntegro de esta iniciativa sea insertado completamente en el Diario de los Debates.</w:t>
      </w:r>
    </w:p>
    <w:p w:rsidR="000C639D" w:rsidRPr="00880BBE" w:rsidRDefault="000C639D" w:rsidP="001A0564">
      <w:pPr>
        <w:pStyle w:val="Sinespaciado"/>
        <w:ind w:firstLine="709"/>
      </w:pPr>
      <w:r w:rsidRPr="00880BBE">
        <w:t>Es cuanto, muchas gracias.</w:t>
      </w:r>
    </w:p>
    <w:p w:rsidR="00B822CD" w:rsidRPr="00880BBE" w:rsidRDefault="00B822CD" w:rsidP="001A0564">
      <w:pPr>
        <w:pStyle w:val="Sinespaciado"/>
        <w:ind w:firstLine="709"/>
      </w:pPr>
    </w:p>
    <w:p w:rsidR="00B822CD" w:rsidRPr="00880BBE" w:rsidRDefault="00B822CD" w:rsidP="00B822CD">
      <w:pPr>
        <w:spacing w:after="0" w:line="240" w:lineRule="auto"/>
        <w:jc w:val="center"/>
        <w:rPr>
          <w:rFonts w:ascii="Times New Roman" w:hAnsi="Times New Roman"/>
          <w:i/>
          <w:sz w:val="24"/>
          <w:szCs w:val="24"/>
        </w:rPr>
      </w:pPr>
      <w:r w:rsidRPr="00880BBE">
        <w:rPr>
          <w:rFonts w:ascii="Times New Roman" w:hAnsi="Times New Roman"/>
          <w:i/>
          <w:sz w:val="24"/>
          <w:szCs w:val="24"/>
        </w:rPr>
        <w:t>(Se inserta documento)</w:t>
      </w:r>
    </w:p>
    <w:p w:rsidR="00B822CD" w:rsidRPr="00880BBE" w:rsidRDefault="00B822CD" w:rsidP="00B822CD">
      <w:pPr>
        <w:spacing w:after="0" w:line="240" w:lineRule="auto"/>
        <w:jc w:val="center"/>
        <w:rPr>
          <w:rFonts w:ascii="Times New Roman" w:hAnsi="Times New Roman"/>
          <w:sz w:val="24"/>
          <w:szCs w:val="24"/>
        </w:rPr>
      </w:pPr>
    </w:p>
    <w:p w:rsidR="00B822CD" w:rsidRPr="00880BBE" w:rsidRDefault="00B822CD" w:rsidP="00B822CD">
      <w:pPr>
        <w:widowControl w:val="0"/>
        <w:autoSpaceDE w:val="0"/>
        <w:autoSpaceDN w:val="0"/>
        <w:spacing w:after="0" w:line="240" w:lineRule="auto"/>
        <w:jc w:val="center"/>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Grupo</w:t>
      </w:r>
      <w:r w:rsidRPr="00880BBE">
        <w:rPr>
          <w:rFonts w:ascii="Times New Roman" w:eastAsia="Arial MT" w:hAnsi="Times New Roman" w:cs="Times New Roman"/>
          <w:b/>
          <w:spacing w:val="-9"/>
          <w:sz w:val="24"/>
          <w:szCs w:val="24"/>
        </w:rPr>
        <w:t xml:space="preserve"> </w:t>
      </w:r>
      <w:r w:rsidRPr="00880BBE">
        <w:rPr>
          <w:rFonts w:ascii="Times New Roman" w:eastAsia="Arial MT" w:hAnsi="Times New Roman" w:cs="Times New Roman"/>
          <w:b/>
          <w:sz w:val="24"/>
          <w:szCs w:val="24"/>
        </w:rPr>
        <w:t>Parlamentario</w:t>
      </w:r>
      <w:r w:rsidRPr="00880BBE">
        <w:rPr>
          <w:rFonts w:ascii="Times New Roman" w:eastAsia="Arial MT" w:hAnsi="Times New Roman" w:cs="Times New Roman"/>
          <w:b/>
          <w:spacing w:val="-7"/>
          <w:sz w:val="24"/>
          <w:szCs w:val="24"/>
        </w:rPr>
        <w:t xml:space="preserve"> </w:t>
      </w:r>
      <w:r w:rsidRPr="00880BBE">
        <w:rPr>
          <w:rFonts w:ascii="Times New Roman" w:eastAsia="Arial MT" w:hAnsi="Times New Roman" w:cs="Times New Roman"/>
          <w:b/>
          <w:sz w:val="24"/>
          <w:szCs w:val="24"/>
        </w:rPr>
        <w:t>del</w:t>
      </w:r>
      <w:r w:rsidRPr="00880BBE">
        <w:rPr>
          <w:rFonts w:ascii="Times New Roman" w:eastAsia="Arial MT" w:hAnsi="Times New Roman" w:cs="Times New Roman"/>
          <w:b/>
          <w:spacing w:val="-7"/>
          <w:sz w:val="24"/>
          <w:szCs w:val="24"/>
        </w:rPr>
        <w:t xml:space="preserve"> </w:t>
      </w:r>
      <w:r w:rsidRPr="00880BBE">
        <w:rPr>
          <w:rFonts w:ascii="Times New Roman" w:eastAsia="Arial MT" w:hAnsi="Times New Roman" w:cs="Times New Roman"/>
          <w:b/>
          <w:sz w:val="24"/>
          <w:szCs w:val="24"/>
        </w:rPr>
        <w:t>Partido</w:t>
      </w:r>
      <w:r w:rsidRPr="00880BBE">
        <w:rPr>
          <w:rFonts w:ascii="Times New Roman" w:eastAsia="Arial MT" w:hAnsi="Times New Roman" w:cs="Times New Roman"/>
          <w:b/>
          <w:spacing w:val="-4"/>
          <w:sz w:val="24"/>
          <w:szCs w:val="24"/>
        </w:rPr>
        <w:t xml:space="preserve"> </w:t>
      </w:r>
      <w:r w:rsidRPr="00880BBE">
        <w:rPr>
          <w:rFonts w:ascii="Times New Roman" w:eastAsia="Arial MT" w:hAnsi="Times New Roman" w:cs="Times New Roman"/>
          <w:b/>
          <w:sz w:val="24"/>
          <w:szCs w:val="24"/>
        </w:rPr>
        <w:t>Acción</w:t>
      </w:r>
      <w:r w:rsidRPr="00880BBE">
        <w:rPr>
          <w:rFonts w:ascii="Times New Roman" w:eastAsia="Arial MT" w:hAnsi="Times New Roman" w:cs="Times New Roman"/>
          <w:b/>
          <w:spacing w:val="-8"/>
          <w:sz w:val="24"/>
          <w:szCs w:val="24"/>
        </w:rPr>
        <w:t xml:space="preserve"> </w:t>
      </w:r>
      <w:r w:rsidRPr="00880BBE">
        <w:rPr>
          <w:rFonts w:ascii="Times New Roman" w:eastAsia="Arial MT" w:hAnsi="Times New Roman" w:cs="Times New Roman"/>
          <w:b/>
          <w:spacing w:val="-2"/>
          <w:sz w:val="24"/>
          <w:szCs w:val="24"/>
        </w:rPr>
        <w:t>Nacional</w:t>
      </w:r>
    </w:p>
    <w:p w:rsidR="00B822CD" w:rsidRPr="00880BBE" w:rsidRDefault="00B822CD" w:rsidP="00B822CD">
      <w:pPr>
        <w:widowControl w:val="0"/>
        <w:autoSpaceDE w:val="0"/>
        <w:autoSpaceDN w:val="0"/>
        <w:spacing w:after="0" w:line="240" w:lineRule="auto"/>
        <w:jc w:val="center"/>
        <w:rPr>
          <w:rFonts w:ascii="Times New Roman" w:eastAsia="Arial MT" w:hAnsi="Times New Roman" w:cs="Times New Roman"/>
          <w:spacing w:val="-2"/>
          <w:sz w:val="24"/>
          <w:szCs w:val="24"/>
        </w:rPr>
      </w:pPr>
      <w:r w:rsidRPr="00880BBE">
        <w:rPr>
          <w:rFonts w:ascii="Times New Roman" w:eastAsia="Arial MT" w:hAnsi="Times New Roman" w:cs="Times New Roman"/>
          <w:sz w:val="24"/>
          <w:szCs w:val="24"/>
        </w:rPr>
        <w:t>“2025.</w:t>
      </w:r>
      <w:r w:rsidRPr="00880BBE">
        <w:rPr>
          <w:rFonts w:ascii="Times New Roman" w:eastAsia="Arial MT" w:hAnsi="Times New Roman" w:cs="Times New Roman"/>
          <w:spacing w:val="-2"/>
          <w:sz w:val="24"/>
          <w:szCs w:val="24"/>
        </w:rPr>
        <w:t xml:space="preserve"> </w:t>
      </w:r>
      <w:r w:rsidRPr="00880BBE">
        <w:rPr>
          <w:rFonts w:ascii="Times New Roman" w:eastAsia="Arial MT" w:hAnsi="Times New Roman" w:cs="Times New Roman"/>
          <w:sz w:val="24"/>
          <w:szCs w:val="24"/>
        </w:rPr>
        <w:t>Bicentenario</w:t>
      </w:r>
      <w:r w:rsidRPr="00880BBE">
        <w:rPr>
          <w:rFonts w:ascii="Times New Roman" w:eastAsia="Arial MT" w:hAnsi="Times New Roman" w:cs="Times New Roman"/>
          <w:spacing w:val="-4"/>
          <w:sz w:val="24"/>
          <w:szCs w:val="24"/>
        </w:rPr>
        <w:t xml:space="preserve"> </w:t>
      </w:r>
      <w:r w:rsidRPr="00880BBE">
        <w:rPr>
          <w:rFonts w:ascii="Times New Roman" w:eastAsia="Arial MT" w:hAnsi="Times New Roman" w:cs="Times New Roman"/>
          <w:sz w:val="24"/>
          <w:szCs w:val="24"/>
        </w:rPr>
        <w:t>de</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z w:val="24"/>
          <w:szCs w:val="24"/>
        </w:rPr>
        <w:t>la</w:t>
      </w:r>
      <w:r w:rsidRPr="00880BBE">
        <w:rPr>
          <w:rFonts w:ascii="Times New Roman" w:eastAsia="Arial MT" w:hAnsi="Times New Roman" w:cs="Times New Roman"/>
          <w:spacing w:val="-3"/>
          <w:sz w:val="24"/>
          <w:szCs w:val="24"/>
        </w:rPr>
        <w:t xml:space="preserve"> </w:t>
      </w:r>
      <w:r w:rsidRPr="00880BBE">
        <w:rPr>
          <w:rFonts w:ascii="Times New Roman" w:eastAsia="Arial MT" w:hAnsi="Times New Roman" w:cs="Times New Roman"/>
          <w:sz w:val="24"/>
          <w:szCs w:val="24"/>
        </w:rPr>
        <w:t>vida</w:t>
      </w:r>
      <w:r w:rsidRPr="00880BBE">
        <w:rPr>
          <w:rFonts w:ascii="Times New Roman" w:eastAsia="Arial MT" w:hAnsi="Times New Roman" w:cs="Times New Roman"/>
          <w:spacing w:val="-7"/>
          <w:sz w:val="24"/>
          <w:szCs w:val="24"/>
        </w:rPr>
        <w:t xml:space="preserve"> </w:t>
      </w:r>
      <w:r w:rsidRPr="00880BBE">
        <w:rPr>
          <w:rFonts w:ascii="Times New Roman" w:eastAsia="Arial MT" w:hAnsi="Times New Roman" w:cs="Times New Roman"/>
          <w:sz w:val="24"/>
          <w:szCs w:val="24"/>
        </w:rPr>
        <w:t>municipal</w:t>
      </w:r>
      <w:r w:rsidRPr="00880BBE">
        <w:rPr>
          <w:rFonts w:ascii="Times New Roman" w:eastAsia="Arial MT" w:hAnsi="Times New Roman" w:cs="Times New Roman"/>
          <w:spacing w:val="-2"/>
          <w:sz w:val="24"/>
          <w:szCs w:val="24"/>
        </w:rPr>
        <w:t xml:space="preserve"> </w:t>
      </w:r>
      <w:r w:rsidRPr="00880BBE">
        <w:rPr>
          <w:rFonts w:ascii="Times New Roman" w:eastAsia="Arial MT" w:hAnsi="Times New Roman" w:cs="Times New Roman"/>
          <w:sz w:val="24"/>
          <w:szCs w:val="24"/>
        </w:rPr>
        <w:t>en</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z w:val="24"/>
          <w:szCs w:val="24"/>
        </w:rPr>
        <w:t>el</w:t>
      </w:r>
      <w:r w:rsidRPr="00880BBE">
        <w:rPr>
          <w:rFonts w:ascii="Times New Roman" w:eastAsia="Arial MT" w:hAnsi="Times New Roman" w:cs="Times New Roman"/>
          <w:spacing w:val="-5"/>
          <w:sz w:val="24"/>
          <w:szCs w:val="24"/>
        </w:rPr>
        <w:t xml:space="preserve"> </w:t>
      </w:r>
      <w:r w:rsidRPr="00880BBE">
        <w:rPr>
          <w:rFonts w:ascii="Times New Roman" w:eastAsia="Arial MT" w:hAnsi="Times New Roman" w:cs="Times New Roman"/>
          <w:sz w:val="24"/>
          <w:szCs w:val="24"/>
        </w:rPr>
        <w:t>Estado</w:t>
      </w:r>
      <w:r w:rsidRPr="00880BBE">
        <w:rPr>
          <w:rFonts w:ascii="Times New Roman" w:eastAsia="Arial MT" w:hAnsi="Times New Roman" w:cs="Times New Roman"/>
          <w:spacing w:val="-3"/>
          <w:sz w:val="24"/>
          <w:szCs w:val="24"/>
        </w:rPr>
        <w:t xml:space="preserve"> </w:t>
      </w:r>
      <w:r w:rsidRPr="00880BBE">
        <w:rPr>
          <w:rFonts w:ascii="Times New Roman" w:eastAsia="Arial MT" w:hAnsi="Times New Roman" w:cs="Times New Roman"/>
          <w:sz w:val="24"/>
          <w:szCs w:val="24"/>
        </w:rPr>
        <w:t>de</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pacing w:val="-2"/>
          <w:sz w:val="24"/>
          <w:szCs w:val="24"/>
        </w:rPr>
        <w:t>México”</w:t>
      </w:r>
    </w:p>
    <w:p w:rsidR="00B822CD" w:rsidRPr="00880BBE" w:rsidRDefault="00B822CD" w:rsidP="00B822CD">
      <w:pPr>
        <w:widowControl w:val="0"/>
        <w:autoSpaceDE w:val="0"/>
        <w:autoSpaceDN w:val="0"/>
        <w:spacing w:after="0" w:line="240" w:lineRule="auto"/>
        <w:jc w:val="center"/>
        <w:rPr>
          <w:rFonts w:ascii="Times New Roman" w:eastAsia="Arial MT" w:hAnsi="Times New Roman" w:cs="Times New Roman"/>
          <w:sz w:val="24"/>
          <w:szCs w:val="24"/>
        </w:rPr>
      </w:pPr>
    </w:p>
    <w:p w:rsidR="00B822CD" w:rsidRPr="00880BBE" w:rsidRDefault="00B822CD" w:rsidP="00B822CD">
      <w:pPr>
        <w:widowControl w:val="0"/>
        <w:autoSpaceDE w:val="0"/>
        <w:autoSpaceDN w:val="0"/>
        <w:spacing w:after="0" w:line="240" w:lineRule="auto"/>
        <w:jc w:val="right"/>
        <w:rPr>
          <w:rFonts w:ascii="Times New Roman" w:eastAsia="Arial MT" w:hAnsi="Times New Roman" w:cs="Times New Roman"/>
          <w:sz w:val="24"/>
          <w:szCs w:val="24"/>
        </w:rPr>
      </w:pPr>
      <w:r w:rsidRPr="00880BBE">
        <w:rPr>
          <w:rFonts w:ascii="Times New Roman" w:eastAsia="Arial MT" w:hAnsi="Times New Roman" w:cs="Times New Roman"/>
          <w:sz w:val="24"/>
          <w:szCs w:val="24"/>
        </w:rPr>
        <w:t>Toluca</w:t>
      </w:r>
      <w:r w:rsidRPr="00880BBE">
        <w:rPr>
          <w:rFonts w:ascii="Times New Roman" w:eastAsia="Arial MT" w:hAnsi="Times New Roman" w:cs="Times New Roman"/>
          <w:spacing w:val="-13"/>
          <w:sz w:val="24"/>
          <w:szCs w:val="24"/>
        </w:rPr>
        <w:t xml:space="preserve"> </w:t>
      </w:r>
      <w:r w:rsidRPr="00880BBE">
        <w:rPr>
          <w:rFonts w:ascii="Times New Roman" w:eastAsia="Arial MT" w:hAnsi="Times New Roman" w:cs="Times New Roman"/>
          <w:sz w:val="24"/>
          <w:szCs w:val="24"/>
        </w:rPr>
        <w:t>de</w:t>
      </w:r>
      <w:r w:rsidRPr="00880BBE">
        <w:rPr>
          <w:rFonts w:ascii="Times New Roman" w:eastAsia="Arial MT" w:hAnsi="Times New Roman" w:cs="Times New Roman"/>
          <w:spacing w:val="-11"/>
          <w:sz w:val="24"/>
          <w:szCs w:val="24"/>
        </w:rPr>
        <w:t xml:space="preserve"> </w:t>
      </w:r>
      <w:r w:rsidRPr="00880BBE">
        <w:rPr>
          <w:rFonts w:ascii="Times New Roman" w:eastAsia="Arial MT" w:hAnsi="Times New Roman" w:cs="Times New Roman"/>
          <w:sz w:val="24"/>
          <w:szCs w:val="24"/>
        </w:rPr>
        <w:t>Lerdo</w:t>
      </w:r>
      <w:r w:rsidRPr="00880BBE">
        <w:rPr>
          <w:rFonts w:ascii="Times New Roman" w:eastAsia="Arial MT" w:hAnsi="Times New Roman" w:cs="Times New Roman"/>
          <w:spacing w:val="-12"/>
          <w:sz w:val="24"/>
          <w:szCs w:val="24"/>
        </w:rPr>
        <w:t xml:space="preserve"> </w:t>
      </w:r>
      <w:r w:rsidRPr="00880BBE">
        <w:rPr>
          <w:rFonts w:ascii="Times New Roman" w:eastAsia="Arial MT" w:hAnsi="Times New Roman" w:cs="Times New Roman"/>
          <w:spacing w:val="-2"/>
          <w:sz w:val="24"/>
          <w:szCs w:val="24"/>
        </w:rPr>
        <w:t>México;</w:t>
      </w:r>
      <w:r w:rsidRPr="00880BBE">
        <w:rPr>
          <w:rFonts w:ascii="Times New Roman" w:eastAsia="Arial MT" w:hAnsi="Times New Roman" w:cs="Times New Roman"/>
          <w:sz w:val="24"/>
          <w:szCs w:val="24"/>
        </w:rPr>
        <w:tab/>
        <w:t>de</w:t>
      </w:r>
      <w:r w:rsidRPr="00880BBE">
        <w:rPr>
          <w:rFonts w:ascii="Times New Roman" w:eastAsia="Arial MT" w:hAnsi="Times New Roman" w:cs="Times New Roman"/>
          <w:spacing w:val="1"/>
          <w:sz w:val="24"/>
          <w:szCs w:val="24"/>
        </w:rPr>
        <w:t xml:space="preserve"> </w:t>
      </w:r>
      <w:r w:rsidRPr="00880BBE">
        <w:rPr>
          <w:rFonts w:ascii="Times New Roman" w:eastAsia="Arial MT" w:hAnsi="Times New Roman" w:cs="Times New Roman"/>
          <w:sz w:val="24"/>
          <w:szCs w:val="24"/>
        </w:rPr>
        <w:t>Noviembre</w:t>
      </w:r>
      <w:r w:rsidRPr="00880BBE">
        <w:rPr>
          <w:rFonts w:ascii="Times New Roman" w:eastAsia="Arial MT" w:hAnsi="Times New Roman" w:cs="Times New Roman"/>
          <w:spacing w:val="-1"/>
          <w:sz w:val="24"/>
          <w:szCs w:val="24"/>
        </w:rPr>
        <w:t xml:space="preserve"> </w:t>
      </w:r>
      <w:r w:rsidRPr="00880BBE">
        <w:rPr>
          <w:rFonts w:ascii="Times New Roman" w:eastAsia="Arial MT" w:hAnsi="Times New Roman" w:cs="Times New Roman"/>
          <w:sz w:val="24"/>
          <w:szCs w:val="24"/>
        </w:rPr>
        <w:t>de</w:t>
      </w:r>
      <w:r w:rsidRPr="00880BBE">
        <w:rPr>
          <w:rFonts w:ascii="Times New Roman" w:eastAsia="Arial MT" w:hAnsi="Times New Roman" w:cs="Times New Roman"/>
          <w:spacing w:val="-2"/>
          <w:sz w:val="24"/>
          <w:szCs w:val="24"/>
        </w:rPr>
        <w:t xml:space="preserve"> 2025.</w:t>
      </w:r>
    </w:p>
    <w:p w:rsidR="00B822CD" w:rsidRPr="00880BBE"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880BBE"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DIP.</w:t>
      </w:r>
      <w:r w:rsidRPr="00880BBE">
        <w:rPr>
          <w:rFonts w:ascii="Times New Roman" w:eastAsia="Arial MT" w:hAnsi="Times New Roman" w:cs="Times New Roman"/>
          <w:b/>
          <w:spacing w:val="-19"/>
          <w:sz w:val="24"/>
          <w:szCs w:val="24"/>
        </w:rPr>
        <w:t xml:space="preserve"> </w:t>
      </w:r>
      <w:r w:rsidRPr="00880BBE">
        <w:rPr>
          <w:rFonts w:ascii="Times New Roman" w:eastAsia="Arial MT" w:hAnsi="Times New Roman" w:cs="Times New Roman"/>
          <w:b/>
          <w:sz w:val="24"/>
          <w:szCs w:val="24"/>
        </w:rPr>
        <w:t>MARTHA</w:t>
      </w:r>
      <w:r w:rsidRPr="00880BBE">
        <w:rPr>
          <w:rFonts w:ascii="Times New Roman" w:eastAsia="Arial MT" w:hAnsi="Times New Roman" w:cs="Times New Roman"/>
          <w:b/>
          <w:spacing w:val="-20"/>
          <w:sz w:val="24"/>
          <w:szCs w:val="24"/>
        </w:rPr>
        <w:t xml:space="preserve"> </w:t>
      </w:r>
      <w:r w:rsidRPr="00880BBE">
        <w:rPr>
          <w:rFonts w:ascii="Times New Roman" w:eastAsia="Arial MT" w:hAnsi="Times New Roman" w:cs="Times New Roman"/>
          <w:b/>
          <w:sz w:val="24"/>
          <w:szCs w:val="24"/>
        </w:rPr>
        <w:t>AZUCENA</w:t>
      </w:r>
      <w:r w:rsidRPr="00880BBE">
        <w:rPr>
          <w:rFonts w:ascii="Times New Roman" w:eastAsia="Arial MT" w:hAnsi="Times New Roman" w:cs="Times New Roman"/>
          <w:b/>
          <w:spacing w:val="-17"/>
          <w:sz w:val="24"/>
          <w:szCs w:val="24"/>
        </w:rPr>
        <w:t xml:space="preserve"> </w:t>
      </w:r>
      <w:r w:rsidRPr="00880BBE">
        <w:rPr>
          <w:rFonts w:ascii="Times New Roman" w:eastAsia="Arial MT" w:hAnsi="Times New Roman" w:cs="Times New Roman"/>
          <w:b/>
          <w:sz w:val="24"/>
          <w:szCs w:val="24"/>
        </w:rPr>
        <w:t>CAMACHO</w:t>
      </w:r>
      <w:r w:rsidRPr="00880BBE">
        <w:rPr>
          <w:rFonts w:ascii="Times New Roman" w:eastAsia="Arial MT" w:hAnsi="Times New Roman" w:cs="Times New Roman"/>
          <w:b/>
          <w:spacing w:val="-16"/>
          <w:sz w:val="24"/>
          <w:szCs w:val="24"/>
        </w:rPr>
        <w:t xml:space="preserve"> </w:t>
      </w:r>
      <w:r w:rsidRPr="00880BBE">
        <w:rPr>
          <w:rFonts w:ascii="Times New Roman" w:eastAsia="Arial MT" w:hAnsi="Times New Roman" w:cs="Times New Roman"/>
          <w:b/>
          <w:spacing w:val="-2"/>
          <w:sz w:val="24"/>
          <w:szCs w:val="24"/>
        </w:rPr>
        <w:t>REYNOSO</w:t>
      </w:r>
    </w:p>
    <w:p w:rsidR="00B822CD" w:rsidRPr="00880BBE"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PRESIDENTA</w:t>
      </w:r>
      <w:r w:rsidRPr="00880BBE">
        <w:rPr>
          <w:rFonts w:ascii="Times New Roman" w:eastAsia="Arial MT" w:hAnsi="Times New Roman" w:cs="Times New Roman"/>
          <w:b/>
          <w:spacing w:val="-17"/>
          <w:sz w:val="24"/>
          <w:szCs w:val="24"/>
        </w:rPr>
        <w:t xml:space="preserve"> </w:t>
      </w:r>
      <w:r w:rsidRPr="00880BBE">
        <w:rPr>
          <w:rFonts w:ascii="Times New Roman" w:eastAsia="Arial MT" w:hAnsi="Times New Roman" w:cs="Times New Roman"/>
          <w:b/>
          <w:sz w:val="24"/>
          <w:szCs w:val="24"/>
        </w:rPr>
        <w:t>DE</w:t>
      </w:r>
      <w:r w:rsidRPr="00880BBE">
        <w:rPr>
          <w:rFonts w:ascii="Times New Roman" w:eastAsia="Arial MT" w:hAnsi="Times New Roman" w:cs="Times New Roman"/>
          <w:b/>
          <w:spacing w:val="-17"/>
          <w:sz w:val="24"/>
          <w:szCs w:val="24"/>
        </w:rPr>
        <w:t xml:space="preserve"> </w:t>
      </w:r>
      <w:r w:rsidRPr="00880BBE">
        <w:rPr>
          <w:rFonts w:ascii="Times New Roman" w:eastAsia="Arial MT" w:hAnsi="Times New Roman" w:cs="Times New Roman"/>
          <w:b/>
          <w:sz w:val="24"/>
          <w:szCs w:val="24"/>
        </w:rPr>
        <w:t>LA</w:t>
      </w:r>
      <w:r w:rsidRPr="00880BBE">
        <w:rPr>
          <w:rFonts w:ascii="Times New Roman" w:eastAsia="Arial MT" w:hAnsi="Times New Roman" w:cs="Times New Roman"/>
          <w:b/>
          <w:spacing w:val="-17"/>
          <w:sz w:val="24"/>
          <w:szCs w:val="24"/>
        </w:rPr>
        <w:t xml:space="preserve"> </w:t>
      </w:r>
      <w:r w:rsidRPr="00880BBE">
        <w:rPr>
          <w:rFonts w:ascii="Times New Roman" w:eastAsia="Arial MT" w:hAnsi="Times New Roman" w:cs="Times New Roman"/>
          <w:b/>
          <w:sz w:val="24"/>
          <w:szCs w:val="24"/>
        </w:rPr>
        <w:t>DIRECTIVA</w:t>
      </w:r>
    </w:p>
    <w:p w:rsidR="00B822CD" w:rsidRPr="00880BBE"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DE</w:t>
      </w:r>
      <w:r w:rsidRPr="00880BBE">
        <w:rPr>
          <w:rFonts w:ascii="Times New Roman" w:eastAsia="Arial MT" w:hAnsi="Times New Roman" w:cs="Times New Roman"/>
          <w:b/>
          <w:spacing w:val="-17"/>
          <w:sz w:val="24"/>
          <w:szCs w:val="24"/>
        </w:rPr>
        <w:t xml:space="preserve"> </w:t>
      </w:r>
      <w:r w:rsidRPr="00880BBE">
        <w:rPr>
          <w:rFonts w:ascii="Times New Roman" w:eastAsia="Arial MT" w:hAnsi="Times New Roman" w:cs="Times New Roman"/>
          <w:b/>
          <w:sz w:val="24"/>
          <w:szCs w:val="24"/>
        </w:rPr>
        <w:t>LA</w:t>
      </w:r>
      <w:r w:rsidRPr="00880BBE">
        <w:rPr>
          <w:rFonts w:ascii="Times New Roman" w:eastAsia="Arial MT" w:hAnsi="Times New Roman" w:cs="Times New Roman"/>
          <w:b/>
          <w:spacing w:val="-17"/>
          <w:sz w:val="24"/>
          <w:szCs w:val="24"/>
        </w:rPr>
        <w:t xml:space="preserve"> </w:t>
      </w:r>
      <w:r w:rsidRPr="00880BBE">
        <w:rPr>
          <w:rFonts w:ascii="Times New Roman" w:eastAsia="Arial MT" w:hAnsi="Times New Roman" w:cs="Times New Roman"/>
          <w:b/>
          <w:sz w:val="24"/>
          <w:szCs w:val="24"/>
        </w:rPr>
        <w:t>H.</w:t>
      </w:r>
      <w:r w:rsidRPr="00880BBE">
        <w:rPr>
          <w:rFonts w:ascii="Times New Roman" w:eastAsia="Arial MT" w:hAnsi="Times New Roman" w:cs="Times New Roman"/>
          <w:b/>
          <w:spacing w:val="-15"/>
          <w:sz w:val="24"/>
          <w:szCs w:val="24"/>
        </w:rPr>
        <w:t xml:space="preserve"> </w:t>
      </w:r>
      <w:r w:rsidRPr="00880BBE">
        <w:rPr>
          <w:rFonts w:ascii="Times New Roman" w:eastAsia="Arial MT" w:hAnsi="Times New Roman" w:cs="Times New Roman"/>
          <w:b/>
          <w:sz w:val="24"/>
          <w:szCs w:val="24"/>
        </w:rPr>
        <w:t>LXII</w:t>
      </w:r>
      <w:r w:rsidRPr="00880BBE">
        <w:rPr>
          <w:rFonts w:ascii="Times New Roman" w:eastAsia="Arial MT" w:hAnsi="Times New Roman" w:cs="Times New Roman"/>
          <w:b/>
          <w:spacing w:val="-10"/>
          <w:sz w:val="24"/>
          <w:szCs w:val="24"/>
        </w:rPr>
        <w:t xml:space="preserve"> </w:t>
      </w:r>
      <w:r w:rsidRPr="00880BBE">
        <w:rPr>
          <w:rFonts w:ascii="Times New Roman" w:eastAsia="Arial MT" w:hAnsi="Times New Roman" w:cs="Times New Roman"/>
          <w:b/>
          <w:sz w:val="24"/>
          <w:szCs w:val="24"/>
        </w:rPr>
        <w:t>LEGISLATURA</w:t>
      </w:r>
    </w:p>
    <w:p w:rsidR="00B822CD" w:rsidRPr="00880BBE"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DEL ESTADO LIBRE Y SOBERANO DE MÉXICO</w:t>
      </w:r>
    </w:p>
    <w:p w:rsidR="00B822CD" w:rsidRPr="00880BBE"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pacing w:val="-2"/>
          <w:sz w:val="24"/>
          <w:szCs w:val="24"/>
        </w:rPr>
        <w:t>PRESENTE</w:t>
      </w:r>
    </w:p>
    <w:p w:rsidR="00B822CD" w:rsidRPr="00880BBE"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Los que suscriben Diputada Emma Laura</w:t>
      </w:r>
      <w:r w:rsidRPr="00880BBE">
        <w:rPr>
          <w:rFonts w:ascii="Times New Roman" w:eastAsia="Arial MT" w:hAnsi="Times New Roman" w:cs="Times New Roman"/>
          <w:b/>
          <w:spacing w:val="-4"/>
          <w:sz w:val="24"/>
          <w:szCs w:val="24"/>
        </w:rPr>
        <w:t xml:space="preserve"> </w:t>
      </w:r>
      <w:r w:rsidRPr="00880BBE">
        <w:rPr>
          <w:rFonts w:ascii="Times New Roman" w:eastAsia="Arial MT" w:hAnsi="Times New Roman" w:cs="Times New Roman"/>
          <w:b/>
          <w:sz w:val="24"/>
          <w:szCs w:val="24"/>
        </w:rPr>
        <w:t xml:space="preserve">Alvarez Villavicencio y el Diputado Pablo Fernández De Cevallos González, </w:t>
      </w:r>
      <w:r w:rsidRPr="00880BBE">
        <w:rPr>
          <w:rFonts w:ascii="Times New Roman" w:eastAsia="Arial MT" w:hAnsi="Times New Roman" w:cs="Times New Roman"/>
          <w:sz w:val="24"/>
          <w:szCs w:val="24"/>
        </w:rPr>
        <w:t xml:space="preserve">a nombre del Grupo Parlamentario del Partido Acción Nacional, de conformidad con lo establecido en los artículos 1° </w:t>
      </w:r>
      <w:r w:rsidRPr="00880BBE">
        <w:rPr>
          <w:rFonts w:ascii="Times New Roman" w:eastAsia="Arial MT" w:hAnsi="Times New Roman" w:cs="Times New Roman"/>
          <w:spacing w:val="-2"/>
          <w:sz w:val="24"/>
          <w:szCs w:val="24"/>
        </w:rPr>
        <w:t>párrafo</w:t>
      </w:r>
      <w:r w:rsidRPr="00880BBE">
        <w:rPr>
          <w:rFonts w:ascii="Times New Roman" w:eastAsia="Arial MT" w:hAnsi="Times New Roman" w:cs="Times New Roman"/>
          <w:spacing w:val="-8"/>
          <w:sz w:val="24"/>
          <w:szCs w:val="24"/>
        </w:rPr>
        <w:t xml:space="preserve"> </w:t>
      </w:r>
      <w:r w:rsidRPr="00880BBE">
        <w:rPr>
          <w:rFonts w:ascii="Times New Roman" w:eastAsia="Arial MT" w:hAnsi="Times New Roman" w:cs="Times New Roman"/>
          <w:spacing w:val="-2"/>
          <w:sz w:val="24"/>
          <w:szCs w:val="24"/>
        </w:rPr>
        <w:t>tercero</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pacing w:val="-2"/>
          <w:sz w:val="24"/>
          <w:szCs w:val="24"/>
        </w:rPr>
        <w:t>de</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pacing w:val="-2"/>
          <w:sz w:val="24"/>
          <w:szCs w:val="24"/>
        </w:rPr>
        <w:t>la</w:t>
      </w:r>
      <w:r w:rsidRPr="00880BBE">
        <w:rPr>
          <w:rFonts w:ascii="Times New Roman" w:eastAsia="Arial MT" w:hAnsi="Times New Roman" w:cs="Times New Roman"/>
          <w:spacing w:val="-4"/>
          <w:sz w:val="24"/>
          <w:szCs w:val="24"/>
        </w:rPr>
        <w:t xml:space="preserve"> </w:t>
      </w:r>
      <w:r w:rsidRPr="00880BBE">
        <w:rPr>
          <w:rFonts w:ascii="Times New Roman" w:eastAsia="Arial MT" w:hAnsi="Times New Roman" w:cs="Times New Roman"/>
          <w:spacing w:val="-2"/>
          <w:sz w:val="24"/>
          <w:szCs w:val="24"/>
        </w:rPr>
        <w:t>Constitución</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pacing w:val="-2"/>
          <w:sz w:val="24"/>
          <w:szCs w:val="24"/>
        </w:rPr>
        <w:t>Política</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pacing w:val="-2"/>
          <w:sz w:val="24"/>
          <w:szCs w:val="24"/>
        </w:rPr>
        <w:t>de</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pacing w:val="-2"/>
          <w:sz w:val="24"/>
          <w:szCs w:val="24"/>
        </w:rPr>
        <w:t>los</w:t>
      </w:r>
      <w:r w:rsidRPr="00880BBE">
        <w:rPr>
          <w:rFonts w:ascii="Times New Roman" w:eastAsia="Arial MT" w:hAnsi="Times New Roman" w:cs="Times New Roman"/>
          <w:spacing w:val="-4"/>
          <w:sz w:val="24"/>
          <w:szCs w:val="24"/>
        </w:rPr>
        <w:t xml:space="preserve"> </w:t>
      </w:r>
      <w:r w:rsidRPr="00880BBE">
        <w:rPr>
          <w:rFonts w:ascii="Times New Roman" w:eastAsia="Arial MT" w:hAnsi="Times New Roman" w:cs="Times New Roman"/>
          <w:spacing w:val="-2"/>
          <w:sz w:val="24"/>
          <w:szCs w:val="24"/>
        </w:rPr>
        <w:t>Estados</w:t>
      </w:r>
      <w:r w:rsidRPr="00880BBE">
        <w:rPr>
          <w:rFonts w:ascii="Times New Roman" w:eastAsia="Arial MT" w:hAnsi="Times New Roman" w:cs="Times New Roman"/>
          <w:spacing w:val="-4"/>
          <w:sz w:val="24"/>
          <w:szCs w:val="24"/>
        </w:rPr>
        <w:t xml:space="preserve"> </w:t>
      </w:r>
      <w:r w:rsidRPr="00880BBE">
        <w:rPr>
          <w:rFonts w:ascii="Times New Roman" w:eastAsia="Arial MT" w:hAnsi="Times New Roman" w:cs="Times New Roman"/>
          <w:spacing w:val="-2"/>
          <w:sz w:val="24"/>
          <w:szCs w:val="24"/>
        </w:rPr>
        <w:t>Unidos</w:t>
      </w:r>
      <w:r w:rsidRPr="00880BBE">
        <w:rPr>
          <w:rFonts w:ascii="Times New Roman" w:eastAsia="Arial MT" w:hAnsi="Times New Roman" w:cs="Times New Roman"/>
          <w:spacing w:val="-7"/>
          <w:sz w:val="24"/>
          <w:szCs w:val="24"/>
        </w:rPr>
        <w:t xml:space="preserve"> </w:t>
      </w:r>
      <w:r w:rsidRPr="00880BBE">
        <w:rPr>
          <w:rFonts w:ascii="Times New Roman" w:eastAsia="Arial MT" w:hAnsi="Times New Roman" w:cs="Times New Roman"/>
          <w:spacing w:val="-2"/>
          <w:sz w:val="24"/>
          <w:szCs w:val="24"/>
        </w:rPr>
        <w:t>Mexicanos;</w:t>
      </w:r>
      <w:r w:rsidRPr="00880BBE">
        <w:rPr>
          <w:rFonts w:ascii="Times New Roman" w:eastAsia="Arial MT" w:hAnsi="Times New Roman" w:cs="Times New Roman"/>
          <w:spacing w:val="-15"/>
          <w:sz w:val="24"/>
          <w:szCs w:val="24"/>
        </w:rPr>
        <w:t xml:space="preserve"> </w:t>
      </w:r>
      <w:r w:rsidRPr="00880BBE">
        <w:rPr>
          <w:rFonts w:ascii="Times New Roman" w:eastAsia="Arial MT" w:hAnsi="Times New Roman" w:cs="Times New Roman"/>
          <w:spacing w:val="-2"/>
          <w:sz w:val="24"/>
          <w:szCs w:val="24"/>
        </w:rPr>
        <w:t xml:space="preserve">Artículo </w:t>
      </w:r>
      <w:r w:rsidRPr="00880BBE">
        <w:rPr>
          <w:rFonts w:ascii="Times New Roman" w:eastAsia="Arial MT" w:hAnsi="Times New Roman" w:cs="Times New Roman"/>
          <w:sz w:val="24"/>
          <w:szCs w:val="24"/>
        </w:rPr>
        <w:t>5 párrafo séptimo y 61 de la Constitución Política del Estado Libre y Soberano de México; 28 fracción I de la Ley Orgánica del Poder Legislativo del Estado Libre y Soberano de México y 68 del Reglamento del Poder Legislativo del Estado Libre y Soberano</w:t>
      </w:r>
      <w:r w:rsidRPr="00880BBE">
        <w:rPr>
          <w:rFonts w:ascii="Times New Roman" w:eastAsia="Arial MT" w:hAnsi="Times New Roman" w:cs="Times New Roman"/>
          <w:spacing w:val="-12"/>
          <w:sz w:val="24"/>
          <w:szCs w:val="24"/>
        </w:rPr>
        <w:t xml:space="preserve"> </w:t>
      </w:r>
      <w:r w:rsidRPr="00880BBE">
        <w:rPr>
          <w:rFonts w:ascii="Times New Roman" w:eastAsia="Arial MT" w:hAnsi="Times New Roman" w:cs="Times New Roman"/>
          <w:sz w:val="24"/>
          <w:szCs w:val="24"/>
        </w:rPr>
        <w:t>de</w:t>
      </w:r>
      <w:r w:rsidRPr="00880BBE">
        <w:rPr>
          <w:rFonts w:ascii="Times New Roman" w:eastAsia="Arial MT" w:hAnsi="Times New Roman" w:cs="Times New Roman"/>
          <w:spacing w:val="-10"/>
          <w:sz w:val="24"/>
          <w:szCs w:val="24"/>
        </w:rPr>
        <w:t xml:space="preserve"> </w:t>
      </w:r>
      <w:r w:rsidRPr="00880BBE">
        <w:rPr>
          <w:rFonts w:ascii="Times New Roman" w:eastAsia="Arial MT" w:hAnsi="Times New Roman" w:cs="Times New Roman"/>
          <w:sz w:val="24"/>
          <w:szCs w:val="24"/>
        </w:rPr>
        <w:t>México,</w:t>
      </w:r>
      <w:r w:rsidRPr="00880BBE">
        <w:rPr>
          <w:rFonts w:ascii="Times New Roman" w:eastAsia="Arial MT" w:hAnsi="Times New Roman" w:cs="Times New Roman"/>
          <w:spacing w:val="-14"/>
          <w:sz w:val="24"/>
          <w:szCs w:val="24"/>
        </w:rPr>
        <w:t xml:space="preserve"> </w:t>
      </w:r>
      <w:r w:rsidRPr="00880BBE">
        <w:rPr>
          <w:rFonts w:ascii="Times New Roman" w:eastAsia="Arial MT" w:hAnsi="Times New Roman" w:cs="Times New Roman"/>
          <w:sz w:val="24"/>
          <w:szCs w:val="24"/>
        </w:rPr>
        <w:t>me</w:t>
      </w:r>
      <w:r w:rsidRPr="00880BBE">
        <w:rPr>
          <w:rFonts w:ascii="Times New Roman" w:eastAsia="Arial MT" w:hAnsi="Times New Roman" w:cs="Times New Roman"/>
          <w:spacing w:val="-12"/>
          <w:sz w:val="24"/>
          <w:szCs w:val="24"/>
        </w:rPr>
        <w:t xml:space="preserve"> </w:t>
      </w:r>
      <w:r w:rsidRPr="00880BBE">
        <w:rPr>
          <w:rFonts w:ascii="Times New Roman" w:eastAsia="Arial MT" w:hAnsi="Times New Roman" w:cs="Times New Roman"/>
          <w:sz w:val="24"/>
          <w:szCs w:val="24"/>
        </w:rPr>
        <w:t>permito</w:t>
      </w:r>
      <w:r w:rsidRPr="00880BBE">
        <w:rPr>
          <w:rFonts w:ascii="Times New Roman" w:eastAsia="Arial MT" w:hAnsi="Times New Roman" w:cs="Times New Roman"/>
          <w:spacing w:val="-12"/>
          <w:sz w:val="24"/>
          <w:szCs w:val="24"/>
        </w:rPr>
        <w:t xml:space="preserve"> </w:t>
      </w:r>
      <w:r w:rsidRPr="00880BBE">
        <w:rPr>
          <w:rFonts w:ascii="Times New Roman" w:eastAsia="Arial MT" w:hAnsi="Times New Roman" w:cs="Times New Roman"/>
          <w:sz w:val="24"/>
          <w:szCs w:val="24"/>
        </w:rPr>
        <w:t>someter</w:t>
      </w:r>
      <w:r w:rsidRPr="00880BBE">
        <w:rPr>
          <w:rFonts w:ascii="Times New Roman" w:eastAsia="Arial MT" w:hAnsi="Times New Roman" w:cs="Times New Roman"/>
          <w:spacing w:val="-13"/>
          <w:sz w:val="24"/>
          <w:szCs w:val="24"/>
        </w:rPr>
        <w:t xml:space="preserve"> </w:t>
      </w:r>
      <w:r w:rsidRPr="00880BBE">
        <w:rPr>
          <w:rFonts w:ascii="Times New Roman" w:eastAsia="Arial MT" w:hAnsi="Times New Roman" w:cs="Times New Roman"/>
          <w:sz w:val="24"/>
          <w:szCs w:val="24"/>
        </w:rPr>
        <w:t>a</w:t>
      </w:r>
      <w:r w:rsidRPr="00880BBE">
        <w:rPr>
          <w:rFonts w:ascii="Times New Roman" w:eastAsia="Arial MT" w:hAnsi="Times New Roman" w:cs="Times New Roman"/>
          <w:spacing w:val="-10"/>
          <w:sz w:val="24"/>
          <w:szCs w:val="24"/>
        </w:rPr>
        <w:t xml:space="preserve"> </w:t>
      </w:r>
      <w:r w:rsidRPr="00880BBE">
        <w:rPr>
          <w:rFonts w:ascii="Times New Roman" w:eastAsia="Arial MT" w:hAnsi="Times New Roman" w:cs="Times New Roman"/>
          <w:sz w:val="24"/>
          <w:szCs w:val="24"/>
        </w:rPr>
        <w:t>la</w:t>
      </w:r>
      <w:r w:rsidRPr="00880BBE">
        <w:rPr>
          <w:rFonts w:ascii="Times New Roman" w:eastAsia="Arial MT" w:hAnsi="Times New Roman" w:cs="Times New Roman"/>
          <w:spacing w:val="-10"/>
          <w:sz w:val="24"/>
          <w:szCs w:val="24"/>
        </w:rPr>
        <w:t xml:space="preserve"> </w:t>
      </w:r>
      <w:r w:rsidRPr="00880BBE">
        <w:rPr>
          <w:rFonts w:ascii="Times New Roman" w:eastAsia="Arial MT" w:hAnsi="Times New Roman" w:cs="Times New Roman"/>
          <w:sz w:val="24"/>
          <w:szCs w:val="24"/>
        </w:rPr>
        <w:t>consideración</w:t>
      </w:r>
      <w:r w:rsidRPr="00880BBE">
        <w:rPr>
          <w:rFonts w:ascii="Times New Roman" w:eastAsia="Arial MT" w:hAnsi="Times New Roman" w:cs="Times New Roman"/>
          <w:spacing w:val="-12"/>
          <w:sz w:val="24"/>
          <w:szCs w:val="24"/>
        </w:rPr>
        <w:t xml:space="preserve"> </w:t>
      </w:r>
      <w:r w:rsidRPr="00880BBE">
        <w:rPr>
          <w:rFonts w:ascii="Times New Roman" w:eastAsia="Arial MT" w:hAnsi="Times New Roman" w:cs="Times New Roman"/>
          <w:sz w:val="24"/>
          <w:szCs w:val="24"/>
        </w:rPr>
        <w:t>de</w:t>
      </w:r>
      <w:r w:rsidRPr="00880BBE">
        <w:rPr>
          <w:rFonts w:ascii="Times New Roman" w:eastAsia="Arial MT" w:hAnsi="Times New Roman" w:cs="Times New Roman"/>
          <w:spacing w:val="-12"/>
          <w:sz w:val="24"/>
          <w:szCs w:val="24"/>
        </w:rPr>
        <w:t xml:space="preserve"> </w:t>
      </w:r>
      <w:r w:rsidRPr="00880BBE">
        <w:rPr>
          <w:rFonts w:ascii="Times New Roman" w:eastAsia="Arial MT" w:hAnsi="Times New Roman" w:cs="Times New Roman"/>
          <w:sz w:val="24"/>
          <w:szCs w:val="24"/>
        </w:rPr>
        <w:t>esta</w:t>
      </w:r>
      <w:r w:rsidRPr="00880BBE">
        <w:rPr>
          <w:rFonts w:ascii="Times New Roman" w:eastAsia="Arial MT" w:hAnsi="Times New Roman" w:cs="Times New Roman"/>
          <w:spacing w:val="-10"/>
          <w:sz w:val="24"/>
          <w:szCs w:val="24"/>
        </w:rPr>
        <w:t xml:space="preserve"> </w:t>
      </w:r>
      <w:r w:rsidRPr="00880BBE">
        <w:rPr>
          <w:rFonts w:ascii="Times New Roman" w:eastAsia="Arial MT" w:hAnsi="Times New Roman" w:cs="Times New Roman"/>
          <w:sz w:val="24"/>
          <w:szCs w:val="24"/>
        </w:rPr>
        <w:t>H.</w:t>
      </w:r>
      <w:r w:rsidRPr="00880BBE">
        <w:rPr>
          <w:rFonts w:ascii="Times New Roman" w:eastAsia="Arial MT" w:hAnsi="Times New Roman" w:cs="Times New Roman"/>
          <w:spacing w:val="-13"/>
          <w:sz w:val="24"/>
          <w:szCs w:val="24"/>
        </w:rPr>
        <w:t xml:space="preserve"> </w:t>
      </w:r>
      <w:r w:rsidRPr="00880BBE">
        <w:rPr>
          <w:rFonts w:ascii="Times New Roman" w:eastAsia="Arial MT" w:hAnsi="Times New Roman" w:cs="Times New Roman"/>
          <w:sz w:val="24"/>
          <w:szCs w:val="24"/>
        </w:rPr>
        <w:t xml:space="preserve">Legislatura, </w:t>
      </w:r>
      <w:r w:rsidRPr="00880BBE">
        <w:rPr>
          <w:rFonts w:ascii="Times New Roman" w:eastAsia="Arial MT" w:hAnsi="Times New Roman" w:cs="Times New Roman"/>
          <w:b/>
          <w:sz w:val="24"/>
          <w:szCs w:val="24"/>
        </w:rPr>
        <w:t xml:space="preserve">Iniciativa de reforma con adición a los Artículos 242 </w:t>
      </w:r>
      <w:r w:rsidRPr="007A27A5">
        <w:rPr>
          <w:rFonts w:ascii="Times New Roman" w:eastAsia="Arial MT" w:hAnsi="Times New Roman" w:cs="Times New Roman"/>
          <w:b/>
          <w:sz w:val="24"/>
          <w:szCs w:val="24"/>
        </w:rPr>
        <w:t>FRACCIÓN VI, 269 PARRAFO</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I,</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269</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BIS</w:t>
      </w:r>
      <w:r w:rsidRPr="007A27A5">
        <w:rPr>
          <w:rFonts w:ascii="Times New Roman" w:eastAsia="Arial MT" w:hAnsi="Times New Roman" w:cs="Times New Roman"/>
          <w:b/>
          <w:spacing w:val="-4"/>
          <w:sz w:val="24"/>
          <w:szCs w:val="24"/>
        </w:rPr>
        <w:t xml:space="preserve"> </w:t>
      </w:r>
      <w:r w:rsidRPr="007A27A5">
        <w:rPr>
          <w:rFonts w:ascii="Times New Roman" w:eastAsia="Arial MT" w:hAnsi="Times New Roman" w:cs="Times New Roman"/>
          <w:b/>
          <w:sz w:val="24"/>
          <w:szCs w:val="24"/>
        </w:rPr>
        <w:t>PARRAFO</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I,</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270</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BIS</w:t>
      </w:r>
      <w:r w:rsidRPr="007A27A5">
        <w:rPr>
          <w:rFonts w:ascii="Times New Roman" w:eastAsia="Arial MT" w:hAnsi="Times New Roman" w:cs="Times New Roman"/>
          <w:b/>
          <w:spacing w:val="-4"/>
          <w:sz w:val="24"/>
          <w:szCs w:val="24"/>
        </w:rPr>
        <w:t xml:space="preserve"> </w:t>
      </w:r>
      <w:r w:rsidRPr="007A27A5">
        <w:rPr>
          <w:rFonts w:ascii="Times New Roman" w:eastAsia="Arial MT" w:hAnsi="Times New Roman" w:cs="Times New Roman"/>
          <w:b/>
          <w:sz w:val="24"/>
          <w:szCs w:val="24"/>
        </w:rPr>
        <w:t>FRACCIÓN</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V,</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274</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FRACCIÓN</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IX</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pacing w:val="-5"/>
          <w:sz w:val="24"/>
          <w:szCs w:val="24"/>
        </w:rPr>
        <w:t xml:space="preserve">del </w:t>
      </w:r>
      <w:r w:rsidRPr="007A27A5">
        <w:rPr>
          <w:rFonts w:ascii="Times New Roman" w:eastAsia="Arial MT" w:hAnsi="Times New Roman" w:cs="Times New Roman"/>
          <w:b/>
          <w:sz w:val="24"/>
          <w:szCs w:val="24"/>
        </w:rPr>
        <w:t>Código Penal del Estado de México con el objetivo de incluir la conducta del acecho como circunstancia agravante.</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evolución</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derecho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penal</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ha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estado íntimamente</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ligada</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forma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las sociedades comprenden y enfrentan la violencia. Tradicionalmente, el sistema jurídico</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se</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centraba</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sancionar</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daños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físicos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directos,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mientras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formas de violencia psicoemocional o anticipatoria quedaban fuera del ámbito penal.</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Fue hasta finales del siglo XX que se comenzó a visibilizar una conducta hasta entonces desestimada: el acecho, también conocido como </w:t>
      </w:r>
      <w:proofErr w:type="spellStart"/>
      <w:r w:rsidRPr="007A27A5">
        <w:rPr>
          <w:rFonts w:ascii="Times New Roman" w:eastAsia="Arial MT" w:hAnsi="Times New Roman" w:cs="Times New Roman"/>
          <w:i/>
          <w:sz w:val="24"/>
          <w:szCs w:val="24"/>
        </w:rPr>
        <w:t>stalking</w:t>
      </w:r>
      <w:proofErr w:type="spellEnd"/>
      <w:r w:rsidRPr="007A27A5">
        <w:rPr>
          <w:rFonts w:ascii="Times New Roman" w:eastAsia="Arial MT" w:hAnsi="Times New Roman" w:cs="Times New Roman"/>
          <w:i/>
          <w:sz w:val="24"/>
          <w:szCs w:val="24"/>
        </w:rPr>
        <w:t xml:space="preserve">, </w:t>
      </w:r>
      <w:r w:rsidRPr="007A27A5">
        <w:rPr>
          <w:rFonts w:ascii="Times New Roman" w:eastAsia="Arial MT" w:hAnsi="Times New Roman" w:cs="Times New Roman"/>
          <w:sz w:val="24"/>
          <w:szCs w:val="24"/>
        </w:rPr>
        <w:t>caracterizado por ser un patrón reiterado y no consentido de conductas dirigidas a una persona concreta que incluyen vigilancia, seguimiento, persecución, rastreo, envío persistente de mensajes, amenazas veladas o expresas, uso de terceros para aproximarse</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víctima,</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acceso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no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autorizado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dispositivos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cuentas,</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cualquier modalidad</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provoque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víctima</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estado</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temor,</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intranquilidad</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o</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pérdida de autonomía en su vida cotidiana por acciones persistentes de vigilancia, hostigamiento, seguimiento o comunicación no deseada, con la intención de controlar, intimidar o atemorizar a la víctima.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pacing w:val="-2"/>
          <w:sz w:val="24"/>
          <w:szCs w:val="24"/>
        </w:rPr>
        <w:t>En</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1990,</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pacing w:val="-2"/>
          <w:sz w:val="24"/>
          <w:szCs w:val="24"/>
        </w:rPr>
        <w:t>California</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se</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pacing w:val="-2"/>
          <w:sz w:val="24"/>
          <w:szCs w:val="24"/>
        </w:rPr>
        <w:t>convirtió</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en</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el</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pacing w:val="-2"/>
          <w:sz w:val="24"/>
          <w:szCs w:val="24"/>
        </w:rPr>
        <w:t>primer</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pacing w:val="-2"/>
          <w:sz w:val="24"/>
          <w:szCs w:val="24"/>
        </w:rPr>
        <w:t>estado</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pacing w:val="-2"/>
          <w:sz w:val="24"/>
          <w:szCs w:val="24"/>
        </w:rPr>
        <w:t>en</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pacing w:val="-2"/>
          <w:sz w:val="24"/>
          <w:szCs w:val="24"/>
        </w:rPr>
        <w:t>el</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pacing w:val="-2"/>
          <w:sz w:val="24"/>
          <w:szCs w:val="24"/>
        </w:rPr>
        <w:t>mundo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en</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tipificar</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pacing w:val="-2"/>
          <w:sz w:val="24"/>
          <w:szCs w:val="24"/>
        </w:rPr>
        <w:t>el</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pacing w:val="-2"/>
          <w:sz w:val="24"/>
          <w:szCs w:val="24"/>
        </w:rPr>
        <w:t xml:space="preserve">acecho </w:t>
      </w:r>
      <w:r w:rsidRPr="007A27A5">
        <w:rPr>
          <w:rFonts w:ascii="Times New Roman" w:eastAsia="Arial MT" w:hAnsi="Times New Roman" w:cs="Times New Roman"/>
          <w:sz w:val="24"/>
          <w:szCs w:val="24"/>
        </w:rPr>
        <w:t>como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delito,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luego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una</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serie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feminicidios</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ampliamente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mediáticos,</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que se descubrió que los agresores habían acechado a sus víctimas durante semanas o meses antes de cometer los homicidios. A partir de este hito, otros países desarrollaron legislaciones similares, reconociendo que el acecho constituye una antesala común de delitos violentos, particularmente contra mujeres.</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Organismos multilaterales han reconocido el acecho como una forma de violencia. La Convención de Belém do Pará (1994), firmada por México, establece que los Estados deben adoptar políticas para prevenir y sancionar todas las formas de violencia contra las mujeres, incluyendo la de naturaleza psicológica y las que ocurren en espacios privados o públicos. En línea con ello, la </w:t>
      </w:r>
      <w:r w:rsidRPr="007A27A5">
        <w:rPr>
          <w:rFonts w:ascii="Times New Roman" w:eastAsia="Arial MT" w:hAnsi="Times New Roman" w:cs="Times New Roman"/>
          <w:sz w:val="24"/>
          <w:szCs w:val="24"/>
        </w:rPr>
        <w:lastRenderedPageBreak/>
        <w:t>Convención sobre la Eliminación de todas las Formas de Discriminación contra la Mujer (CEDAW) ha instado a los países a incorporar figuras legales que sancionen la violencia de género en todos sus niveles, incluyendo la violencia previa a la agresión física.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En países como España, Alemania, Canadá y Reino Unido, el acecho es ya reconocido tanto como delito autónomo como circunstancia agravante en otros delitos cuando se acredita que la víctima fue objeto de seguimiento, vigilancia o manipulación previa, por ejemplo, </w:t>
      </w:r>
      <w:r w:rsidRPr="007A27A5">
        <w:rPr>
          <w:rFonts w:ascii="Times New Roman" w:eastAsia="Arial MT" w:hAnsi="Times New Roman" w:cs="Times New Roman"/>
          <w:b/>
          <w:sz w:val="24"/>
          <w:szCs w:val="24"/>
        </w:rPr>
        <w:t xml:space="preserve">España incorporó el delito de </w:t>
      </w:r>
      <w:proofErr w:type="spellStart"/>
      <w:r w:rsidRPr="007A27A5">
        <w:rPr>
          <w:rFonts w:ascii="Times New Roman" w:eastAsia="Arial MT" w:hAnsi="Times New Roman" w:cs="Times New Roman"/>
          <w:b/>
          <w:sz w:val="24"/>
          <w:szCs w:val="24"/>
        </w:rPr>
        <w:t>stalking</w:t>
      </w:r>
      <w:proofErr w:type="spellEnd"/>
      <w:r w:rsidRPr="007A27A5">
        <w:rPr>
          <w:rFonts w:ascii="Times New Roman" w:eastAsia="Arial MT" w:hAnsi="Times New Roman" w:cs="Times New Roman"/>
          <w:b/>
          <w:sz w:val="24"/>
          <w:szCs w:val="24"/>
        </w:rPr>
        <w:t xml:space="preserve"> en su Código Penal (art. 172 ter) en 2015</w:t>
      </w:r>
      <w:r w:rsidRPr="007A27A5">
        <w:rPr>
          <w:rFonts w:ascii="Times New Roman" w:eastAsia="Arial MT" w:hAnsi="Times New Roman" w:cs="Times New Roman"/>
          <w:sz w:val="24"/>
          <w:szCs w:val="24"/>
        </w:rPr>
        <w:t>, sancionando conductas reiteradas de vigilancia y contacto no deseado.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Estos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sistemas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legales</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entienden</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acecho</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demuestra</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premeditación,</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control, dolo prolongado y desprecio por la voluntad de la víctima lo que justifica un mayor reproche penal.</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En el caso mexicano, algunas entidades federativas el delito de acecho ya está contemplado en la legislación de cinco estados: Estado de México, Tamaulipas, Guanajuato, Coahuila y Nuevo León.</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 nivel federal , aunque aún no existe una figura específica en el Código Penal Federal, la Cámara de Diputados ha discutido iniciativas al respecto desde 2021 a Través del CELIG (Centro de Estudios para el Logro de la igualdad de Género), reconociendo que el acecho es un fenómeno creciente, especialmente mediante redes sociales y medios digitales.</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Módulo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sobre</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Ciberacoso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(MOCIBA)</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INEGI</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reportó</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b/>
          <w:sz w:val="24"/>
          <w:szCs w:val="24"/>
        </w:rPr>
        <w:t>en</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2023</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el</w:t>
      </w:r>
      <w:r w:rsidRPr="007A27A5">
        <w:rPr>
          <w:rFonts w:ascii="Times New Roman" w:eastAsia="Arial MT" w:hAnsi="Times New Roman" w:cs="Times New Roman"/>
          <w:b/>
          <w:spacing w:val="-7"/>
          <w:sz w:val="24"/>
          <w:szCs w:val="24"/>
        </w:rPr>
        <w:t xml:space="preserve"> </w:t>
      </w:r>
      <w:r w:rsidRPr="007A27A5">
        <w:rPr>
          <w:rFonts w:ascii="Times New Roman" w:eastAsia="Arial MT" w:hAnsi="Times New Roman" w:cs="Times New Roman"/>
          <w:b/>
          <w:sz w:val="24"/>
          <w:szCs w:val="24"/>
        </w:rPr>
        <w:t>20.9%</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de la población usuaria de Internet experimentó alguna situación de acoso cibernético</w:t>
      </w:r>
      <w:r w:rsidRPr="007A27A5">
        <w:rPr>
          <w:rFonts w:ascii="Times New Roman" w:eastAsia="Arial MT" w:hAnsi="Times New Roman" w:cs="Times New Roman"/>
          <w:sz w:val="24"/>
          <w:szCs w:val="24"/>
        </w:rPr>
        <w:t xml:space="preserve">, lo que representa alrededor de </w:t>
      </w:r>
      <w:r w:rsidRPr="007A27A5">
        <w:rPr>
          <w:rFonts w:ascii="Times New Roman" w:eastAsia="Arial MT" w:hAnsi="Times New Roman" w:cs="Times New Roman"/>
          <w:b/>
          <w:sz w:val="24"/>
          <w:szCs w:val="24"/>
        </w:rPr>
        <w:t>18.4 millones de personas de 12 años y más</w:t>
      </w:r>
      <w:r w:rsidRPr="007A27A5">
        <w:rPr>
          <w:rFonts w:ascii="Times New Roman" w:eastAsia="Arial MT" w:hAnsi="Times New Roman" w:cs="Times New Roman"/>
          <w:sz w:val="24"/>
          <w:szCs w:val="24"/>
        </w:rPr>
        <w:t>. Estos datos muestran la dimensión masiva del acoso en entornos digitales, componente frecuente del acecho moderno.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Según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datos</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Centro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Investigación</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Política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Social</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(CIEPS)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Gobierno</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 xml:space="preserve">del Estado de México, una de cada dos mujeres que denunciaron ser víctimas de violencia en su última relación de pareja, señaló el acecho como una de las conductas violentas por parte de su agresor. Se estima que, </w:t>
      </w:r>
      <w:r w:rsidRPr="007A27A5">
        <w:rPr>
          <w:rFonts w:ascii="Times New Roman" w:eastAsia="Arial MT" w:hAnsi="Times New Roman" w:cs="Times New Roman"/>
          <w:b/>
          <w:sz w:val="24"/>
          <w:szCs w:val="24"/>
        </w:rPr>
        <w:t>en el Estado de México, el 78.7% de las mujeres de 15 años o más han experimentado algún tipo</w:t>
      </w:r>
      <w:r w:rsidRPr="007A27A5">
        <w:rPr>
          <w:rFonts w:ascii="Times New Roman" w:eastAsia="Arial MT" w:hAnsi="Times New Roman" w:cs="Times New Roman"/>
          <w:b/>
          <w:spacing w:val="-11"/>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violencia</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a</w:t>
      </w:r>
      <w:r w:rsidRPr="007A27A5">
        <w:rPr>
          <w:rFonts w:ascii="Times New Roman" w:eastAsia="Arial MT" w:hAnsi="Times New Roman" w:cs="Times New Roman"/>
          <w:b/>
          <w:spacing w:val="-12"/>
          <w:sz w:val="24"/>
          <w:szCs w:val="24"/>
        </w:rPr>
        <w:t xml:space="preserve"> </w:t>
      </w:r>
      <w:r w:rsidRPr="007A27A5">
        <w:rPr>
          <w:rFonts w:ascii="Times New Roman" w:eastAsia="Arial MT" w:hAnsi="Times New Roman" w:cs="Times New Roman"/>
          <w:b/>
          <w:sz w:val="24"/>
          <w:szCs w:val="24"/>
        </w:rPr>
        <w:t>lo</w:t>
      </w:r>
      <w:r w:rsidRPr="007A27A5">
        <w:rPr>
          <w:rFonts w:ascii="Times New Roman" w:eastAsia="Arial MT" w:hAnsi="Times New Roman" w:cs="Times New Roman"/>
          <w:b/>
          <w:spacing w:val="-12"/>
          <w:sz w:val="24"/>
          <w:szCs w:val="24"/>
        </w:rPr>
        <w:t xml:space="preserve"> </w:t>
      </w:r>
      <w:r w:rsidRPr="007A27A5">
        <w:rPr>
          <w:rFonts w:ascii="Times New Roman" w:eastAsia="Arial MT" w:hAnsi="Times New Roman" w:cs="Times New Roman"/>
          <w:b/>
          <w:sz w:val="24"/>
          <w:szCs w:val="24"/>
        </w:rPr>
        <w:t>largo</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12"/>
          <w:sz w:val="24"/>
          <w:szCs w:val="24"/>
        </w:rPr>
        <w:t xml:space="preserve"> </w:t>
      </w:r>
      <w:r w:rsidRPr="007A27A5">
        <w:rPr>
          <w:rFonts w:ascii="Times New Roman" w:eastAsia="Arial MT" w:hAnsi="Times New Roman" w:cs="Times New Roman"/>
          <w:b/>
          <w:sz w:val="24"/>
          <w:szCs w:val="24"/>
        </w:rPr>
        <w:t>su</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vida,</w:t>
      </w:r>
      <w:r w:rsidRPr="007A27A5">
        <w:rPr>
          <w:rFonts w:ascii="Times New Roman" w:eastAsia="Arial MT" w:hAnsi="Times New Roman" w:cs="Times New Roman"/>
          <w:b/>
          <w:spacing w:val="-7"/>
          <w:sz w:val="24"/>
          <w:szCs w:val="24"/>
        </w:rPr>
        <w:t xml:space="preserve"> </w:t>
      </w:r>
      <w:r w:rsidRPr="007A27A5">
        <w:rPr>
          <w:rFonts w:ascii="Times New Roman" w:eastAsia="Arial MT" w:hAnsi="Times New Roman" w:cs="Times New Roman"/>
          <w:b/>
          <w:sz w:val="24"/>
          <w:szCs w:val="24"/>
        </w:rPr>
        <w:t>y</w:t>
      </w:r>
      <w:r w:rsidRPr="007A27A5">
        <w:rPr>
          <w:rFonts w:ascii="Times New Roman" w:eastAsia="Arial MT" w:hAnsi="Times New Roman" w:cs="Times New Roman"/>
          <w:b/>
          <w:spacing w:val="-15"/>
          <w:sz w:val="24"/>
          <w:szCs w:val="24"/>
        </w:rPr>
        <w:t xml:space="preserve"> </w:t>
      </w:r>
      <w:r w:rsidRPr="007A27A5">
        <w:rPr>
          <w:rFonts w:ascii="Times New Roman" w:eastAsia="Arial MT" w:hAnsi="Times New Roman" w:cs="Times New Roman"/>
          <w:b/>
          <w:sz w:val="24"/>
          <w:szCs w:val="24"/>
        </w:rPr>
        <w:t>el</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47.6%</w:t>
      </w:r>
      <w:r w:rsidRPr="007A27A5">
        <w:rPr>
          <w:rFonts w:ascii="Times New Roman" w:eastAsia="Arial MT" w:hAnsi="Times New Roman" w:cs="Times New Roman"/>
          <w:b/>
          <w:spacing w:val="-12"/>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12"/>
          <w:sz w:val="24"/>
          <w:szCs w:val="24"/>
        </w:rPr>
        <w:t xml:space="preserve"> </w:t>
      </w:r>
      <w:r w:rsidRPr="007A27A5">
        <w:rPr>
          <w:rFonts w:ascii="Times New Roman" w:eastAsia="Arial MT" w:hAnsi="Times New Roman" w:cs="Times New Roman"/>
          <w:b/>
          <w:sz w:val="24"/>
          <w:szCs w:val="24"/>
        </w:rPr>
        <w:t>ellas</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la</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vivió</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entre</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 xml:space="preserve">octubre de 2020 y octubre de 2021. </w:t>
      </w:r>
      <w:r w:rsidRPr="007A27A5">
        <w:rPr>
          <w:rFonts w:ascii="Times New Roman" w:eastAsia="Arial MT" w:hAnsi="Times New Roman" w:cs="Times New Roman"/>
          <w:sz w:val="24"/>
          <w:szCs w:val="24"/>
        </w:rPr>
        <w:t>Estas cifras ponen en perspectiva el alcance de la inseguridad que enfrentan miles de personas diariamente.</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sz w:val="24"/>
          <w:szCs w:val="24"/>
        </w:rPr>
        <w:t xml:space="preserve">Por su parte, estadísticas del Centro de Estudios Sociales y de Opinión Pública de la Cámara de Diputados (CESOP) arrojan datos reveladores a nivel nacional; el </w:t>
      </w:r>
      <w:r w:rsidRPr="007A27A5">
        <w:rPr>
          <w:rFonts w:ascii="Times New Roman" w:eastAsia="Arial MT" w:hAnsi="Times New Roman" w:cs="Times New Roman"/>
          <w:b/>
          <w:sz w:val="24"/>
          <w:szCs w:val="24"/>
        </w:rPr>
        <w:t>1.6%</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fue</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víctima</w:t>
      </w:r>
      <w:r w:rsidRPr="007A27A5">
        <w:rPr>
          <w:rFonts w:ascii="Times New Roman" w:eastAsia="Arial MT" w:hAnsi="Times New Roman" w:cs="Times New Roman"/>
          <w:b/>
          <w:spacing w:val="-16"/>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intimidación</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o</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acecho</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cuanto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entidades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 xml:space="preserve">federativas, destacan el </w:t>
      </w:r>
      <w:r w:rsidRPr="007A27A5">
        <w:rPr>
          <w:rFonts w:ascii="Times New Roman" w:eastAsia="Arial MT" w:hAnsi="Times New Roman" w:cs="Times New Roman"/>
          <w:b/>
          <w:sz w:val="24"/>
          <w:szCs w:val="24"/>
        </w:rPr>
        <w:t>Estado</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México</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con</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297,700</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casos, seguido</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por</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Chihuahua con 220,800 y Baja California con 219,000</w:t>
      </w:r>
      <w:r w:rsidR="00F335BE" w:rsidRPr="007A27A5">
        <w:rPr>
          <w:rFonts w:ascii="Times New Roman" w:eastAsia="Arial MT" w:hAnsi="Times New Roman" w:cs="Times New Roman"/>
          <w:b/>
          <w:sz w:val="24"/>
          <w:szCs w:val="24"/>
        </w:rPr>
        <w:t>.</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incremento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reportes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ciberacoso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uso</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medios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tecnológicos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para</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vigilar y hostigar a víctimas configuran rutas de escalada hacia delitos sexuales y letales; situación que la literatura criminológica y reportes forenses locales han vinculado con casos de violencia extrema.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Según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b/>
          <w:sz w:val="24"/>
          <w:szCs w:val="24"/>
        </w:rPr>
        <w:t>Observatorio</w:t>
      </w:r>
      <w:r w:rsidRPr="007A27A5">
        <w:rPr>
          <w:rFonts w:ascii="Times New Roman" w:eastAsia="Arial MT" w:hAnsi="Times New Roman" w:cs="Times New Roman"/>
          <w:b/>
          <w:spacing w:val="-16"/>
          <w:sz w:val="24"/>
          <w:szCs w:val="24"/>
        </w:rPr>
        <w:t xml:space="preserve"> </w:t>
      </w:r>
      <w:r w:rsidRPr="007A27A5">
        <w:rPr>
          <w:rFonts w:ascii="Times New Roman" w:eastAsia="Arial MT" w:hAnsi="Times New Roman" w:cs="Times New Roman"/>
          <w:b/>
          <w:sz w:val="24"/>
          <w:szCs w:val="24"/>
        </w:rPr>
        <w:t>Nacional</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Feminicidios</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(2023)</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b/>
          <w:sz w:val="24"/>
          <w:szCs w:val="24"/>
        </w:rPr>
        <w:t>en</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el</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76</w:t>
      </w:r>
      <w:r w:rsidRPr="007A27A5">
        <w:rPr>
          <w:rFonts w:ascii="Times New Roman" w:eastAsia="Arial MT" w:hAnsi="Times New Roman" w:cs="Times New Roman"/>
          <w:b/>
          <w:spacing w:val="-16"/>
          <w:sz w:val="24"/>
          <w:szCs w:val="24"/>
        </w:rPr>
        <w:t xml:space="preserve"> </w:t>
      </w:r>
      <w:r w:rsidRPr="007A27A5">
        <w:rPr>
          <w:rFonts w:ascii="Times New Roman" w:eastAsia="Arial MT" w:hAnsi="Times New Roman" w:cs="Times New Roman"/>
          <w:b/>
          <w:sz w:val="24"/>
          <w:szCs w:val="24"/>
        </w:rPr>
        <w:t>%</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17"/>
          <w:sz w:val="24"/>
          <w:szCs w:val="24"/>
        </w:rPr>
        <w:t xml:space="preserve"> </w:t>
      </w:r>
      <w:r w:rsidRPr="007A27A5">
        <w:rPr>
          <w:rFonts w:ascii="Times New Roman" w:eastAsia="Arial MT" w:hAnsi="Times New Roman" w:cs="Times New Roman"/>
          <w:b/>
          <w:sz w:val="24"/>
          <w:szCs w:val="24"/>
        </w:rPr>
        <w:t>los</w:t>
      </w:r>
      <w:r w:rsidRPr="007A27A5">
        <w:rPr>
          <w:rFonts w:ascii="Times New Roman" w:eastAsia="Arial MT" w:hAnsi="Times New Roman" w:cs="Times New Roman"/>
          <w:b/>
          <w:spacing w:val="-16"/>
          <w:sz w:val="24"/>
          <w:szCs w:val="24"/>
        </w:rPr>
        <w:t xml:space="preserve"> </w:t>
      </w:r>
      <w:r w:rsidRPr="007A27A5">
        <w:rPr>
          <w:rFonts w:ascii="Times New Roman" w:eastAsia="Arial MT" w:hAnsi="Times New Roman" w:cs="Times New Roman"/>
          <w:b/>
          <w:sz w:val="24"/>
          <w:szCs w:val="24"/>
        </w:rPr>
        <w:t>casos de</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feminicidio</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en</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pareja</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se</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identificó</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un</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patrón</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previo</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acecho,</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amenazas</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o vigilancia constante</w:t>
      </w:r>
      <w:r w:rsidRPr="007A27A5">
        <w:rPr>
          <w:rFonts w:ascii="Times New Roman" w:eastAsia="Arial MT" w:hAnsi="Times New Roman" w:cs="Times New Roman"/>
          <w:sz w:val="24"/>
          <w:szCs w:val="24"/>
        </w:rPr>
        <w:t>.</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Estado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México,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recientemente</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se</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ha</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dado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paso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importante</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al</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aprobarse la tipificación</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acecho como</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delito</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autónomo.</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Sin embargo,</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frente a la</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 xml:space="preserve">evidencia empírica y jurídica, es urgente dar un paso más allá: reconocer el acecho como agravante en delitos graves como homicidio, </w:t>
      </w:r>
      <w:r w:rsidRPr="007A27A5">
        <w:rPr>
          <w:rFonts w:ascii="Times New Roman" w:eastAsia="Arial MT" w:hAnsi="Times New Roman" w:cs="Times New Roman"/>
          <w:sz w:val="24"/>
          <w:szCs w:val="24"/>
        </w:rPr>
        <w:lastRenderedPageBreak/>
        <w:t>hostigamiento sexual, acoso sexual, abuso sexual, violación y feminicidio.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Los estudios demuestran que el acecho es una conducta previa común en delitos graves,</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agresor</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utiliza</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acecho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para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conocer</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hábitos,</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vulnerabilidades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rutinas de la víctima. La persistencia del seguimiento y la vigilancia demuestra la determinación del agresor y su disposición a controlar o lesionar a la víctima.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En muchos expedientes, conductas de acecho preceden crímenes graves, por lo que su reconocimiento jurídico como agravante permitirá valorar la mayor peligrosidad del agente. Esta práctica refleja planificación dominación y conducta sistemática que aumenta el riesgo y agrava el daño causado. No es lo mismo una agresión espontánea que una precedida por semanas indirectas o presencia intrusiva constante.</w:t>
      </w:r>
    </w:p>
    <w:p w:rsidR="00F335BE" w:rsidRPr="007A27A5" w:rsidRDefault="00F335BE"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Establecer el acecho como circunstancia agravante permite sancionar con mayor proporcionalidad incrementando el costo jurídico para quien comete la conducta criminal y envía un mensaje social de tolerancia cero frente a conductas que menoscaban la libertad y seguridad personal, reconoce el daño psicológico prolongado que sufre la victima además, esta reforma permitiría al sistema penal prevenir</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reincidencia,</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ya</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acecho</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es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una</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conducta</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suele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repetirse</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hasta que se traduce en una agresión física o sexual consumada.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Incorporar</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acecho</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como</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agravante</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fortalece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enfoque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prevención,</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al</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permitir que el Estado sancione desde el momento en que hay evidencia de intención persistente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dañar, mejora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calidad</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vida</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víctimas</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al</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reducir</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margen de impunidad y además se alinea con los compromisos internacionales de México en materia de derechos humanos y equidad de género.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presente iniciativa no busca aumentar penas de forma arbitraria, sino reconoce con justicia el contexto en el que se cometen muchos delitos graves, y donde el acecho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es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una</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señal</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alerta</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no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puede</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seguir</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siendo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ignorara</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 xml:space="preserve">valoración </w:t>
      </w:r>
      <w:r w:rsidRPr="007A27A5">
        <w:rPr>
          <w:rFonts w:ascii="Times New Roman" w:eastAsia="Arial MT" w:hAnsi="Times New Roman" w:cs="Times New Roman"/>
          <w:spacing w:val="-2"/>
          <w:sz w:val="24"/>
          <w:szCs w:val="24"/>
        </w:rPr>
        <w:t>legal.</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Nuestro objetivo es proteger la vida, la libertad y la integridad de las personas, especialmente de las mujeres, reconociendo el acecho como condición que incrementa la peligrosidad del autor y justificando una pena mayor cuando se vincule a delitos graves. Garantizando medidas de protección temprana y eficaces para las víctimas.</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Por lo anterior expuesto, y en cumplimiento con el mandato constitucional de proteger la vida, la integridad y la dignidad de las personas, se somete a consideración</w:t>
      </w:r>
      <w:r w:rsidRPr="007A27A5">
        <w:rPr>
          <w:rFonts w:ascii="Times New Roman" w:eastAsia="Arial MT" w:hAnsi="Times New Roman" w:cs="Times New Roman"/>
          <w:spacing w:val="32"/>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32"/>
          <w:sz w:val="24"/>
          <w:szCs w:val="24"/>
        </w:rPr>
        <w:t xml:space="preserve"> </w:t>
      </w:r>
      <w:r w:rsidRPr="007A27A5">
        <w:rPr>
          <w:rFonts w:ascii="Times New Roman" w:eastAsia="Arial MT" w:hAnsi="Times New Roman" w:cs="Times New Roman"/>
          <w:sz w:val="24"/>
          <w:szCs w:val="24"/>
        </w:rPr>
        <w:t>esta</w:t>
      </w:r>
      <w:r w:rsidRPr="007A27A5">
        <w:rPr>
          <w:rFonts w:ascii="Times New Roman" w:eastAsia="Arial MT" w:hAnsi="Times New Roman" w:cs="Times New Roman"/>
          <w:spacing w:val="30"/>
          <w:sz w:val="24"/>
          <w:szCs w:val="24"/>
        </w:rPr>
        <w:t xml:space="preserve"> </w:t>
      </w:r>
      <w:r w:rsidRPr="007A27A5">
        <w:rPr>
          <w:rFonts w:ascii="Times New Roman" w:eastAsia="Arial MT" w:hAnsi="Times New Roman" w:cs="Times New Roman"/>
          <w:sz w:val="24"/>
          <w:szCs w:val="24"/>
        </w:rPr>
        <w:t>Honorable</w:t>
      </w:r>
      <w:r w:rsidRPr="007A27A5">
        <w:rPr>
          <w:rFonts w:ascii="Times New Roman" w:eastAsia="Arial MT" w:hAnsi="Times New Roman" w:cs="Times New Roman"/>
          <w:spacing w:val="30"/>
          <w:sz w:val="24"/>
          <w:szCs w:val="24"/>
        </w:rPr>
        <w:t xml:space="preserve"> </w:t>
      </w:r>
      <w:r w:rsidRPr="007A27A5">
        <w:rPr>
          <w:rFonts w:ascii="Times New Roman" w:eastAsia="Arial MT" w:hAnsi="Times New Roman" w:cs="Times New Roman"/>
          <w:sz w:val="24"/>
          <w:szCs w:val="24"/>
        </w:rPr>
        <w:t>Legislatura</w:t>
      </w:r>
      <w:r w:rsidRPr="007A27A5">
        <w:rPr>
          <w:rFonts w:ascii="Times New Roman" w:eastAsia="Arial MT" w:hAnsi="Times New Roman" w:cs="Times New Roman"/>
          <w:spacing w:val="32"/>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32"/>
          <w:sz w:val="24"/>
          <w:szCs w:val="24"/>
        </w:rPr>
        <w:t xml:space="preserve"> </w:t>
      </w:r>
      <w:r w:rsidRPr="007A27A5">
        <w:rPr>
          <w:rFonts w:ascii="Times New Roman" w:eastAsia="Arial MT" w:hAnsi="Times New Roman" w:cs="Times New Roman"/>
          <w:sz w:val="24"/>
          <w:szCs w:val="24"/>
        </w:rPr>
        <w:t>presente</w:t>
      </w:r>
      <w:r w:rsidRPr="007A27A5">
        <w:rPr>
          <w:rFonts w:ascii="Times New Roman" w:eastAsia="Arial MT" w:hAnsi="Times New Roman" w:cs="Times New Roman"/>
          <w:spacing w:val="32"/>
          <w:sz w:val="24"/>
          <w:szCs w:val="24"/>
        </w:rPr>
        <w:t xml:space="preserve"> </w:t>
      </w:r>
      <w:r w:rsidRPr="007A27A5">
        <w:rPr>
          <w:rFonts w:ascii="Times New Roman" w:eastAsia="Arial MT" w:hAnsi="Times New Roman" w:cs="Times New Roman"/>
          <w:sz w:val="24"/>
          <w:szCs w:val="24"/>
        </w:rPr>
        <w:t>iniciativa</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32"/>
          <w:sz w:val="24"/>
          <w:szCs w:val="24"/>
        </w:rPr>
        <w:t xml:space="preserve"> </w:t>
      </w:r>
      <w:r w:rsidRPr="007A27A5">
        <w:rPr>
          <w:rFonts w:ascii="Times New Roman" w:eastAsia="Arial MT" w:hAnsi="Times New Roman" w:cs="Times New Roman"/>
          <w:sz w:val="24"/>
          <w:szCs w:val="24"/>
        </w:rPr>
        <w:t>reforma</w:t>
      </w:r>
      <w:r w:rsidRPr="007A27A5">
        <w:rPr>
          <w:rFonts w:ascii="Times New Roman" w:eastAsia="Arial MT" w:hAnsi="Times New Roman" w:cs="Times New Roman"/>
          <w:spacing w:val="30"/>
          <w:sz w:val="24"/>
          <w:szCs w:val="24"/>
        </w:rPr>
        <w:t xml:space="preserve"> </w:t>
      </w:r>
      <w:r w:rsidRPr="007A27A5">
        <w:rPr>
          <w:rFonts w:ascii="Times New Roman" w:eastAsia="Arial MT" w:hAnsi="Times New Roman" w:cs="Times New Roman"/>
          <w:sz w:val="24"/>
          <w:szCs w:val="24"/>
        </w:rPr>
        <w:t>al Código Penal de Estado de México, con el propósito de que el acecho sea reconocido como una agravante en los delitos de homicidio, hostigamiento sexual, acoso sexual, abuso sexual, violación y feminicidio, fortaleciendo así un enfoque integral, preventivo y con perspectiva de género en el combate a la violencia.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Por</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lo antes</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expuesto</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se pone a consideración de la “LXII”</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Legislatura, la presente iniciativa,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para</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efecto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si</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se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encuentra</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procedente,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admita</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trámite,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para su análisis, discusión y en su caso aprobación.</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A</w:t>
      </w:r>
      <w:r w:rsidRPr="007A27A5">
        <w:rPr>
          <w:rFonts w:ascii="Times New Roman" w:eastAsia="Arial MT" w:hAnsi="Times New Roman" w:cs="Times New Roman"/>
          <w:b/>
          <w:spacing w:val="-4"/>
          <w:sz w:val="24"/>
          <w:szCs w:val="24"/>
        </w:rPr>
        <w:t xml:space="preserve"> </w:t>
      </w:r>
      <w:r w:rsidRPr="007A27A5">
        <w:rPr>
          <w:rFonts w:ascii="Times New Roman" w:eastAsia="Arial MT" w:hAnsi="Times New Roman" w:cs="Times New Roman"/>
          <w:b/>
          <w:sz w:val="24"/>
          <w:szCs w:val="24"/>
        </w:rPr>
        <w:t xml:space="preserve">t e n t a m e n t </w:t>
      </w:r>
      <w:r w:rsidRPr="007A27A5">
        <w:rPr>
          <w:rFonts w:ascii="Times New Roman" w:eastAsia="Arial MT" w:hAnsi="Times New Roman" w:cs="Times New Roman"/>
          <w:b/>
          <w:spacing w:val="-10"/>
          <w:sz w:val="24"/>
          <w:szCs w:val="24"/>
        </w:rPr>
        <w:t>e</w:t>
      </w:r>
    </w:p>
    <w:tbl>
      <w:tblPr>
        <w:tblStyle w:val="Tablaconcuadrcu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9"/>
        <w:gridCol w:w="4636"/>
      </w:tblGrid>
      <w:tr w:rsidR="00B822CD" w:rsidRPr="007A27A5" w:rsidTr="00B822CD">
        <w:trPr>
          <w:jc w:val="center"/>
        </w:trPr>
        <w:tc>
          <w:tcPr>
            <w:tcW w:w="4871" w:type="dxa"/>
          </w:tcPr>
          <w:p w:rsidR="00B822CD" w:rsidRPr="007A27A5" w:rsidRDefault="00B822CD" w:rsidP="00B822CD">
            <w:pPr>
              <w:spacing w:line="240" w:lineRule="auto"/>
              <w:jc w:val="center"/>
              <w:rPr>
                <w:rFonts w:ascii="Times New Roman" w:eastAsia="Arial MT" w:hAnsi="Times New Roman" w:cs="Times New Roman"/>
                <w:b/>
                <w:sz w:val="24"/>
                <w:szCs w:val="24"/>
                <w:lang w:val="es-MX"/>
              </w:rPr>
            </w:pPr>
            <w:r w:rsidRPr="007A27A5">
              <w:rPr>
                <w:rFonts w:ascii="Times New Roman" w:eastAsia="Arial MT" w:hAnsi="Times New Roman" w:cs="Times New Roman"/>
                <w:b/>
                <w:spacing w:val="-4"/>
                <w:sz w:val="24"/>
                <w:szCs w:val="24"/>
                <w:lang w:val="es-MX"/>
              </w:rPr>
              <w:t>DIP.</w:t>
            </w:r>
            <w:r w:rsidRPr="007A27A5">
              <w:rPr>
                <w:rFonts w:ascii="Times New Roman" w:eastAsia="Arial MT" w:hAnsi="Times New Roman" w:cs="Times New Roman"/>
                <w:b/>
                <w:spacing w:val="2"/>
                <w:sz w:val="24"/>
                <w:szCs w:val="24"/>
                <w:lang w:val="es-MX"/>
              </w:rPr>
              <w:t xml:space="preserve"> </w:t>
            </w:r>
            <w:r w:rsidRPr="007A27A5">
              <w:rPr>
                <w:rFonts w:ascii="Times New Roman" w:eastAsia="Arial MT" w:hAnsi="Times New Roman" w:cs="Times New Roman"/>
                <w:b/>
                <w:spacing w:val="-4"/>
                <w:sz w:val="24"/>
                <w:szCs w:val="24"/>
                <w:lang w:val="es-MX"/>
              </w:rPr>
              <w:t>EMMA</w:t>
            </w:r>
            <w:r w:rsidRPr="007A27A5">
              <w:rPr>
                <w:rFonts w:ascii="Times New Roman" w:eastAsia="Arial MT" w:hAnsi="Times New Roman" w:cs="Times New Roman"/>
                <w:b/>
                <w:spacing w:val="-14"/>
                <w:sz w:val="24"/>
                <w:szCs w:val="24"/>
                <w:lang w:val="es-MX"/>
              </w:rPr>
              <w:t xml:space="preserve"> </w:t>
            </w:r>
            <w:r w:rsidRPr="007A27A5">
              <w:rPr>
                <w:rFonts w:ascii="Times New Roman" w:eastAsia="Arial MT" w:hAnsi="Times New Roman" w:cs="Times New Roman"/>
                <w:b/>
                <w:spacing w:val="-4"/>
                <w:sz w:val="24"/>
                <w:szCs w:val="24"/>
                <w:lang w:val="es-MX"/>
              </w:rPr>
              <w:t>LAURA</w:t>
            </w:r>
            <w:r w:rsidRPr="007A27A5">
              <w:rPr>
                <w:rFonts w:ascii="Times New Roman" w:eastAsia="Arial MT" w:hAnsi="Times New Roman" w:cs="Times New Roman"/>
                <w:b/>
                <w:spacing w:val="-17"/>
                <w:sz w:val="24"/>
                <w:szCs w:val="24"/>
                <w:lang w:val="es-MX"/>
              </w:rPr>
              <w:t xml:space="preserve"> </w:t>
            </w:r>
            <w:r w:rsidRPr="007A27A5">
              <w:rPr>
                <w:rFonts w:ascii="Times New Roman" w:eastAsia="Arial MT" w:hAnsi="Times New Roman" w:cs="Times New Roman"/>
                <w:b/>
                <w:spacing w:val="-4"/>
                <w:sz w:val="24"/>
                <w:szCs w:val="24"/>
                <w:lang w:val="es-MX"/>
              </w:rPr>
              <w:t>ALVAREZ</w:t>
            </w:r>
            <w:r w:rsidRPr="007A27A5">
              <w:rPr>
                <w:rFonts w:ascii="Times New Roman" w:eastAsia="Arial MT" w:hAnsi="Times New Roman" w:cs="Times New Roman"/>
                <w:b/>
                <w:spacing w:val="1"/>
                <w:sz w:val="24"/>
                <w:szCs w:val="24"/>
                <w:lang w:val="es-MX"/>
              </w:rPr>
              <w:t xml:space="preserve"> </w:t>
            </w:r>
            <w:r w:rsidRPr="007A27A5">
              <w:rPr>
                <w:rFonts w:ascii="Times New Roman" w:eastAsia="Arial MT" w:hAnsi="Times New Roman" w:cs="Times New Roman"/>
                <w:b/>
                <w:spacing w:val="-4"/>
                <w:sz w:val="24"/>
                <w:szCs w:val="24"/>
                <w:lang w:val="es-MX"/>
              </w:rPr>
              <w:t>VILLAVICENCIO</w:t>
            </w:r>
          </w:p>
        </w:tc>
        <w:tc>
          <w:tcPr>
            <w:tcW w:w="4750" w:type="dxa"/>
          </w:tcPr>
          <w:p w:rsidR="00B822CD" w:rsidRPr="007A27A5" w:rsidRDefault="00B822CD" w:rsidP="00B822CD">
            <w:pPr>
              <w:spacing w:line="240" w:lineRule="auto"/>
              <w:jc w:val="center"/>
              <w:rPr>
                <w:rFonts w:ascii="Times New Roman" w:eastAsia="Arial MT" w:hAnsi="Times New Roman" w:cs="Times New Roman"/>
                <w:b/>
                <w:sz w:val="24"/>
                <w:szCs w:val="24"/>
                <w:lang w:val="es-MX"/>
              </w:rPr>
            </w:pPr>
            <w:r w:rsidRPr="007A27A5">
              <w:rPr>
                <w:rFonts w:ascii="Times New Roman" w:eastAsia="Arial MT" w:hAnsi="Times New Roman" w:cs="Times New Roman"/>
                <w:b/>
                <w:spacing w:val="-2"/>
                <w:sz w:val="24"/>
                <w:szCs w:val="24"/>
                <w:lang w:val="es-MX"/>
              </w:rPr>
              <w:t>DIP.</w:t>
            </w:r>
            <w:r w:rsidRPr="007A27A5">
              <w:rPr>
                <w:rFonts w:ascii="Times New Roman" w:eastAsia="Arial MT" w:hAnsi="Times New Roman" w:cs="Times New Roman"/>
                <w:b/>
                <w:spacing w:val="-10"/>
                <w:sz w:val="24"/>
                <w:szCs w:val="24"/>
                <w:lang w:val="es-MX"/>
              </w:rPr>
              <w:t xml:space="preserve"> </w:t>
            </w:r>
            <w:r w:rsidRPr="007A27A5">
              <w:rPr>
                <w:rFonts w:ascii="Times New Roman" w:eastAsia="Arial MT" w:hAnsi="Times New Roman" w:cs="Times New Roman"/>
                <w:b/>
                <w:spacing w:val="-2"/>
                <w:sz w:val="24"/>
                <w:szCs w:val="24"/>
                <w:lang w:val="es-MX"/>
              </w:rPr>
              <w:t>PABLO</w:t>
            </w:r>
            <w:r w:rsidRPr="007A27A5">
              <w:rPr>
                <w:rFonts w:ascii="Times New Roman" w:eastAsia="Arial MT" w:hAnsi="Times New Roman" w:cs="Times New Roman"/>
                <w:b/>
                <w:spacing w:val="-7"/>
                <w:sz w:val="24"/>
                <w:szCs w:val="24"/>
                <w:lang w:val="es-MX"/>
              </w:rPr>
              <w:t xml:space="preserve"> </w:t>
            </w:r>
            <w:r w:rsidRPr="007A27A5">
              <w:rPr>
                <w:rFonts w:ascii="Times New Roman" w:eastAsia="Arial MT" w:hAnsi="Times New Roman" w:cs="Times New Roman"/>
                <w:b/>
                <w:spacing w:val="-2"/>
                <w:sz w:val="24"/>
                <w:szCs w:val="24"/>
                <w:lang w:val="es-MX"/>
              </w:rPr>
              <w:t>FERNÁNDEZ</w:t>
            </w:r>
            <w:r w:rsidRPr="007A27A5">
              <w:rPr>
                <w:rFonts w:ascii="Times New Roman" w:eastAsia="Arial MT" w:hAnsi="Times New Roman" w:cs="Times New Roman"/>
                <w:b/>
                <w:spacing w:val="-7"/>
                <w:sz w:val="24"/>
                <w:szCs w:val="24"/>
                <w:lang w:val="es-MX"/>
              </w:rPr>
              <w:t xml:space="preserve"> </w:t>
            </w:r>
            <w:r w:rsidRPr="007A27A5">
              <w:rPr>
                <w:rFonts w:ascii="Times New Roman" w:eastAsia="Arial MT" w:hAnsi="Times New Roman" w:cs="Times New Roman"/>
                <w:b/>
                <w:spacing w:val="-2"/>
                <w:sz w:val="24"/>
                <w:szCs w:val="24"/>
                <w:lang w:val="es-MX"/>
              </w:rPr>
              <w:t>DE</w:t>
            </w:r>
            <w:r w:rsidRPr="007A27A5">
              <w:rPr>
                <w:rFonts w:ascii="Times New Roman" w:eastAsia="Arial MT" w:hAnsi="Times New Roman" w:cs="Times New Roman"/>
                <w:b/>
                <w:spacing w:val="-7"/>
                <w:sz w:val="24"/>
                <w:szCs w:val="24"/>
                <w:lang w:val="es-MX"/>
              </w:rPr>
              <w:t xml:space="preserve"> </w:t>
            </w:r>
            <w:r w:rsidRPr="007A27A5">
              <w:rPr>
                <w:rFonts w:ascii="Times New Roman" w:eastAsia="Arial MT" w:hAnsi="Times New Roman" w:cs="Times New Roman"/>
                <w:b/>
                <w:spacing w:val="-2"/>
                <w:sz w:val="24"/>
                <w:szCs w:val="24"/>
                <w:lang w:val="es-MX"/>
              </w:rPr>
              <w:t>CEVALLOS</w:t>
            </w:r>
            <w:r w:rsidRPr="007A27A5">
              <w:rPr>
                <w:rFonts w:ascii="Times New Roman" w:eastAsia="Arial MT" w:hAnsi="Times New Roman" w:cs="Times New Roman"/>
                <w:b/>
                <w:spacing w:val="-7"/>
                <w:sz w:val="24"/>
                <w:szCs w:val="24"/>
                <w:lang w:val="es-MX"/>
              </w:rPr>
              <w:t xml:space="preserve"> </w:t>
            </w:r>
            <w:r w:rsidRPr="007A27A5">
              <w:rPr>
                <w:rFonts w:ascii="Times New Roman" w:eastAsia="Arial MT" w:hAnsi="Times New Roman" w:cs="Times New Roman"/>
                <w:b/>
                <w:spacing w:val="-2"/>
                <w:sz w:val="24"/>
                <w:szCs w:val="24"/>
                <w:lang w:val="es-MX"/>
              </w:rPr>
              <w:t>GONZÁLEZ</w:t>
            </w:r>
          </w:p>
        </w:tc>
      </w:tr>
    </w:tbl>
    <w:p w:rsidR="00B822CD" w:rsidRPr="007A27A5" w:rsidRDefault="00B822CD" w:rsidP="00B822CD">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Grupo</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Parlamentario</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del</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Partido</w:t>
      </w:r>
      <w:r w:rsidRPr="007A27A5">
        <w:rPr>
          <w:rFonts w:ascii="Times New Roman" w:eastAsia="Arial MT" w:hAnsi="Times New Roman" w:cs="Times New Roman"/>
          <w:b/>
          <w:spacing w:val="-11"/>
          <w:sz w:val="24"/>
          <w:szCs w:val="24"/>
        </w:rPr>
        <w:t xml:space="preserve"> </w:t>
      </w:r>
      <w:r w:rsidRPr="007A27A5">
        <w:rPr>
          <w:rFonts w:ascii="Times New Roman" w:eastAsia="Arial MT" w:hAnsi="Times New Roman" w:cs="Times New Roman"/>
          <w:b/>
          <w:sz w:val="24"/>
          <w:szCs w:val="24"/>
        </w:rPr>
        <w:t>Acción</w:t>
      </w:r>
      <w:r w:rsidRPr="007A27A5">
        <w:rPr>
          <w:rFonts w:ascii="Times New Roman" w:eastAsia="Arial MT" w:hAnsi="Times New Roman" w:cs="Times New Roman"/>
          <w:b/>
          <w:spacing w:val="-2"/>
          <w:sz w:val="24"/>
          <w:szCs w:val="24"/>
        </w:rPr>
        <w:t xml:space="preserve"> Nacional</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DECRETO</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pacing w:val="-2"/>
          <w:sz w:val="24"/>
          <w:szCs w:val="24"/>
        </w:rPr>
        <w:t>NUMERO: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LA H. LXII LEGISLATURA DEL</w:t>
      </w:r>
      <w:r w:rsidRPr="007A27A5">
        <w:rPr>
          <w:rFonts w:ascii="Times New Roman" w:eastAsia="Arial MT" w:hAnsi="Times New Roman" w:cs="Times New Roman"/>
          <w:b/>
          <w:spacing w:val="-12"/>
          <w:sz w:val="24"/>
          <w:szCs w:val="24"/>
        </w:rPr>
        <w:t xml:space="preserve"> </w:t>
      </w:r>
      <w:r w:rsidRPr="007A27A5">
        <w:rPr>
          <w:rFonts w:ascii="Times New Roman" w:eastAsia="Arial MT" w:hAnsi="Times New Roman" w:cs="Times New Roman"/>
          <w:b/>
          <w:sz w:val="24"/>
          <w:szCs w:val="24"/>
        </w:rPr>
        <w:t>ESTADO</w:t>
      </w:r>
      <w:r w:rsidRPr="007A27A5">
        <w:rPr>
          <w:rFonts w:ascii="Times New Roman" w:eastAsia="Arial MT" w:hAnsi="Times New Roman" w:cs="Times New Roman"/>
          <w:b/>
          <w:spacing w:val="-7"/>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7"/>
          <w:sz w:val="24"/>
          <w:szCs w:val="24"/>
        </w:rPr>
        <w:t xml:space="preserve"> </w:t>
      </w:r>
      <w:r w:rsidRPr="007A27A5">
        <w:rPr>
          <w:rFonts w:ascii="Times New Roman" w:eastAsia="Arial MT" w:hAnsi="Times New Roman" w:cs="Times New Roman"/>
          <w:b/>
          <w:spacing w:val="-2"/>
          <w:sz w:val="24"/>
          <w:szCs w:val="24"/>
        </w:rPr>
        <w:t>MÉXICO.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pacing w:val="-2"/>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pacing w:val="-2"/>
          <w:sz w:val="24"/>
          <w:szCs w:val="24"/>
        </w:rPr>
        <w:t>DECRETA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ARTÍCULO UNICO. Se adiciona la fracción VI al artículo 242, se reforman los artículos</w:t>
      </w:r>
      <w:r w:rsidRPr="007A27A5">
        <w:rPr>
          <w:rFonts w:ascii="Times New Roman" w:eastAsia="Arial MT" w:hAnsi="Times New Roman" w:cs="Times New Roman"/>
          <w:b/>
          <w:spacing w:val="-7"/>
          <w:sz w:val="24"/>
          <w:szCs w:val="24"/>
        </w:rPr>
        <w:t xml:space="preserve"> </w:t>
      </w:r>
      <w:r w:rsidRPr="007A27A5">
        <w:rPr>
          <w:rFonts w:ascii="Times New Roman" w:eastAsia="Arial MT" w:hAnsi="Times New Roman" w:cs="Times New Roman"/>
          <w:b/>
          <w:sz w:val="24"/>
          <w:szCs w:val="24"/>
        </w:rPr>
        <w:t>269</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párrafo</w:t>
      </w:r>
      <w:r w:rsidRPr="007A27A5">
        <w:rPr>
          <w:rFonts w:ascii="Times New Roman" w:eastAsia="Arial MT" w:hAnsi="Times New Roman" w:cs="Times New Roman"/>
          <w:b/>
          <w:spacing w:val="-11"/>
          <w:sz w:val="24"/>
          <w:szCs w:val="24"/>
        </w:rPr>
        <w:t xml:space="preserve"> </w:t>
      </w:r>
      <w:r w:rsidRPr="007A27A5">
        <w:rPr>
          <w:rFonts w:ascii="Times New Roman" w:eastAsia="Arial MT" w:hAnsi="Times New Roman" w:cs="Times New Roman"/>
          <w:b/>
          <w:sz w:val="24"/>
          <w:szCs w:val="24"/>
        </w:rPr>
        <w:t>primero,</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269</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BIS</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párrafo</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b/>
          <w:sz w:val="24"/>
          <w:szCs w:val="24"/>
        </w:rPr>
        <w:t>primero,</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se</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adiciona</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z w:val="24"/>
          <w:szCs w:val="24"/>
        </w:rPr>
        <w:t>la</w:t>
      </w:r>
      <w:r w:rsidRPr="007A27A5">
        <w:rPr>
          <w:rFonts w:ascii="Times New Roman" w:eastAsia="Arial MT" w:hAnsi="Times New Roman" w:cs="Times New Roman"/>
          <w:b/>
          <w:spacing w:val="-6"/>
          <w:sz w:val="24"/>
          <w:szCs w:val="24"/>
        </w:rPr>
        <w:t xml:space="preserve"> </w:t>
      </w:r>
      <w:r w:rsidRPr="007A27A5">
        <w:rPr>
          <w:rFonts w:ascii="Times New Roman" w:eastAsia="Arial MT" w:hAnsi="Times New Roman" w:cs="Times New Roman"/>
          <w:b/>
          <w:sz w:val="24"/>
          <w:szCs w:val="24"/>
        </w:rPr>
        <w:t xml:space="preserve">fracción V al artículo 270 BIS, y la fracción IX al artículo 274, del Código Penal del Estado de México </w:t>
      </w:r>
      <w:r w:rsidRPr="007A27A5">
        <w:rPr>
          <w:rFonts w:ascii="Times New Roman" w:eastAsia="Arial MT" w:hAnsi="Times New Roman" w:cs="Times New Roman"/>
          <w:sz w:val="24"/>
          <w:szCs w:val="24"/>
        </w:rPr>
        <w:t>para quedar de la siguiente manera: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Artículo</w:t>
      </w:r>
      <w:r w:rsidRPr="007A27A5">
        <w:rPr>
          <w:rFonts w:ascii="Times New Roman" w:eastAsia="Arial MT" w:hAnsi="Times New Roman" w:cs="Times New Roman"/>
          <w:b/>
          <w:spacing w:val="-4"/>
          <w:sz w:val="24"/>
          <w:szCs w:val="24"/>
        </w:rPr>
        <w:t xml:space="preserve"> </w:t>
      </w:r>
      <w:r w:rsidRPr="007A27A5">
        <w:rPr>
          <w:rFonts w:ascii="Times New Roman" w:eastAsia="Arial MT" w:hAnsi="Times New Roman" w:cs="Times New Roman"/>
          <w:b/>
          <w:sz w:val="24"/>
          <w:szCs w:val="24"/>
        </w:rPr>
        <w:t>242.</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pacing w:val="-10"/>
          <w:sz w:val="24"/>
          <w:szCs w:val="24"/>
        </w:rPr>
        <w:t>…</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VI.-Cuando el homicidio se cometa precedido de actos de acecho, vigilancia persistente o seguimiento sistemático de la víctima, se aumentará la pena hasta en una tercera parte.</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Artículo</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269.-</w:t>
      </w:r>
      <w:r w:rsidRPr="007A27A5">
        <w:rPr>
          <w:rFonts w:ascii="Times New Roman" w:eastAsia="Arial MT" w:hAnsi="Times New Roman" w:cs="Times New Roman"/>
          <w:b/>
          <w:spacing w:val="64"/>
          <w:sz w:val="24"/>
          <w:szCs w:val="24"/>
        </w:rPr>
        <w:t xml:space="preserve"> </w:t>
      </w:r>
      <w:r w:rsidRPr="007A27A5">
        <w:rPr>
          <w:rFonts w:ascii="Times New Roman" w:eastAsia="Arial MT" w:hAnsi="Times New Roman" w:cs="Times New Roman"/>
          <w:b/>
          <w:spacing w:val="-10"/>
          <w:sz w:val="24"/>
          <w:szCs w:val="24"/>
        </w:rPr>
        <w:t>…</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Comete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delito</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hostigamiento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sexual,</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quien</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con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fines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lujuria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asedie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o</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b/>
          <w:sz w:val="24"/>
          <w:szCs w:val="24"/>
        </w:rPr>
        <w:t xml:space="preserve">aceche </w:t>
      </w:r>
      <w:r w:rsidRPr="007A27A5">
        <w:rPr>
          <w:rFonts w:ascii="Times New Roman" w:eastAsia="Arial MT" w:hAnsi="Times New Roman" w:cs="Times New Roman"/>
          <w:sz w:val="24"/>
          <w:szCs w:val="24"/>
        </w:rPr>
        <w:t>a persona de cualquier sexo que le sea subordinada, valiéndose de su posición derivada de sus relaciones laborales, docentes, domésticas o cualquiera otra que implique jerarquía; y se le impondrán de seis meses a dos años de prisión o de treinta a ciento veinte días multa.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Artículo</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269</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Bis.-</w:t>
      </w:r>
      <w:r w:rsidRPr="007A27A5">
        <w:rPr>
          <w:rFonts w:ascii="Times New Roman" w:eastAsia="Arial MT" w:hAnsi="Times New Roman" w:cs="Times New Roman"/>
          <w:b/>
          <w:spacing w:val="64"/>
          <w:sz w:val="24"/>
          <w:szCs w:val="24"/>
        </w:rPr>
        <w:t xml:space="preserve"> </w:t>
      </w:r>
      <w:r w:rsidRPr="007A27A5">
        <w:rPr>
          <w:rFonts w:ascii="Times New Roman" w:eastAsia="Arial MT" w:hAnsi="Times New Roman" w:cs="Times New Roman"/>
          <w:b/>
          <w:spacing w:val="-10"/>
          <w:sz w:val="24"/>
          <w:szCs w:val="24"/>
        </w:rPr>
        <w:t>…</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Comete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también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delito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acoso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sexual</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quien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con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fines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lujuria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asedie</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b/>
          <w:sz w:val="24"/>
          <w:szCs w:val="24"/>
        </w:rPr>
        <w:t xml:space="preserve">aceche </w:t>
      </w:r>
      <w:r w:rsidRPr="007A27A5">
        <w:rPr>
          <w:rFonts w:ascii="Times New Roman" w:eastAsia="Arial MT" w:hAnsi="Times New Roman" w:cs="Times New Roman"/>
          <w:sz w:val="24"/>
          <w:szCs w:val="24"/>
        </w:rPr>
        <w:t>reiteradamente</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cualquier</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persona,</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sin</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su</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consentimiento,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lugares</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públicos,</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en instalaciones o vehículos destinados al transporte público de pasajeros.</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Artículo</w:t>
      </w:r>
      <w:r w:rsidRPr="007A27A5">
        <w:rPr>
          <w:rFonts w:ascii="Times New Roman" w:eastAsia="Arial MT" w:hAnsi="Times New Roman" w:cs="Times New Roman"/>
          <w:b/>
          <w:spacing w:val="-4"/>
          <w:sz w:val="24"/>
          <w:szCs w:val="24"/>
        </w:rPr>
        <w:t xml:space="preserve"> </w:t>
      </w:r>
      <w:r w:rsidRPr="007A27A5">
        <w:rPr>
          <w:rFonts w:ascii="Times New Roman" w:eastAsia="Arial MT" w:hAnsi="Times New Roman" w:cs="Times New Roman"/>
          <w:b/>
          <w:sz w:val="24"/>
          <w:szCs w:val="24"/>
        </w:rPr>
        <w:t>270</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Bis.-</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pacing w:val="-10"/>
          <w:sz w:val="24"/>
          <w:szCs w:val="24"/>
        </w:rPr>
        <w:t>…</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V.-Cuando</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el</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abuso</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sexual</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sea</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precedido</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por</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actos</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z w:val="24"/>
          <w:szCs w:val="24"/>
        </w:rPr>
        <w:t>acecho o</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z w:val="24"/>
          <w:szCs w:val="24"/>
        </w:rPr>
        <w:t>seguimiento reiterado, se aumentará la pena hasta en un tercio.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Artículo</w:t>
      </w:r>
      <w:r w:rsidRPr="007A27A5">
        <w:rPr>
          <w:rFonts w:ascii="Times New Roman" w:eastAsia="Arial MT" w:hAnsi="Times New Roman" w:cs="Times New Roman"/>
          <w:b/>
          <w:spacing w:val="-6"/>
          <w:sz w:val="24"/>
          <w:szCs w:val="24"/>
        </w:rPr>
        <w:t xml:space="preserve"> </w:t>
      </w:r>
      <w:r w:rsidRPr="007A27A5">
        <w:rPr>
          <w:rFonts w:ascii="Times New Roman" w:eastAsia="Arial MT" w:hAnsi="Times New Roman" w:cs="Times New Roman"/>
          <w:b/>
          <w:sz w:val="24"/>
          <w:szCs w:val="24"/>
        </w:rPr>
        <w:t>274.-</w:t>
      </w:r>
      <w:r w:rsidRPr="007A27A5">
        <w:rPr>
          <w:rFonts w:ascii="Times New Roman" w:eastAsia="Arial MT" w:hAnsi="Times New Roman" w:cs="Times New Roman"/>
          <w:b/>
          <w:spacing w:val="-10"/>
          <w:sz w:val="24"/>
          <w:szCs w:val="24"/>
        </w:rPr>
        <w:t>…</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IX.-Cuando la violación ocurra tras un patrón de acecho, vigilancia o persecución persistente, se aplicará una pena agravada en un tercio.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pacing w:val="-2"/>
          <w:sz w:val="24"/>
          <w:szCs w:val="24"/>
        </w:rPr>
        <w:t>TRANSITORIOS</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ARTÍCULO</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PRIMERO.</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sz w:val="24"/>
          <w:szCs w:val="24"/>
        </w:rPr>
        <w:t>Publíquese</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presente</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Decreto</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Periódico</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Oficial “Gaceta del Gobierno” del Estado Libre y Soberano de México.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ARTÍCULO</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SEGUNDO.</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presente</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Decreto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entrará</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vigor</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al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día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siguiente</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su publicación en el Periódico Oficial “Gaceta de Gobierno”.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Lo</w:t>
      </w:r>
      <w:r w:rsidRPr="007A27A5">
        <w:rPr>
          <w:rFonts w:ascii="Times New Roman" w:eastAsia="Arial MT" w:hAnsi="Times New Roman" w:cs="Times New Roman"/>
          <w:spacing w:val="29"/>
          <w:sz w:val="24"/>
          <w:szCs w:val="24"/>
        </w:rPr>
        <w:t xml:space="preserve"> </w:t>
      </w:r>
      <w:r w:rsidRPr="007A27A5">
        <w:rPr>
          <w:rFonts w:ascii="Times New Roman" w:eastAsia="Arial MT" w:hAnsi="Times New Roman" w:cs="Times New Roman"/>
          <w:sz w:val="24"/>
          <w:szCs w:val="24"/>
        </w:rPr>
        <w:t>tendrá</w:t>
      </w:r>
      <w:r w:rsidRPr="007A27A5">
        <w:rPr>
          <w:rFonts w:ascii="Times New Roman" w:eastAsia="Arial MT" w:hAnsi="Times New Roman" w:cs="Times New Roman"/>
          <w:spacing w:val="28"/>
          <w:sz w:val="24"/>
          <w:szCs w:val="24"/>
        </w:rPr>
        <w:t xml:space="preserve"> </w:t>
      </w:r>
      <w:r w:rsidRPr="007A27A5">
        <w:rPr>
          <w:rFonts w:ascii="Times New Roman" w:eastAsia="Arial MT" w:hAnsi="Times New Roman" w:cs="Times New Roman"/>
          <w:sz w:val="24"/>
          <w:szCs w:val="24"/>
        </w:rPr>
        <w:t>entendido</w:t>
      </w:r>
      <w:r w:rsidRPr="007A27A5">
        <w:rPr>
          <w:rFonts w:ascii="Times New Roman" w:eastAsia="Arial MT" w:hAnsi="Times New Roman" w:cs="Times New Roman"/>
          <w:spacing w:val="29"/>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30"/>
          <w:sz w:val="24"/>
          <w:szCs w:val="24"/>
        </w:rPr>
        <w:t xml:space="preserve"> </w:t>
      </w:r>
      <w:r w:rsidRPr="007A27A5">
        <w:rPr>
          <w:rFonts w:ascii="Times New Roman" w:eastAsia="Arial MT" w:hAnsi="Times New Roman" w:cs="Times New Roman"/>
          <w:sz w:val="24"/>
          <w:szCs w:val="24"/>
        </w:rPr>
        <w:t>Gobernadora</w:t>
      </w:r>
      <w:r w:rsidRPr="007A27A5">
        <w:rPr>
          <w:rFonts w:ascii="Times New Roman" w:eastAsia="Arial MT" w:hAnsi="Times New Roman" w:cs="Times New Roman"/>
          <w:spacing w:val="28"/>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27"/>
          <w:sz w:val="24"/>
          <w:szCs w:val="24"/>
        </w:rPr>
        <w:t xml:space="preserve"> </w:t>
      </w:r>
      <w:r w:rsidRPr="007A27A5">
        <w:rPr>
          <w:rFonts w:ascii="Times New Roman" w:eastAsia="Arial MT" w:hAnsi="Times New Roman" w:cs="Times New Roman"/>
          <w:sz w:val="24"/>
          <w:szCs w:val="24"/>
        </w:rPr>
        <w:t>Estado,</w:t>
      </w:r>
      <w:r w:rsidRPr="007A27A5">
        <w:rPr>
          <w:rFonts w:ascii="Times New Roman" w:eastAsia="Arial MT" w:hAnsi="Times New Roman" w:cs="Times New Roman"/>
          <w:spacing w:val="29"/>
          <w:sz w:val="24"/>
          <w:szCs w:val="24"/>
        </w:rPr>
        <w:t xml:space="preserve"> </w:t>
      </w:r>
      <w:r w:rsidRPr="007A27A5">
        <w:rPr>
          <w:rFonts w:ascii="Times New Roman" w:eastAsia="Arial MT" w:hAnsi="Times New Roman" w:cs="Times New Roman"/>
          <w:sz w:val="24"/>
          <w:szCs w:val="24"/>
        </w:rPr>
        <w:t>haciendo</w:t>
      </w:r>
      <w:r w:rsidRPr="007A27A5">
        <w:rPr>
          <w:rFonts w:ascii="Times New Roman" w:eastAsia="Arial MT" w:hAnsi="Times New Roman" w:cs="Times New Roman"/>
          <w:spacing w:val="29"/>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29"/>
          <w:sz w:val="24"/>
          <w:szCs w:val="24"/>
        </w:rPr>
        <w:t xml:space="preserve"> </w:t>
      </w:r>
      <w:r w:rsidRPr="007A27A5">
        <w:rPr>
          <w:rFonts w:ascii="Times New Roman" w:eastAsia="Arial MT" w:hAnsi="Times New Roman" w:cs="Times New Roman"/>
          <w:sz w:val="24"/>
          <w:szCs w:val="24"/>
        </w:rPr>
        <w:t>se</w:t>
      </w:r>
      <w:r w:rsidRPr="007A27A5">
        <w:rPr>
          <w:rFonts w:ascii="Times New Roman" w:eastAsia="Arial MT" w:hAnsi="Times New Roman" w:cs="Times New Roman"/>
          <w:spacing w:val="30"/>
          <w:sz w:val="24"/>
          <w:szCs w:val="24"/>
        </w:rPr>
        <w:t xml:space="preserve"> </w:t>
      </w:r>
      <w:r w:rsidRPr="007A27A5">
        <w:rPr>
          <w:rFonts w:ascii="Times New Roman" w:eastAsia="Arial MT" w:hAnsi="Times New Roman" w:cs="Times New Roman"/>
          <w:sz w:val="24"/>
          <w:szCs w:val="24"/>
        </w:rPr>
        <w:t>publique</w:t>
      </w:r>
      <w:r w:rsidRPr="007A27A5">
        <w:rPr>
          <w:rFonts w:ascii="Times New Roman" w:eastAsia="Arial MT" w:hAnsi="Times New Roman" w:cs="Times New Roman"/>
          <w:spacing w:val="30"/>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28"/>
          <w:sz w:val="24"/>
          <w:szCs w:val="24"/>
        </w:rPr>
        <w:t xml:space="preserve"> </w:t>
      </w:r>
      <w:r w:rsidRPr="007A27A5">
        <w:rPr>
          <w:rFonts w:ascii="Times New Roman" w:eastAsia="Arial MT" w:hAnsi="Times New Roman" w:cs="Times New Roman"/>
          <w:sz w:val="24"/>
          <w:szCs w:val="24"/>
        </w:rPr>
        <w:t xml:space="preserve">se </w:t>
      </w:r>
      <w:r w:rsidRPr="007A27A5">
        <w:rPr>
          <w:rFonts w:ascii="Times New Roman" w:eastAsia="Arial MT" w:hAnsi="Times New Roman" w:cs="Times New Roman"/>
          <w:spacing w:val="-2"/>
          <w:sz w:val="24"/>
          <w:szCs w:val="24"/>
        </w:rPr>
        <w:t>cumpla.</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Dado en el Palacio del Poder Legislativo, en la ciudad de Toluca de Lerdo, capital del</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Estado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México,</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pacing w:val="-10"/>
          <w:sz w:val="24"/>
          <w:szCs w:val="24"/>
        </w:rPr>
        <w:t xml:space="preserve">a </w:t>
      </w:r>
      <w:r w:rsidRPr="007A27A5">
        <w:rPr>
          <w:rFonts w:ascii="Times New Roman" w:eastAsia="Arial MT" w:hAnsi="Times New Roman" w:cs="Times New Roman"/>
          <w:sz w:val="24"/>
          <w:szCs w:val="24"/>
        </w:rPr>
        <w:tab/>
        <w:t xml:space="preserve"> días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mes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Noviembre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año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dos</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mil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pacing w:val="-2"/>
          <w:sz w:val="24"/>
          <w:szCs w:val="24"/>
        </w:rPr>
        <w:t>veinticinco.</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i/>
          <w:sz w:val="24"/>
          <w:szCs w:val="24"/>
        </w:rPr>
      </w:pPr>
      <w:r w:rsidRPr="007A27A5">
        <w:rPr>
          <w:rFonts w:ascii="Times New Roman" w:eastAsia="Arial MT" w:hAnsi="Times New Roman" w:cs="Times New Roman"/>
          <w:b/>
          <w:i/>
          <w:sz w:val="24"/>
          <w:szCs w:val="24"/>
        </w:rPr>
        <w:t>Fuentes</w:t>
      </w:r>
      <w:r w:rsidRPr="007A27A5">
        <w:rPr>
          <w:rFonts w:ascii="Times New Roman" w:eastAsia="Arial MT" w:hAnsi="Times New Roman" w:cs="Times New Roman"/>
          <w:b/>
          <w:i/>
          <w:spacing w:val="-5"/>
          <w:sz w:val="24"/>
          <w:szCs w:val="24"/>
        </w:rPr>
        <w:t xml:space="preserve"> </w:t>
      </w:r>
      <w:r w:rsidRPr="007A27A5">
        <w:rPr>
          <w:rFonts w:ascii="Times New Roman" w:eastAsia="Arial MT" w:hAnsi="Times New Roman" w:cs="Times New Roman"/>
          <w:b/>
          <w:i/>
          <w:spacing w:val="-2"/>
          <w:sz w:val="24"/>
          <w:szCs w:val="24"/>
        </w:rPr>
        <w:t>Consultadas</w:t>
      </w: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b/>
          <w:i/>
          <w:sz w:val="24"/>
          <w:szCs w:val="24"/>
        </w:rPr>
      </w:pPr>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Constitución Política de los Estados Unidos Mexicanos </w:t>
      </w:r>
      <w:hyperlink r:id="rId58">
        <w:r w:rsidRPr="007A27A5">
          <w:rPr>
            <w:rFonts w:ascii="Times New Roman" w:eastAsia="Arial MT" w:hAnsi="Times New Roman" w:cs="Times New Roman"/>
            <w:color w:val="467885"/>
            <w:spacing w:val="-2"/>
            <w:sz w:val="24"/>
            <w:szCs w:val="24"/>
            <w:u w:val="single" w:color="467885"/>
          </w:rPr>
          <w:t>https://www.diputados.gob.mx/LeyesBiblio/ref/cpeum.htm</w:t>
        </w:r>
      </w:hyperlink>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Constitución</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Política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Estado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Libre</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Soberano</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pacing w:val="-2"/>
          <w:sz w:val="24"/>
          <w:szCs w:val="24"/>
        </w:rPr>
        <w:t>México</w:t>
      </w:r>
    </w:p>
    <w:p w:rsidR="00B822CD" w:rsidRPr="007A27A5" w:rsidRDefault="00BD17F2" w:rsidP="00B822CD">
      <w:pPr>
        <w:widowControl w:val="0"/>
        <w:autoSpaceDE w:val="0"/>
        <w:autoSpaceDN w:val="0"/>
        <w:spacing w:after="0" w:line="240" w:lineRule="auto"/>
        <w:jc w:val="both"/>
        <w:rPr>
          <w:rFonts w:ascii="Times New Roman" w:eastAsia="Arial MT" w:hAnsi="Times New Roman" w:cs="Times New Roman"/>
          <w:sz w:val="24"/>
          <w:szCs w:val="24"/>
        </w:rPr>
      </w:pPr>
      <w:hyperlink r:id="rId59">
        <w:r w:rsidR="00B822CD" w:rsidRPr="007A27A5">
          <w:rPr>
            <w:rFonts w:ascii="Times New Roman" w:eastAsia="Arial MT" w:hAnsi="Times New Roman" w:cs="Times New Roman"/>
            <w:color w:val="467885"/>
            <w:spacing w:val="-2"/>
            <w:sz w:val="24"/>
            <w:szCs w:val="24"/>
            <w:u w:val="single" w:color="467885"/>
          </w:rPr>
          <w:t>https://tese.edomex.gob.mx/sites/tese.edomex.gob.mx/files/files/Marco%20Juridico</w:t>
        </w:r>
      </w:hyperlink>
    </w:p>
    <w:p w:rsidR="00B822CD" w:rsidRPr="007A27A5" w:rsidRDefault="00BD17F2" w:rsidP="00B822CD">
      <w:pPr>
        <w:widowControl w:val="0"/>
        <w:autoSpaceDE w:val="0"/>
        <w:autoSpaceDN w:val="0"/>
        <w:spacing w:after="0" w:line="240" w:lineRule="auto"/>
        <w:jc w:val="both"/>
        <w:rPr>
          <w:rFonts w:ascii="Times New Roman" w:eastAsia="Arial MT" w:hAnsi="Times New Roman" w:cs="Times New Roman"/>
          <w:sz w:val="24"/>
          <w:szCs w:val="24"/>
        </w:rPr>
      </w:pPr>
      <w:hyperlink r:id="rId60">
        <w:r w:rsidR="00B822CD" w:rsidRPr="007A27A5">
          <w:rPr>
            <w:rFonts w:ascii="Times New Roman" w:eastAsia="Arial MT" w:hAnsi="Times New Roman" w:cs="Times New Roman"/>
            <w:color w:val="467885"/>
            <w:spacing w:val="-2"/>
            <w:sz w:val="24"/>
            <w:szCs w:val="24"/>
            <w:u w:val="single" w:color="467885"/>
          </w:rPr>
          <w:t>/Constituciones/Constitucion-Politica-del-Estado-Libre-y-Soberano-de-</w:t>
        </w:r>
      </w:hyperlink>
      <w:r w:rsidR="00B822CD" w:rsidRPr="007A27A5">
        <w:rPr>
          <w:rFonts w:ascii="Times New Roman" w:eastAsia="Arial MT" w:hAnsi="Times New Roman" w:cs="Times New Roman"/>
          <w:color w:val="467885"/>
          <w:spacing w:val="-2"/>
          <w:sz w:val="24"/>
          <w:szCs w:val="24"/>
        </w:rPr>
        <w:t xml:space="preserve"> </w:t>
      </w:r>
      <w:hyperlink r:id="rId61">
        <w:r w:rsidR="00B822CD" w:rsidRPr="007A27A5">
          <w:rPr>
            <w:rFonts w:ascii="Times New Roman" w:eastAsia="Arial MT" w:hAnsi="Times New Roman" w:cs="Times New Roman"/>
            <w:color w:val="467885"/>
            <w:spacing w:val="-2"/>
            <w:sz w:val="24"/>
            <w:szCs w:val="24"/>
            <w:u w:val="single" w:color="467885"/>
          </w:rPr>
          <w:t>MexicoJUNIO2025.pdf</w:t>
        </w:r>
      </w:hyperlink>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Código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Penal</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Estado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México.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(2025).</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Gobierno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Estado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2"/>
          <w:sz w:val="24"/>
          <w:szCs w:val="24"/>
        </w:rPr>
        <w:t xml:space="preserve"> México.</w:t>
      </w:r>
    </w:p>
    <w:p w:rsidR="00B822CD" w:rsidRPr="007A27A5" w:rsidRDefault="00BD17F2" w:rsidP="00B822CD">
      <w:pPr>
        <w:widowControl w:val="0"/>
        <w:autoSpaceDE w:val="0"/>
        <w:autoSpaceDN w:val="0"/>
        <w:spacing w:after="0" w:line="240" w:lineRule="auto"/>
        <w:jc w:val="both"/>
        <w:rPr>
          <w:rFonts w:ascii="Times New Roman" w:eastAsia="Arial MT" w:hAnsi="Times New Roman" w:cs="Times New Roman"/>
          <w:sz w:val="24"/>
          <w:szCs w:val="24"/>
        </w:rPr>
      </w:pPr>
      <w:hyperlink r:id="rId62">
        <w:r w:rsidR="00B822CD" w:rsidRPr="007A27A5">
          <w:rPr>
            <w:rFonts w:ascii="Times New Roman" w:eastAsia="Arial MT" w:hAnsi="Times New Roman" w:cs="Times New Roman"/>
            <w:color w:val="467885"/>
            <w:spacing w:val="-2"/>
            <w:sz w:val="24"/>
            <w:szCs w:val="24"/>
            <w:u w:val="single" w:color="467885"/>
          </w:rPr>
          <w:t>https://legislacion.edomex.gob.mx/sites/legislacion.edomex.gob.mx/files/files/pdf/c</w:t>
        </w:r>
      </w:hyperlink>
      <w:r w:rsidR="00B822CD" w:rsidRPr="007A27A5">
        <w:rPr>
          <w:rFonts w:ascii="Times New Roman" w:eastAsia="Arial MT" w:hAnsi="Times New Roman" w:cs="Times New Roman"/>
          <w:color w:val="467885"/>
          <w:spacing w:val="-2"/>
          <w:sz w:val="24"/>
          <w:szCs w:val="24"/>
        </w:rPr>
        <w:t xml:space="preserve"> </w:t>
      </w:r>
      <w:hyperlink r:id="rId63">
        <w:proofErr w:type="spellStart"/>
        <w:r w:rsidR="00B822CD" w:rsidRPr="007A27A5">
          <w:rPr>
            <w:rFonts w:ascii="Times New Roman" w:eastAsia="Arial MT" w:hAnsi="Times New Roman" w:cs="Times New Roman"/>
            <w:color w:val="467885"/>
            <w:spacing w:val="-2"/>
            <w:sz w:val="24"/>
            <w:szCs w:val="24"/>
            <w:u w:val="single" w:color="467885"/>
          </w:rPr>
          <w:t>od</w:t>
        </w:r>
        <w:proofErr w:type="spellEnd"/>
        <w:r w:rsidR="00B822CD" w:rsidRPr="007A27A5">
          <w:rPr>
            <w:rFonts w:ascii="Times New Roman" w:eastAsia="Arial MT" w:hAnsi="Times New Roman" w:cs="Times New Roman"/>
            <w:color w:val="467885"/>
            <w:spacing w:val="-2"/>
            <w:sz w:val="24"/>
            <w:szCs w:val="24"/>
            <w:u w:val="single" w:color="467885"/>
          </w:rPr>
          <w:t>/codpenal.pdf</w:t>
        </w:r>
      </w:hyperlink>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Organización de las Naciones Unidas (ONU). (2020). Manual de legislación sobre violencia contra la mujer.</w:t>
      </w:r>
    </w:p>
    <w:p w:rsidR="00B822CD" w:rsidRPr="007A27A5" w:rsidRDefault="00BD17F2" w:rsidP="00B822CD">
      <w:pPr>
        <w:widowControl w:val="0"/>
        <w:autoSpaceDE w:val="0"/>
        <w:autoSpaceDN w:val="0"/>
        <w:spacing w:after="0" w:line="240" w:lineRule="auto"/>
        <w:jc w:val="both"/>
        <w:rPr>
          <w:rFonts w:ascii="Times New Roman" w:eastAsia="Arial MT" w:hAnsi="Times New Roman" w:cs="Times New Roman"/>
          <w:sz w:val="24"/>
          <w:szCs w:val="24"/>
        </w:rPr>
      </w:pPr>
      <w:hyperlink r:id="rId64">
        <w:r w:rsidR="00B822CD" w:rsidRPr="007A27A5">
          <w:rPr>
            <w:rFonts w:ascii="Times New Roman" w:eastAsia="Arial MT" w:hAnsi="Times New Roman" w:cs="Times New Roman"/>
            <w:color w:val="467885"/>
            <w:spacing w:val="-2"/>
            <w:sz w:val="24"/>
            <w:szCs w:val="24"/>
            <w:u w:val="single" w:color="467885"/>
          </w:rPr>
          <w:t>https://www.un.org/womenwatch/daw/vaw/v-handbook.htm</w:t>
        </w:r>
      </w:hyperlink>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Observatorio Nacional Ciudadano. (2023). Análisis sobre acecho y hostigamiento en México: Retos legislativos y políticas públicas.</w:t>
      </w:r>
    </w:p>
    <w:p w:rsidR="00B822CD" w:rsidRPr="007A27A5" w:rsidRDefault="00BD17F2" w:rsidP="00B822CD">
      <w:pPr>
        <w:widowControl w:val="0"/>
        <w:autoSpaceDE w:val="0"/>
        <w:autoSpaceDN w:val="0"/>
        <w:spacing w:after="0" w:line="240" w:lineRule="auto"/>
        <w:jc w:val="both"/>
        <w:rPr>
          <w:rFonts w:ascii="Times New Roman" w:eastAsia="Arial MT" w:hAnsi="Times New Roman" w:cs="Times New Roman"/>
          <w:sz w:val="24"/>
          <w:szCs w:val="24"/>
        </w:rPr>
      </w:pPr>
      <w:hyperlink r:id="rId65">
        <w:r w:rsidR="00B822CD" w:rsidRPr="007A27A5">
          <w:rPr>
            <w:rFonts w:ascii="Times New Roman" w:eastAsia="Arial MT" w:hAnsi="Times New Roman" w:cs="Times New Roman"/>
            <w:color w:val="467885"/>
            <w:spacing w:val="-2"/>
            <w:sz w:val="24"/>
            <w:szCs w:val="24"/>
            <w:u w:val="single" w:color="467885"/>
          </w:rPr>
          <w:t>https://onc.org.mx/publicaciones</w:t>
        </w:r>
      </w:hyperlink>
    </w:p>
    <w:p w:rsidR="00B822CD" w:rsidRPr="007A27A5" w:rsidRDefault="00B822CD" w:rsidP="00B822CD">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Secretaría</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Gobernación</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CONAVIM.</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(2024).</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Diagnóstico</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sobre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violencia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digital y</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acecho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México.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Comisión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Nacional</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para</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Prevenir</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Erradicar</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Violencia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contra las Mujeres.</w:t>
      </w:r>
    </w:p>
    <w:p w:rsidR="00B822CD" w:rsidRPr="007A27A5" w:rsidRDefault="00BD17F2" w:rsidP="00B822CD">
      <w:pPr>
        <w:widowControl w:val="0"/>
        <w:autoSpaceDE w:val="0"/>
        <w:autoSpaceDN w:val="0"/>
        <w:spacing w:after="0" w:line="240" w:lineRule="auto"/>
        <w:jc w:val="both"/>
        <w:rPr>
          <w:rFonts w:ascii="Times New Roman" w:eastAsia="Arial MT" w:hAnsi="Times New Roman" w:cs="Times New Roman"/>
          <w:sz w:val="24"/>
          <w:szCs w:val="24"/>
        </w:rPr>
      </w:pPr>
      <w:hyperlink r:id="rId66">
        <w:r w:rsidR="00B822CD" w:rsidRPr="007A27A5">
          <w:rPr>
            <w:rFonts w:ascii="Times New Roman" w:eastAsia="Arial MT" w:hAnsi="Times New Roman" w:cs="Times New Roman"/>
            <w:color w:val="467885"/>
            <w:spacing w:val="-2"/>
            <w:sz w:val="24"/>
            <w:szCs w:val="24"/>
            <w:u w:val="single" w:color="467885"/>
          </w:rPr>
          <w:t>https://www.gob.mx/conavim</w:t>
        </w:r>
      </w:hyperlink>
    </w:p>
    <w:p w:rsidR="00B822CD" w:rsidRPr="007A27A5" w:rsidRDefault="00B822CD" w:rsidP="00B822CD">
      <w:pPr>
        <w:spacing w:after="0" w:line="240" w:lineRule="auto"/>
        <w:jc w:val="center"/>
        <w:rPr>
          <w:rFonts w:ascii="Times New Roman" w:hAnsi="Times New Roman"/>
          <w:sz w:val="24"/>
          <w:szCs w:val="24"/>
        </w:rPr>
      </w:pPr>
    </w:p>
    <w:p w:rsidR="00B822CD" w:rsidRPr="007A27A5" w:rsidRDefault="00B822CD" w:rsidP="00B822CD">
      <w:pPr>
        <w:spacing w:after="0" w:line="240" w:lineRule="auto"/>
        <w:jc w:val="center"/>
        <w:rPr>
          <w:rFonts w:ascii="Times New Roman" w:hAnsi="Times New Roman"/>
          <w:i/>
          <w:sz w:val="24"/>
          <w:szCs w:val="24"/>
        </w:rPr>
      </w:pPr>
      <w:r w:rsidRPr="007A27A5">
        <w:rPr>
          <w:rFonts w:ascii="Times New Roman" w:hAnsi="Times New Roman"/>
          <w:i/>
          <w:sz w:val="24"/>
          <w:szCs w:val="24"/>
        </w:rPr>
        <w:t>(Fin del documento)</w:t>
      </w:r>
    </w:p>
    <w:p w:rsidR="00B822CD" w:rsidRPr="00880BBE" w:rsidRDefault="00B822CD" w:rsidP="00B822CD">
      <w:pPr>
        <w:spacing w:after="0" w:line="240" w:lineRule="auto"/>
        <w:jc w:val="center"/>
        <w:rPr>
          <w:rFonts w:ascii="Times New Roman" w:hAnsi="Times New Roman"/>
          <w:sz w:val="24"/>
          <w:szCs w:val="24"/>
        </w:rPr>
      </w:pPr>
    </w:p>
    <w:p w:rsidR="000C639D" w:rsidRPr="00880BBE" w:rsidRDefault="000C639D" w:rsidP="000C639D">
      <w:pPr>
        <w:pStyle w:val="Sinespaciado"/>
      </w:pPr>
      <w:r w:rsidRPr="00880BBE">
        <w:t>PRESIDENTA DIP. MARTHA AZUCENA CAMACHO REYNOSO. Gracias diputada Emma Laura Alvarez Villavicencio.</w:t>
      </w:r>
    </w:p>
    <w:p w:rsidR="000C639D" w:rsidRPr="00880BBE" w:rsidRDefault="000C639D" w:rsidP="006B79EE">
      <w:pPr>
        <w:pStyle w:val="Sinespaciado"/>
        <w:ind w:firstLine="709"/>
      </w:pPr>
      <w:r w:rsidRPr="00880BBE">
        <w:t>Se registra la iniciativa y se remite a la Comisión Legislativa de Procuración y Administración de Justicia, para su estudio y dictamen.</w:t>
      </w:r>
    </w:p>
    <w:p w:rsidR="000C639D" w:rsidRPr="00880BBE" w:rsidRDefault="000C639D" w:rsidP="006B79EE">
      <w:pPr>
        <w:pStyle w:val="Sinespaciado"/>
        <w:ind w:firstLine="709"/>
      </w:pPr>
      <w:r w:rsidRPr="00880BBE">
        <w:t>Atendiendo el punto número 20, la diputada Maricela Beltrán Sánchez leerá la iniciativa al Congreso de la Unión por el que se reforma la Ley Reglamentaria del artículo 5 Constitucional relativo al ejercicio de las profesiones en la Ciudad de México, en materia de equivalencia del servicio profesional como experiencia laboral, presentada por las y los integrantes del Grupo Parlamentario del Partido Movimiento Ciudadano.</w:t>
      </w:r>
    </w:p>
    <w:p w:rsidR="000C639D" w:rsidRPr="00880BBE" w:rsidRDefault="000C639D" w:rsidP="000C639D">
      <w:pPr>
        <w:pStyle w:val="Sinespaciado"/>
      </w:pPr>
      <w:r w:rsidRPr="00880BBE">
        <w:t xml:space="preserve">DIP. MARICELA BELTRÁN SÁNCHEZ. Muchas gracias. </w:t>
      </w:r>
    </w:p>
    <w:p w:rsidR="000C639D" w:rsidRPr="00880BBE" w:rsidRDefault="000C639D" w:rsidP="000C639D">
      <w:pPr>
        <w:pStyle w:val="Sinespaciado"/>
      </w:pPr>
      <w:r w:rsidRPr="00880BBE">
        <w:tab/>
        <w:t xml:space="preserve">Muy buenas tardes a todas, a todos, a </w:t>
      </w:r>
      <w:proofErr w:type="spellStart"/>
      <w:r w:rsidRPr="00880BBE">
        <w:t>tode</w:t>
      </w:r>
      <w:proofErr w:type="spellEnd"/>
      <w:r w:rsidRPr="00880BBE">
        <w:t>; con el permiso de la Presidencia y las compañeras de la Mesa Directiva.</w:t>
      </w:r>
    </w:p>
    <w:p w:rsidR="000C639D" w:rsidRPr="00880BBE" w:rsidRDefault="000C639D" w:rsidP="000C639D">
      <w:pPr>
        <w:pStyle w:val="Sinespaciado"/>
      </w:pPr>
      <w:r w:rsidRPr="00880BBE">
        <w:tab/>
        <w:t>Honorable Asamblea, hoy subo a esta tribuna para hablar por quienes no siempre tienen voz dentro de estos espacios, las y los jóvenes de México, subo para hablar por quienes tocan una y otra vez las puertas del mercado laboral y reciben la misma respuesta. ¡No tienes experiencia! Subo también para hablar desde la convicción, desde el compromiso y desde el trabajo que por Movimiento Ciudadano ha construido durante años para abrir oportunidades reales y no discursos vacíos, porque si hay una realidad que no podemos seguir ignorando es que hoy nuestro país, el desempleo juvenil, no es una estadística es una urgencia nacional, los datos confirman, aunque la tasa de desocupación general es baja, más de un tercio de las personas desempleadas son jóvenes, entre 15 y 24 años.</w:t>
      </w:r>
    </w:p>
    <w:p w:rsidR="000C639D" w:rsidRPr="00880BBE" w:rsidRDefault="000C639D" w:rsidP="000C639D">
      <w:pPr>
        <w:pStyle w:val="Sinespaciado"/>
      </w:pPr>
      <w:r w:rsidRPr="00880BBE">
        <w:lastRenderedPageBreak/>
        <w:tab/>
        <w:t>En el Estado de México, más del 2.1 millones de jóvenes viven en vulnerabilidad laboral y educativa, jóvenes preparados, jóvenes con talento, pero sin oportunidades.</w:t>
      </w:r>
    </w:p>
    <w:p w:rsidR="000C639D" w:rsidRPr="00880BBE" w:rsidRDefault="000C639D" w:rsidP="000C639D">
      <w:pPr>
        <w:pStyle w:val="Sinespaciado"/>
      </w:pPr>
      <w:r w:rsidRPr="00880BBE">
        <w:tab/>
        <w:t>Aquí surge una pregunta que miles de jóvenes se hacen todos los días ¿cómo voy a tener experiencia, si nadie me contrata por no tener experiencia laboral? Es un círculo vicioso, injusto, absurdo y profundamente desigual, es una barrera que hemos normalizado pero que está frenando el desarrollo económico del país y destruyendo proyectos de vida.</w:t>
      </w:r>
    </w:p>
    <w:p w:rsidR="000C639D" w:rsidRPr="00880BBE" w:rsidRDefault="000C639D" w:rsidP="000C639D">
      <w:pPr>
        <w:pStyle w:val="Sinespaciado"/>
      </w:pPr>
      <w:r w:rsidRPr="00880BBE">
        <w:tab/>
        <w:t>Ante esta realidad, Movimiento Ciudadano no se queda callado ni se quedó cruzado de brazos, nos pusimos a trabajar porque nuestra visión no es administrar los problemas, sino transformarlos con soluciones claras, modernas y valientes, por eso hoy presentamos esta iniciativa para reformar la Ley Reglamentaria del artículo 5º Constitucional y reconocer de una vez por todas que el servicio social es trabajo y un trabajo que debe ser reconocido como experiencia profesional válida, porque no es justo ni sensato que miles de jóvenes que realizan tareas técnicas, administrativas, científicas, sociales o comunitarias durante su servicio social, que dedican horas y que cumplen metas, que aprenden procesos, que aportan a hospitales, escuelas, institutos y dependencias públicas no tengan reconocido ese esfuerzo al momento de buscar su primer empleo.</w:t>
      </w:r>
    </w:p>
    <w:p w:rsidR="000C639D" w:rsidRPr="00880BBE" w:rsidRDefault="000C639D" w:rsidP="000C639D">
      <w:pPr>
        <w:pStyle w:val="Sinespaciado"/>
      </w:pPr>
      <w:r w:rsidRPr="00880BBE">
        <w:tab/>
        <w:t>La realidad es clara las y los jóvenes ya trabajan, lo que falta es que el Estado y el mercado laboral les reconozca ese trabajo.</w:t>
      </w:r>
    </w:p>
    <w:p w:rsidR="000C639D" w:rsidRPr="00880BBE" w:rsidRDefault="000C639D" w:rsidP="000C639D">
      <w:pPr>
        <w:pStyle w:val="Sinespaciado"/>
      </w:pPr>
      <w:r w:rsidRPr="00880BBE">
        <w:tab/>
        <w:t>Esta reforma pone fin a ese desfase, con ella, cada hora de servicio social será acreditada como experiencia profesional, es decir, que cuando un joven termine la universidad no saldrá con las manos vacías, saldrá con el respaldo documentado y reconocido, listo para competir en mejores condiciones y no lo decimos sólo nosotros.</w:t>
      </w:r>
    </w:p>
    <w:p w:rsidR="000C639D" w:rsidRPr="00880BBE" w:rsidRDefault="000C639D" w:rsidP="006B79EE">
      <w:pPr>
        <w:pStyle w:val="Sinespaciado"/>
        <w:ind w:firstLine="709"/>
      </w:pPr>
      <w:r w:rsidRPr="00880BBE">
        <w:t>La experiencia internacional respalda este camino, países que reconocen prácticas, pasantías o servicios comunitarios como experiencia laboral han logrado reducir el desempleo juvenil hasta en un 60%, la OECD lo ha dicho, la experiencia temprana cambia vidas, cierra brechas y genera movilidad social, además, con esta reforma México combate un problema que la OECD llama el efecto cicatriz, la marca profunda que deja el desempleo temprano y que reduce ingresos, estabilidad y bienestar durante años.</w:t>
      </w:r>
    </w:p>
    <w:p w:rsidR="000C639D" w:rsidRPr="00880BBE" w:rsidRDefault="000C639D" w:rsidP="006B79EE">
      <w:pPr>
        <w:pStyle w:val="Sinespaciado"/>
        <w:ind w:firstLine="709"/>
      </w:pPr>
      <w:r w:rsidRPr="00880BBE">
        <w:t>Nosotros no queremos una generación cicatrizada, queremos una generación fortalecida, Movimiento Ciudadano ha sido un actor consistente en esta causa, hemos defendido a las juventudes no desde la retórica, sino desde la acción, impulsando políticas de movilidad, promoviendo mejores condiciones de acceso a la educación y promoviendo reformas que modernizan la transición entre escuela y trabajo, porque para Movimiento Ciudadano las juventudes no son el futuro, son el presente y es hoy cuando necesitan oportunidades reales, no mañana.</w:t>
      </w:r>
    </w:p>
    <w:p w:rsidR="000C639D" w:rsidRPr="00880BBE" w:rsidRDefault="000C639D" w:rsidP="006B79EE">
      <w:pPr>
        <w:pStyle w:val="Sinespaciado"/>
        <w:ind w:firstLine="709"/>
      </w:pPr>
      <w:r w:rsidRPr="00880BBE">
        <w:t>Esta reforma también impulsa la formalidad laboral, hoy más del 54% de los jóvenes trabajan en la informalidad, sin seguridad social, sin estabilidad, sin prestaciones; reconocer el servicio social como experiencia profesional permitirá que los jóvenes accedan a su primer empleo formal y con ello a un futuro más estable y no sólo se trata de economía, se trata de dignidad, se trata de permitir que una joven pueda seguir su primer empleo sin que le cierren la puerta, se trata de permitir que un joven pueda construir un proyecto de vida sin enfrentarse a la frustración del rechazo, se trata de justicia generacional.</w:t>
      </w:r>
    </w:p>
    <w:p w:rsidR="000C639D" w:rsidRPr="00880BBE" w:rsidRDefault="000C639D" w:rsidP="000C639D">
      <w:pPr>
        <w:pStyle w:val="Sinespaciado"/>
      </w:pPr>
      <w:r w:rsidRPr="00880BBE">
        <w:tab/>
        <w:t xml:space="preserve">Compañeras, </w:t>
      </w:r>
      <w:proofErr w:type="spellStart"/>
      <w:r w:rsidRPr="00880BBE">
        <w:t>compañere</w:t>
      </w:r>
      <w:proofErr w:type="spellEnd"/>
      <w:r w:rsidRPr="00880BBE">
        <w:t xml:space="preserve"> y compañeros, hoy tenemos la oportunidad de hacer algo real, concreto y transformador por millones de jóvenes mexicanos, esto no es un favor, es un acto de justicia; no es un gesto político es una decisión responsable.</w:t>
      </w:r>
    </w:p>
    <w:p w:rsidR="000C639D" w:rsidRPr="00880BBE" w:rsidRDefault="000C639D" w:rsidP="006B79EE">
      <w:pPr>
        <w:pStyle w:val="Sinespaciado"/>
        <w:ind w:firstLine="709"/>
      </w:pPr>
      <w:r w:rsidRPr="00880BBE">
        <w:t>Les invito a que acompañen esta reforma, a que nos pongamos del lado correcto de la historia, a que reconozcamos el esfuerzo, el talento y el trabajo de quienes hoy buscan su primera oportunidad, porque cuando un joven consigue empleo, cuando una joven logra su primera experiencia profesional, no sólo cambia su vida, cambia la vida de sus familias, cambia la vida de su comunidad y cambia la vida de un país.</w:t>
      </w:r>
    </w:p>
    <w:p w:rsidR="000C639D" w:rsidRPr="00880BBE" w:rsidRDefault="000C639D" w:rsidP="000C639D">
      <w:pPr>
        <w:pStyle w:val="Sinespaciado"/>
      </w:pPr>
      <w:r w:rsidRPr="00880BBE">
        <w:lastRenderedPageBreak/>
        <w:tab/>
        <w:t>Movimiento Ciudadano seguirá trabajando para que México sea el mejor lugar para ser joven, el mejor lugar para estudiar, para emprender, para trabajar, para convivir con dignidad, esa es nuestra convicción, ese es nuestro compromiso y hoy lo reafirmamos desde esta tribuna.</w:t>
      </w:r>
    </w:p>
    <w:p w:rsidR="000C639D" w:rsidRPr="00880BBE" w:rsidRDefault="000C639D" w:rsidP="000C639D">
      <w:pPr>
        <w:pStyle w:val="Sinespaciado"/>
      </w:pPr>
      <w:r w:rsidRPr="00880BBE">
        <w:tab/>
        <w:t>Es cuanto, muchas gracias.</w:t>
      </w:r>
    </w:p>
    <w:p w:rsidR="005E7C21" w:rsidRPr="00880BBE" w:rsidRDefault="005E7C21" w:rsidP="005E7C21">
      <w:pPr>
        <w:pStyle w:val="Sinespaciado"/>
      </w:pPr>
    </w:p>
    <w:p w:rsidR="005E7C21" w:rsidRPr="00880BBE" w:rsidRDefault="005E7C21" w:rsidP="005E7C21">
      <w:pPr>
        <w:spacing w:after="0" w:line="240" w:lineRule="auto"/>
        <w:jc w:val="center"/>
        <w:rPr>
          <w:rFonts w:ascii="Times New Roman" w:hAnsi="Times New Roman"/>
          <w:i/>
          <w:sz w:val="24"/>
          <w:szCs w:val="24"/>
        </w:rPr>
      </w:pPr>
      <w:r w:rsidRPr="00880BBE">
        <w:rPr>
          <w:rFonts w:ascii="Times New Roman" w:hAnsi="Times New Roman"/>
          <w:i/>
          <w:sz w:val="24"/>
          <w:szCs w:val="24"/>
        </w:rPr>
        <w:t>(Se inserta documento)</w:t>
      </w:r>
    </w:p>
    <w:p w:rsidR="005E7C21" w:rsidRPr="00880BBE" w:rsidRDefault="005E7C21" w:rsidP="005E7C21">
      <w:pPr>
        <w:spacing w:after="0" w:line="240" w:lineRule="auto"/>
        <w:jc w:val="center"/>
        <w:rPr>
          <w:rFonts w:ascii="Times New Roman" w:hAnsi="Times New Roman"/>
          <w:sz w:val="24"/>
          <w:szCs w:val="24"/>
        </w:rPr>
      </w:pPr>
    </w:p>
    <w:p w:rsidR="005E7C21" w:rsidRPr="00880BBE" w:rsidRDefault="005E7C21" w:rsidP="005E7C21">
      <w:pPr>
        <w:widowControl w:val="0"/>
        <w:autoSpaceDE w:val="0"/>
        <w:autoSpaceDN w:val="0"/>
        <w:spacing w:after="0" w:line="240" w:lineRule="auto"/>
        <w:jc w:val="right"/>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Bancada Naranja</w:t>
      </w: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880BBE" w:rsidRDefault="005E7C21" w:rsidP="005E7C21">
      <w:pPr>
        <w:widowControl w:val="0"/>
        <w:autoSpaceDE w:val="0"/>
        <w:autoSpaceDN w:val="0"/>
        <w:spacing w:after="0" w:line="240" w:lineRule="auto"/>
        <w:jc w:val="right"/>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Toluca</w:t>
      </w:r>
      <w:r w:rsidRPr="00880BBE">
        <w:rPr>
          <w:rFonts w:ascii="Times New Roman" w:eastAsia="Arial MT" w:hAnsi="Times New Roman" w:cs="Times New Roman"/>
          <w:b/>
          <w:spacing w:val="-3"/>
          <w:sz w:val="24"/>
          <w:szCs w:val="24"/>
        </w:rPr>
        <w:t xml:space="preserve"> </w:t>
      </w:r>
      <w:r w:rsidRPr="00880BBE">
        <w:rPr>
          <w:rFonts w:ascii="Times New Roman" w:eastAsia="Arial MT" w:hAnsi="Times New Roman" w:cs="Times New Roman"/>
          <w:b/>
          <w:sz w:val="24"/>
          <w:szCs w:val="24"/>
        </w:rPr>
        <w:t>de</w:t>
      </w:r>
      <w:r w:rsidRPr="00880BBE">
        <w:rPr>
          <w:rFonts w:ascii="Times New Roman" w:eastAsia="Arial MT" w:hAnsi="Times New Roman" w:cs="Times New Roman"/>
          <w:b/>
          <w:spacing w:val="-2"/>
          <w:sz w:val="24"/>
          <w:szCs w:val="24"/>
        </w:rPr>
        <w:t xml:space="preserve"> </w:t>
      </w:r>
      <w:r w:rsidRPr="00880BBE">
        <w:rPr>
          <w:rFonts w:ascii="Times New Roman" w:eastAsia="Arial MT" w:hAnsi="Times New Roman" w:cs="Times New Roman"/>
          <w:b/>
          <w:sz w:val="24"/>
          <w:szCs w:val="24"/>
        </w:rPr>
        <w:t>Lerdo,</w:t>
      </w:r>
      <w:r w:rsidRPr="00880BBE">
        <w:rPr>
          <w:rFonts w:ascii="Times New Roman" w:eastAsia="Arial MT" w:hAnsi="Times New Roman" w:cs="Times New Roman"/>
          <w:b/>
          <w:spacing w:val="-2"/>
          <w:sz w:val="24"/>
          <w:szCs w:val="24"/>
        </w:rPr>
        <w:t xml:space="preserve"> </w:t>
      </w:r>
      <w:r w:rsidRPr="00880BBE">
        <w:rPr>
          <w:rFonts w:ascii="Times New Roman" w:eastAsia="Arial MT" w:hAnsi="Times New Roman" w:cs="Times New Roman"/>
          <w:b/>
          <w:sz w:val="24"/>
          <w:szCs w:val="24"/>
        </w:rPr>
        <w:t>Estado</w:t>
      </w:r>
      <w:r w:rsidRPr="00880BBE">
        <w:rPr>
          <w:rFonts w:ascii="Times New Roman" w:eastAsia="Arial MT" w:hAnsi="Times New Roman" w:cs="Times New Roman"/>
          <w:b/>
          <w:spacing w:val="-2"/>
          <w:sz w:val="24"/>
          <w:szCs w:val="24"/>
        </w:rPr>
        <w:t xml:space="preserve"> </w:t>
      </w:r>
      <w:r w:rsidRPr="00880BBE">
        <w:rPr>
          <w:rFonts w:ascii="Times New Roman" w:eastAsia="Arial MT" w:hAnsi="Times New Roman" w:cs="Times New Roman"/>
          <w:b/>
          <w:sz w:val="24"/>
          <w:szCs w:val="24"/>
        </w:rPr>
        <w:t>de</w:t>
      </w:r>
      <w:r w:rsidRPr="00880BBE">
        <w:rPr>
          <w:rFonts w:ascii="Times New Roman" w:eastAsia="Arial MT" w:hAnsi="Times New Roman" w:cs="Times New Roman"/>
          <w:b/>
          <w:spacing w:val="-2"/>
          <w:sz w:val="24"/>
          <w:szCs w:val="24"/>
        </w:rPr>
        <w:t xml:space="preserve"> </w:t>
      </w:r>
      <w:r w:rsidRPr="00880BBE">
        <w:rPr>
          <w:rFonts w:ascii="Times New Roman" w:eastAsia="Arial MT" w:hAnsi="Times New Roman" w:cs="Times New Roman"/>
          <w:b/>
          <w:sz w:val="24"/>
          <w:szCs w:val="24"/>
        </w:rPr>
        <w:t>México,</w:t>
      </w:r>
      <w:r w:rsidRPr="00880BBE">
        <w:rPr>
          <w:rFonts w:ascii="Times New Roman" w:eastAsia="Arial MT" w:hAnsi="Times New Roman" w:cs="Times New Roman"/>
          <w:b/>
          <w:spacing w:val="-5"/>
          <w:sz w:val="24"/>
          <w:szCs w:val="24"/>
        </w:rPr>
        <w:t xml:space="preserve"> </w:t>
      </w:r>
      <w:r w:rsidRPr="00880BBE">
        <w:rPr>
          <w:rFonts w:ascii="Times New Roman" w:eastAsia="Arial MT" w:hAnsi="Times New Roman" w:cs="Times New Roman"/>
          <w:b/>
          <w:sz w:val="24"/>
          <w:szCs w:val="24"/>
        </w:rPr>
        <w:t>19</w:t>
      </w:r>
      <w:r w:rsidRPr="00880BBE">
        <w:rPr>
          <w:rFonts w:ascii="Times New Roman" w:eastAsia="Arial MT" w:hAnsi="Times New Roman" w:cs="Times New Roman"/>
          <w:b/>
          <w:spacing w:val="-1"/>
          <w:sz w:val="24"/>
          <w:szCs w:val="24"/>
        </w:rPr>
        <w:t xml:space="preserve"> </w:t>
      </w:r>
      <w:r w:rsidRPr="00880BBE">
        <w:rPr>
          <w:rFonts w:ascii="Times New Roman" w:eastAsia="Arial MT" w:hAnsi="Times New Roman" w:cs="Times New Roman"/>
          <w:b/>
          <w:sz w:val="24"/>
          <w:szCs w:val="24"/>
        </w:rPr>
        <w:t>de</w:t>
      </w:r>
      <w:r w:rsidRPr="00880BBE">
        <w:rPr>
          <w:rFonts w:ascii="Times New Roman" w:eastAsia="Arial MT" w:hAnsi="Times New Roman" w:cs="Times New Roman"/>
          <w:b/>
          <w:spacing w:val="-4"/>
          <w:sz w:val="24"/>
          <w:szCs w:val="24"/>
        </w:rPr>
        <w:t xml:space="preserve"> </w:t>
      </w:r>
      <w:r w:rsidRPr="00880BBE">
        <w:rPr>
          <w:rFonts w:ascii="Times New Roman" w:eastAsia="Arial MT" w:hAnsi="Times New Roman" w:cs="Times New Roman"/>
          <w:b/>
          <w:sz w:val="24"/>
          <w:szCs w:val="24"/>
        </w:rPr>
        <w:t>noviembre</w:t>
      </w:r>
      <w:r w:rsidRPr="00880BBE">
        <w:rPr>
          <w:rFonts w:ascii="Times New Roman" w:eastAsia="Arial MT" w:hAnsi="Times New Roman" w:cs="Times New Roman"/>
          <w:b/>
          <w:spacing w:val="-2"/>
          <w:sz w:val="24"/>
          <w:szCs w:val="24"/>
        </w:rPr>
        <w:t xml:space="preserve"> </w:t>
      </w:r>
      <w:r w:rsidRPr="00880BBE">
        <w:rPr>
          <w:rFonts w:ascii="Times New Roman" w:eastAsia="Arial MT" w:hAnsi="Times New Roman" w:cs="Times New Roman"/>
          <w:b/>
          <w:sz w:val="24"/>
          <w:szCs w:val="24"/>
        </w:rPr>
        <w:t>de</w:t>
      </w:r>
      <w:r w:rsidRPr="00880BBE">
        <w:rPr>
          <w:rFonts w:ascii="Times New Roman" w:eastAsia="Arial MT" w:hAnsi="Times New Roman" w:cs="Times New Roman"/>
          <w:b/>
          <w:spacing w:val="-3"/>
          <w:sz w:val="24"/>
          <w:szCs w:val="24"/>
        </w:rPr>
        <w:t xml:space="preserve"> </w:t>
      </w:r>
      <w:r w:rsidRPr="00880BBE">
        <w:rPr>
          <w:rFonts w:ascii="Times New Roman" w:eastAsia="Arial MT" w:hAnsi="Times New Roman" w:cs="Times New Roman"/>
          <w:b/>
          <w:spacing w:val="-4"/>
          <w:sz w:val="24"/>
          <w:szCs w:val="24"/>
        </w:rPr>
        <w:t>2025</w:t>
      </w: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pacing w:val="-2"/>
          <w:sz w:val="24"/>
          <w:szCs w:val="24"/>
        </w:rPr>
        <w:t>DIPUTADA</w:t>
      </w: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MARTHA</w:t>
      </w:r>
      <w:r w:rsidRPr="00880BBE">
        <w:rPr>
          <w:rFonts w:ascii="Times New Roman" w:eastAsia="Arial MT" w:hAnsi="Times New Roman" w:cs="Times New Roman"/>
          <w:b/>
          <w:spacing w:val="-14"/>
          <w:sz w:val="24"/>
          <w:szCs w:val="24"/>
        </w:rPr>
        <w:t xml:space="preserve"> </w:t>
      </w:r>
      <w:r w:rsidRPr="00880BBE">
        <w:rPr>
          <w:rFonts w:ascii="Times New Roman" w:eastAsia="Arial MT" w:hAnsi="Times New Roman" w:cs="Times New Roman"/>
          <w:b/>
          <w:sz w:val="24"/>
          <w:szCs w:val="24"/>
        </w:rPr>
        <w:t>AZUCENA</w:t>
      </w:r>
      <w:r w:rsidRPr="00880BBE">
        <w:rPr>
          <w:rFonts w:ascii="Times New Roman" w:eastAsia="Arial MT" w:hAnsi="Times New Roman" w:cs="Times New Roman"/>
          <w:b/>
          <w:spacing w:val="-15"/>
          <w:sz w:val="24"/>
          <w:szCs w:val="24"/>
        </w:rPr>
        <w:t xml:space="preserve"> </w:t>
      </w:r>
      <w:r w:rsidRPr="00880BBE">
        <w:rPr>
          <w:rFonts w:ascii="Times New Roman" w:eastAsia="Arial MT" w:hAnsi="Times New Roman" w:cs="Times New Roman"/>
          <w:b/>
          <w:sz w:val="24"/>
          <w:szCs w:val="24"/>
        </w:rPr>
        <w:t>CAMACHO</w:t>
      </w:r>
      <w:r w:rsidRPr="00880BBE">
        <w:rPr>
          <w:rFonts w:ascii="Times New Roman" w:eastAsia="Arial MT" w:hAnsi="Times New Roman" w:cs="Times New Roman"/>
          <w:b/>
          <w:spacing w:val="-13"/>
          <w:sz w:val="24"/>
          <w:szCs w:val="24"/>
        </w:rPr>
        <w:t xml:space="preserve"> </w:t>
      </w:r>
      <w:r w:rsidRPr="00880BBE">
        <w:rPr>
          <w:rFonts w:ascii="Times New Roman" w:eastAsia="Arial MT" w:hAnsi="Times New Roman" w:cs="Times New Roman"/>
          <w:b/>
          <w:sz w:val="24"/>
          <w:szCs w:val="24"/>
        </w:rPr>
        <w:t>REYNOSO</w:t>
      </w: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PRESIDENTA DE LA LXII LEGISLATURA</w:t>
      </w: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DEL ESTADO DE MÉXICO</w:t>
      </w: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880BBE">
        <w:rPr>
          <w:rFonts w:ascii="Times New Roman" w:eastAsia="Arial MT" w:hAnsi="Times New Roman" w:cs="Times New Roman"/>
          <w:b/>
          <w:sz w:val="24"/>
          <w:szCs w:val="24"/>
        </w:rPr>
        <w:t>P</w:t>
      </w:r>
      <w:r w:rsidRPr="00880BBE">
        <w:rPr>
          <w:rFonts w:ascii="Times New Roman" w:eastAsia="Arial MT" w:hAnsi="Times New Roman" w:cs="Times New Roman"/>
          <w:b/>
          <w:spacing w:val="-1"/>
          <w:sz w:val="24"/>
          <w:szCs w:val="24"/>
        </w:rPr>
        <w:t xml:space="preserve"> </w:t>
      </w:r>
      <w:r w:rsidRPr="00880BBE">
        <w:rPr>
          <w:rFonts w:ascii="Times New Roman" w:eastAsia="Arial MT" w:hAnsi="Times New Roman" w:cs="Times New Roman"/>
          <w:b/>
          <w:sz w:val="24"/>
          <w:szCs w:val="24"/>
        </w:rPr>
        <w:t>R E S</w:t>
      </w:r>
      <w:r w:rsidRPr="00880BBE">
        <w:rPr>
          <w:rFonts w:ascii="Times New Roman" w:eastAsia="Arial MT" w:hAnsi="Times New Roman" w:cs="Times New Roman"/>
          <w:b/>
          <w:spacing w:val="-2"/>
          <w:sz w:val="24"/>
          <w:szCs w:val="24"/>
        </w:rPr>
        <w:t xml:space="preserve"> </w:t>
      </w:r>
      <w:r w:rsidRPr="00880BBE">
        <w:rPr>
          <w:rFonts w:ascii="Times New Roman" w:eastAsia="Arial MT" w:hAnsi="Times New Roman" w:cs="Times New Roman"/>
          <w:b/>
          <w:sz w:val="24"/>
          <w:szCs w:val="24"/>
        </w:rPr>
        <w:t>E N T</w:t>
      </w:r>
      <w:r w:rsidRPr="00880BBE">
        <w:rPr>
          <w:rFonts w:ascii="Times New Roman" w:eastAsia="Arial MT" w:hAnsi="Times New Roman" w:cs="Times New Roman"/>
          <w:b/>
          <w:spacing w:val="1"/>
          <w:sz w:val="24"/>
          <w:szCs w:val="24"/>
        </w:rPr>
        <w:t xml:space="preserve"> </w:t>
      </w:r>
      <w:r w:rsidRPr="00880BBE">
        <w:rPr>
          <w:rFonts w:ascii="Times New Roman" w:eastAsia="Arial MT" w:hAnsi="Times New Roman" w:cs="Times New Roman"/>
          <w:b/>
          <w:spacing w:val="-10"/>
          <w:sz w:val="24"/>
          <w:szCs w:val="24"/>
        </w:rPr>
        <w:t>A</w:t>
      </w:r>
    </w:p>
    <w:p w:rsidR="005E7C21" w:rsidRPr="00880BBE"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880BBE">
        <w:rPr>
          <w:rFonts w:ascii="Times New Roman" w:eastAsia="Arial MT" w:hAnsi="Times New Roman" w:cs="Times New Roman"/>
          <w:sz w:val="24"/>
          <w:szCs w:val="24"/>
        </w:rPr>
        <w:t>Con fundamento en lo dispuesto en el artículo 71, fracción III de la Constitución Política de los Estados Unidos Mexicanos, los artículos 51, fracción II, 57 y 61, fracción VII de la Constitución Política del Estado Libre y Soberano de México, 28, fracción</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z w:val="24"/>
          <w:szCs w:val="24"/>
        </w:rPr>
        <w:t>I</w:t>
      </w:r>
      <w:r w:rsidRPr="00880BBE">
        <w:rPr>
          <w:rFonts w:ascii="Times New Roman" w:eastAsia="Arial MT" w:hAnsi="Times New Roman" w:cs="Times New Roman"/>
          <w:spacing w:val="-9"/>
          <w:sz w:val="24"/>
          <w:szCs w:val="24"/>
        </w:rPr>
        <w:t xml:space="preserve"> </w:t>
      </w:r>
      <w:r w:rsidRPr="00880BBE">
        <w:rPr>
          <w:rFonts w:ascii="Times New Roman" w:eastAsia="Arial MT" w:hAnsi="Times New Roman" w:cs="Times New Roman"/>
          <w:sz w:val="24"/>
          <w:szCs w:val="24"/>
        </w:rPr>
        <w:t>y</w:t>
      </w:r>
      <w:r w:rsidRPr="00880BBE">
        <w:rPr>
          <w:rFonts w:ascii="Times New Roman" w:eastAsia="Arial MT" w:hAnsi="Times New Roman" w:cs="Times New Roman"/>
          <w:spacing w:val="-9"/>
          <w:sz w:val="24"/>
          <w:szCs w:val="24"/>
        </w:rPr>
        <w:t xml:space="preserve"> </w:t>
      </w:r>
      <w:r w:rsidRPr="00880BBE">
        <w:rPr>
          <w:rFonts w:ascii="Times New Roman" w:eastAsia="Arial MT" w:hAnsi="Times New Roman" w:cs="Times New Roman"/>
          <w:sz w:val="24"/>
          <w:szCs w:val="24"/>
        </w:rPr>
        <w:t>38,</w:t>
      </w:r>
      <w:r w:rsidRPr="00880BBE">
        <w:rPr>
          <w:rFonts w:ascii="Times New Roman" w:eastAsia="Arial MT" w:hAnsi="Times New Roman" w:cs="Times New Roman"/>
          <w:spacing w:val="-9"/>
          <w:sz w:val="24"/>
          <w:szCs w:val="24"/>
        </w:rPr>
        <w:t xml:space="preserve"> </w:t>
      </w:r>
      <w:r w:rsidRPr="00880BBE">
        <w:rPr>
          <w:rFonts w:ascii="Times New Roman" w:eastAsia="Arial MT" w:hAnsi="Times New Roman" w:cs="Times New Roman"/>
          <w:sz w:val="24"/>
          <w:szCs w:val="24"/>
        </w:rPr>
        <w:t>fracción</w:t>
      </w:r>
      <w:r w:rsidRPr="00880BBE">
        <w:rPr>
          <w:rFonts w:ascii="Times New Roman" w:eastAsia="Arial MT" w:hAnsi="Times New Roman" w:cs="Times New Roman"/>
          <w:spacing w:val="-8"/>
          <w:sz w:val="24"/>
          <w:szCs w:val="24"/>
        </w:rPr>
        <w:t xml:space="preserve"> </w:t>
      </w:r>
      <w:r w:rsidRPr="00880BBE">
        <w:rPr>
          <w:rFonts w:ascii="Times New Roman" w:eastAsia="Arial MT" w:hAnsi="Times New Roman" w:cs="Times New Roman"/>
          <w:sz w:val="24"/>
          <w:szCs w:val="24"/>
        </w:rPr>
        <w:t>III</w:t>
      </w:r>
      <w:r w:rsidRPr="00880BBE">
        <w:rPr>
          <w:rFonts w:ascii="Times New Roman" w:eastAsia="Arial MT" w:hAnsi="Times New Roman" w:cs="Times New Roman"/>
          <w:spacing w:val="-9"/>
          <w:sz w:val="24"/>
          <w:szCs w:val="24"/>
        </w:rPr>
        <w:t xml:space="preserve"> </w:t>
      </w:r>
      <w:r w:rsidRPr="00880BBE">
        <w:rPr>
          <w:rFonts w:ascii="Times New Roman" w:eastAsia="Arial MT" w:hAnsi="Times New Roman" w:cs="Times New Roman"/>
          <w:sz w:val="24"/>
          <w:szCs w:val="24"/>
        </w:rPr>
        <w:t>de</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z w:val="24"/>
          <w:szCs w:val="24"/>
        </w:rPr>
        <w:t>la</w:t>
      </w:r>
      <w:r w:rsidRPr="00880BBE">
        <w:rPr>
          <w:rFonts w:ascii="Times New Roman" w:eastAsia="Arial MT" w:hAnsi="Times New Roman" w:cs="Times New Roman"/>
          <w:spacing w:val="-9"/>
          <w:sz w:val="24"/>
          <w:szCs w:val="24"/>
        </w:rPr>
        <w:t xml:space="preserve"> </w:t>
      </w:r>
      <w:r w:rsidRPr="00880BBE">
        <w:rPr>
          <w:rFonts w:ascii="Times New Roman" w:eastAsia="Arial MT" w:hAnsi="Times New Roman" w:cs="Times New Roman"/>
          <w:sz w:val="24"/>
          <w:szCs w:val="24"/>
        </w:rPr>
        <w:t>Ley</w:t>
      </w:r>
      <w:r w:rsidRPr="00880BBE">
        <w:rPr>
          <w:rFonts w:ascii="Times New Roman" w:eastAsia="Arial MT" w:hAnsi="Times New Roman" w:cs="Times New Roman"/>
          <w:spacing w:val="-9"/>
          <w:sz w:val="24"/>
          <w:szCs w:val="24"/>
        </w:rPr>
        <w:t xml:space="preserve"> </w:t>
      </w:r>
      <w:r w:rsidRPr="00880BBE">
        <w:rPr>
          <w:rFonts w:ascii="Times New Roman" w:eastAsia="Arial MT" w:hAnsi="Times New Roman" w:cs="Times New Roman"/>
          <w:sz w:val="24"/>
          <w:szCs w:val="24"/>
        </w:rPr>
        <w:t>Orgánica</w:t>
      </w:r>
      <w:r w:rsidRPr="00880BBE">
        <w:rPr>
          <w:rFonts w:ascii="Times New Roman" w:eastAsia="Arial MT" w:hAnsi="Times New Roman" w:cs="Times New Roman"/>
          <w:spacing w:val="-9"/>
          <w:sz w:val="24"/>
          <w:szCs w:val="24"/>
        </w:rPr>
        <w:t xml:space="preserve"> </w:t>
      </w:r>
      <w:r w:rsidRPr="00880BBE">
        <w:rPr>
          <w:rFonts w:ascii="Times New Roman" w:eastAsia="Arial MT" w:hAnsi="Times New Roman" w:cs="Times New Roman"/>
          <w:sz w:val="24"/>
          <w:szCs w:val="24"/>
        </w:rPr>
        <w:t>del</w:t>
      </w:r>
      <w:r w:rsidRPr="00880BBE">
        <w:rPr>
          <w:rFonts w:ascii="Times New Roman" w:eastAsia="Arial MT" w:hAnsi="Times New Roman" w:cs="Times New Roman"/>
          <w:spacing w:val="-7"/>
          <w:sz w:val="24"/>
          <w:szCs w:val="24"/>
        </w:rPr>
        <w:t xml:space="preserve"> </w:t>
      </w:r>
      <w:r w:rsidRPr="00880BBE">
        <w:rPr>
          <w:rFonts w:ascii="Times New Roman" w:eastAsia="Arial MT" w:hAnsi="Times New Roman" w:cs="Times New Roman"/>
          <w:sz w:val="24"/>
          <w:szCs w:val="24"/>
        </w:rPr>
        <w:t>Poder</w:t>
      </w:r>
      <w:r w:rsidRPr="00880BBE">
        <w:rPr>
          <w:rFonts w:ascii="Times New Roman" w:eastAsia="Arial MT" w:hAnsi="Times New Roman" w:cs="Times New Roman"/>
          <w:spacing w:val="-10"/>
          <w:sz w:val="24"/>
          <w:szCs w:val="24"/>
        </w:rPr>
        <w:t xml:space="preserve"> </w:t>
      </w:r>
      <w:r w:rsidRPr="00880BBE">
        <w:rPr>
          <w:rFonts w:ascii="Times New Roman" w:eastAsia="Arial MT" w:hAnsi="Times New Roman" w:cs="Times New Roman"/>
          <w:sz w:val="24"/>
          <w:szCs w:val="24"/>
        </w:rPr>
        <w:t>Legislativo</w:t>
      </w:r>
      <w:r w:rsidRPr="00880BBE">
        <w:rPr>
          <w:rFonts w:ascii="Times New Roman" w:eastAsia="Arial MT" w:hAnsi="Times New Roman" w:cs="Times New Roman"/>
          <w:spacing w:val="-6"/>
          <w:sz w:val="24"/>
          <w:szCs w:val="24"/>
        </w:rPr>
        <w:t xml:space="preserve"> </w:t>
      </w:r>
      <w:r w:rsidRPr="00880BBE">
        <w:rPr>
          <w:rFonts w:ascii="Times New Roman" w:eastAsia="Arial MT" w:hAnsi="Times New Roman" w:cs="Times New Roman"/>
          <w:sz w:val="24"/>
          <w:szCs w:val="24"/>
        </w:rPr>
        <w:t>del</w:t>
      </w:r>
      <w:r w:rsidRPr="00880BBE">
        <w:rPr>
          <w:rFonts w:ascii="Times New Roman" w:eastAsia="Arial MT" w:hAnsi="Times New Roman" w:cs="Times New Roman"/>
          <w:spacing w:val="-7"/>
          <w:sz w:val="24"/>
          <w:szCs w:val="24"/>
        </w:rPr>
        <w:t xml:space="preserve"> </w:t>
      </w:r>
      <w:r w:rsidRPr="00880BBE">
        <w:rPr>
          <w:rFonts w:ascii="Times New Roman" w:eastAsia="Arial MT" w:hAnsi="Times New Roman" w:cs="Times New Roman"/>
          <w:sz w:val="24"/>
          <w:szCs w:val="24"/>
        </w:rPr>
        <w:t>Estado</w:t>
      </w:r>
      <w:r w:rsidRPr="00880BBE">
        <w:rPr>
          <w:rFonts w:ascii="Times New Roman" w:eastAsia="Arial MT" w:hAnsi="Times New Roman" w:cs="Times New Roman"/>
          <w:spacing w:val="-8"/>
          <w:sz w:val="24"/>
          <w:szCs w:val="24"/>
        </w:rPr>
        <w:t xml:space="preserve"> </w:t>
      </w:r>
      <w:r w:rsidRPr="00880BBE">
        <w:rPr>
          <w:rFonts w:ascii="Times New Roman" w:eastAsia="Arial MT" w:hAnsi="Times New Roman" w:cs="Times New Roman"/>
          <w:sz w:val="24"/>
          <w:szCs w:val="24"/>
        </w:rPr>
        <w:t xml:space="preserve">Libre y Soberano de México, 41 y 68 del Reglamento del Poder Legislativo del Estado Libre y Soberano de México, las Diputadas y los </w:t>
      </w:r>
      <w:r w:rsidRPr="007A27A5">
        <w:rPr>
          <w:rFonts w:ascii="Times New Roman" w:eastAsia="Arial MT" w:hAnsi="Times New Roman" w:cs="Times New Roman"/>
          <w:sz w:val="24"/>
          <w:szCs w:val="24"/>
        </w:rPr>
        <w:t>Diputados, Ruth Salinas Reyes, Maricela Beltrán Sánchez, Juan Manuel Zepeda Hernández</w:t>
      </w:r>
      <w:r w:rsidRPr="007A27A5">
        <w:rPr>
          <w:rFonts w:ascii="Times New Roman" w:eastAsia="Arial MT" w:hAnsi="Times New Roman" w:cs="Times New Roman"/>
          <w:spacing w:val="40"/>
          <w:sz w:val="24"/>
          <w:szCs w:val="24"/>
        </w:rPr>
        <w:t xml:space="preserve"> </w:t>
      </w:r>
      <w:r w:rsidRPr="007A27A5">
        <w:rPr>
          <w:rFonts w:ascii="Times New Roman" w:eastAsia="Arial MT" w:hAnsi="Times New Roman" w:cs="Times New Roman"/>
          <w:sz w:val="24"/>
          <w:szCs w:val="24"/>
        </w:rPr>
        <w:t>y Martín Zepeda Hernández integrantes del Grupo Parlamentario de Movimiento Ciudadano, sometemos a la consideración de esta Honorable Legislatura, Iniciativa con Proyecto de Decreto por el cual se envía Iniciativa al Congreso de la Unión que adiciona un párrafo al artículo 53 de la Ley Reglamentaria del artículo 5 Constitucional Relativo al Ejercicio de las Profesiones en la Ciudad de México, de conformidad con la siguiente:</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u w:val="single"/>
        </w:rPr>
      </w:pPr>
    </w:p>
    <w:p w:rsidR="005E7C21" w:rsidRPr="007A27A5" w:rsidRDefault="005E7C21" w:rsidP="005E7C21">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u w:val="single"/>
        </w:rPr>
        <w:t>EXPOSICIÓN</w:t>
      </w:r>
      <w:r w:rsidRPr="007A27A5">
        <w:rPr>
          <w:rFonts w:ascii="Times New Roman" w:eastAsia="Arial MT" w:hAnsi="Times New Roman" w:cs="Times New Roman"/>
          <w:b/>
          <w:spacing w:val="-3"/>
          <w:sz w:val="24"/>
          <w:szCs w:val="24"/>
          <w:u w:val="single"/>
        </w:rPr>
        <w:t xml:space="preserve"> </w:t>
      </w:r>
      <w:r w:rsidRPr="007A27A5">
        <w:rPr>
          <w:rFonts w:ascii="Times New Roman" w:eastAsia="Arial MT" w:hAnsi="Times New Roman" w:cs="Times New Roman"/>
          <w:b/>
          <w:sz w:val="24"/>
          <w:szCs w:val="24"/>
          <w:u w:val="single"/>
        </w:rPr>
        <w:t>DE</w:t>
      </w:r>
      <w:r w:rsidRPr="007A27A5">
        <w:rPr>
          <w:rFonts w:ascii="Times New Roman" w:eastAsia="Arial MT" w:hAnsi="Times New Roman" w:cs="Times New Roman"/>
          <w:b/>
          <w:spacing w:val="-3"/>
          <w:sz w:val="24"/>
          <w:szCs w:val="24"/>
          <w:u w:val="single"/>
        </w:rPr>
        <w:t xml:space="preserve"> </w:t>
      </w:r>
      <w:r w:rsidRPr="007A27A5">
        <w:rPr>
          <w:rFonts w:ascii="Times New Roman" w:eastAsia="Arial MT" w:hAnsi="Times New Roman" w:cs="Times New Roman"/>
          <w:b/>
          <w:spacing w:val="-2"/>
          <w:sz w:val="24"/>
          <w:szCs w:val="24"/>
          <w:u w:val="single"/>
        </w:rPr>
        <w:t>MOTIVOS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El mercado laboral en México atraviesa un momento determinante para su población joven, que enfrenta condiciones más adversas que el resto de la población económicamente activa. Aunque la tasa de desocupación nacional se mantiene relativamente baja en 2.5 % al cierre de 2024</w:t>
      </w:r>
      <w:r w:rsidRPr="007A27A5">
        <w:rPr>
          <w:rFonts w:ascii="Times New Roman" w:eastAsia="Arial MT" w:hAnsi="Times New Roman" w:cs="Times New Roman"/>
          <w:position w:val="8"/>
          <w:sz w:val="24"/>
          <w:szCs w:val="24"/>
        </w:rPr>
        <w:t>1</w:t>
      </w:r>
      <w:r w:rsidRPr="007A27A5">
        <w:rPr>
          <w:rFonts w:ascii="Times New Roman" w:eastAsia="Arial MT" w:hAnsi="Times New Roman" w:cs="Times New Roman"/>
          <w:sz w:val="24"/>
          <w:szCs w:val="24"/>
        </w:rPr>
        <w:t>, este promedio no refleja los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enormes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contrastes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viven</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quienes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constituyen</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más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tercio 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personas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sin</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empleo.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Según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INEGI,</w:t>
      </w:r>
      <w:r w:rsidRPr="007A27A5">
        <w:rPr>
          <w:rFonts w:ascii="Times New Roman" w:eastAsia="Arial MT" w:hAnsi="Times New Roman" w:cs="Times New Roman"/>
          <w:spacing w:val="21"/>
          <w:sz w:val="24"/>
          <w:szCs w:val="24"/>
        </w:rPr>
        <w:t xml:space="preserve"> </w:t>
      </w:r>
      <w:r w:rsidRPr="007A27A5">
        <w:rPr>
          <w:rFonts w:ascii="Times New Roman" w:eastAsia="Arial MT" w:hAnsi="Times New Roman" w:cs="Times New Roman"/>
          <w:sz w:val="24"/>
          <w:szCs w:val="24"/>
        </w:rPr>
        <w:t>33.2</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personas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pacing w:val="-2"/>
          <w:sz w:val="24"/>
          <w:szCs w:val="24"/>
        </w:rPr>
        <w:t xml:space="preserve">desocupadas </w:t>
      </w:r>
      <w:r w:rsidRPr="007A27A5">
        <w:rPr>
          <w:rFonts w:ascii="Times New Roman" w:eastAsia="Arial MT" w:hAnsi="Times New Roman" w:cs="Times New Roman"/>
          <w:sz w:val="24"/>
          <w:szCs w:val="24"/>
        </w:rPr>
        <w:t>tienen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entre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15</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24</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años</w:t>
      </w:r>
      <w:r w:rsidRPr="007A27A5">
        <w:rPr>
          <w:rFonts w:ascii="Times New Roman" w:eastAsia="Arial MT" w:hAnsi="Times New Roman" w:cs="Times New Roman"/>
          <w:position w:val="8"/>
          <w:sz w:val="24"/>
          <w:szCs w:val="24"/>
        </w:rPr>
        <w:t>2</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lo</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confirma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desempleo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juvenil</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es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fenómeno persistente</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no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se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ha</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logrado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corregir</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pesar</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décadas</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políticas</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públicas.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1</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INEGI.</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(2024).</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Indicadores</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Ocupación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Empleo,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Octubre</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pacing w:val="-2"/>
          <w:sz w:val="24"/>
          <w:szCs w:val="24"/>
        </w:rPr>
        <w:t>2024.</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2</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INEGI.</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(2024).</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Encuesta</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Nacional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Ocupación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Empleo,</w:t>
      </w:r>
      <w:r w:rsidRPr="007A27A5">
        <w:rPr>
          <w:rFonts w:ascii="Times New Roman" w:eastAsia="Arial MT" w:hAnsi="Times New Roman" w:cs="Times New Roman"/>
          <w:spacing w:val="-2"/>
          <w:sz w:val="24"/>
          <w:szCs w:val="24"/>
        </w:rPr>
        <w:t xml:space="preserve"> 2024.</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En el Estado de México, además, las brechas se agravan. De acuerdo con datos recientes, al menos 2.1 millones de jóvenes se encuentran en vulnerabilidad educativa</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laboral</w:t>
      </w:r>
      <w:r w:rsidRPr="007A27A5">
        <w:rPr>
          <w:rFonts w:ascii="Times New Roman" w:eastAsia="Arial MT" w:hAnsi="Times New Roman" w:cs="Times New Roman"/>
          <w:position w:val="8"/>
          <w:sz w:val="24"/>
          <w:szCs w:val="24"/>
        </w:rPr>
        <w:t>3</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lo</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expone</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menor</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acceso</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ingresos</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estables,</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menor protección social y mayor riesgo de caer en trabajos precarios o informales. Este contexto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representa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no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solo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problema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social,</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sino</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también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económico,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ya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 xml:space="preserve">la falta de empleo formal entre jóvenes reduce el dinamismo productivo y </w:t>
      </w:r>
      <w:r w:rsidRPr="007A27A5">
        <w:rPr>
          <w:rFonts w:ascii="Times New Roman" w:eastAsia="Arial MT" w:hAnsi="Times New Roman" w:cs="Times New Roman"/>
          <w:sz w:val="24"/>
          <w:szCs w:val="24"/>
        </w:rPr>
        <w:lastRenderedPageBreak/>
        <w:t>dificulta la renovación generacional del capital humano.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situación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descrita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obliga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repensar</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desde</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legislación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condiciones</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bajo</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las cuales</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se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insertan</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mercado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laboral.</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entorno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global</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donde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la competencia profesional requiere cada vez más habilidades y trayectorias previas, es fundamental que el Estado garantice mecanismos que permitan a la juventud acceder a su primer empleo en condiciones dignas y equitativas. La presente reforma apunta en esa dirección.</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Una de las principales barreras para los jóvenes es la exigencia de experiencia laboral previa, incluso para puestos de nivel inicial. Diversos estudios en México indican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uno</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cada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tres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desempleados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identifica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falta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experiencia como la causa principal por la que no consigue trabajo</w:t>
      </w:r>
      <w:r w:rsidRPr="007A27A5">
        <w:rPr>
          <w:rFonts w:ascii="Times New Roman" w:eastAsia="Arial MT" w:hAnsi="Times New Roman" w:cs="Times New Roman"/>
          <w:position w:val="8"/>
          <w:sz w:val="24"/>
          <w:szCs w:val="24"/>
        </w:rPr>
        <w:t>4</w:t>
      </w:r>
      <w:r w:rsidRPr="007A27A5">
        <w:rPr>
          <w:rFonts w:ascii="Times New Roman" w:eastAsia="Arial MT" w:hAnsi="Times New Roman" w:cs="Times New Roman"/>
          <w:sz w:val="24"/>
          <w:szCs w:val="24"/>
        </w:rPr>
        <w:t>. Esta situación crea un círculo</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vicioso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particularmente</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injusto: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¿cómo</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obtener</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experiencia</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si</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nadie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les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da</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la oportunidad de trabajar? Esta paradoja se convierte en una barrera sistémica que afecta especialmente a jóvenes recién egresados y a quienes provienen de contextos socialmente vulnerados.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Adicionalmente, se ha documentado que más del 40 % de los jóvenes de entre 15 y 29 años han declarado que el principal obstáculo para obtener un empleo formal es la insuficiencia de experiencia certificada⁵. Esto demuestra que el mercado laboral mexicano ha adoptado estándares que no corresponden con la realidad </w:t>
      </w:r>
      <w:r w:rsidRPr="007A27A5">
        <w:rPr>
          <w:rFonts w:ascii="Times New Roman" w:eastAsia="Arial MT" w:hAnsi="Times New Roman" w:cs="Times New Roman"/>
          <w:spacing w:val="-2"/>
          <w:sz w:val="24"/>
          <w:szCs w:val="24"/>
        </w:rPr>
        <w:t>formativa</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pacing w:val="-2"/>
          <w:sz w:val="24"/>
          <w:szCs w:val="24"/>
        </w:rPr>
        <w:t>de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pacing w:val="-2"/>
          <w:sz w:val="24"/>
          <w:szCs w:val="24"/>
        </w:rPr>
        <w:t>los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pacing w:val="-2"/>
          <w:sz w:val="24"/>
          <w:szCs w:val="24"/>
        </w:rPr>
        <w:t>estudiantes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pacing w:val="-2"/>
          <w:sz w:val="24"/>
          <w:szCs w:val="24"/>
        </w:rPr>
        <w:t>ni</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pacing w:val="-2"/>
          <w:sz w:val="24"/>
          <w:szCs w:val="24"/>
        </w:rPr>
        <w:t>con</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pacing w:val="-2"/>
          <w:sz w:val="24"/>
          <w:szCs w:val="24"/>
        </w:rPr>
        <w:t>las</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pacing w:val="-2"/>
          <w:sz w:val="24"/>
          <w:szCs w:val="24"/>
        </w:rPr>
        <w:t>prácticas</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pacing w:val="-2"/>
          <w:sz w:val="24"/>
          <w:szCs w:val="24"/>
        </w:rPr>
        <w:t>contemporáneas</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de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transición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pacing w:val="-2"/>
          <w:sz w:val="24"/>
          <w:szCs w:val="24"/>
        </w:rPr>
        <w:t>hacia</w:t>
      </w:r>
      <w:r w:rsidRPr="007A27A5">
        <w:rPr>
          <w:rFonts w:ascii="Times New Roman" w:eastAsia="Arial MT" w:hAnsi="Times New Roman" w:cs="Times New Roman"/>
          <w:sz w:val="24"/>
          <w:szCs w:val="24"/>
        </w:rPr>
        <w:t xml:space="preserve"> el trabajo. La exigencia desproporcionada de experiencia profesional no solo excluye, sino que también ralentiza la movilidad social.</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3</w:t>
      </w:r>
      <w:r w:rsidRPr="007A27A5">
        <w:rPr>
          <w:rFonts w:ascii="Times New Roman" w:eastAsia="Arial MT" w:hAnsi="Times New Roman" w:cs="Times New Roman"/>
          <w:spacing w:val="-7"/>
          <w:sz w:val="24"/>
          <w:szCs w:val="24"/>
        </w:rPr>
        <w:t xml:space="preserve"> </w:t>
      </w:r>
      <w:proofErr w:type="spellStart"/>
      <w:r w:rsidRPr="007A27A5">
        <w:rPr>
          <w:rFonts w:ascii="Times New Roman" w:eastAsia="Arial MT" w:hAnsi="Times New Roman" w:cs="Times New Roman"/>
          <w:sz w:val="24"/>
          <w:szCs w:val="24"/>
        </w:rPr>
        <w:t>YouthBuild</w:t>
      </w:r>
      <w:proofErr w:type="spellEnd"/>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México</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OEM</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(2024).</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Vulnerabilidad</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laboral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educativa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Estado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pacing w:val="-2"/>
          <w:sz w:val="24"/>
          <w:szCs w:val="24"/>
        </w:rPr>
        <w:t>México.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4</w:t>
      </w:r>
      <w:r w:rsidRPr="007A27A5">
        <w:rPr>
          <w:rFonts w:ascii="Times New Roman" w:eastAsia="Arial MT" w:hAnsi="Times New Roman" w:cs="Times New Roman"/>
          <w:spacing w:val="-6"/>
          <w:sz w:val="24"/>
          <w:szCs w:val="24"/>
        </w:rPr>
        <w:t xml:space="preserve"> </w:t>
      </w:r>
      <w:proofErr w:type="spellStart"/>
      <w:r w:rsidRPr="007A27A5">
        <w:rPr>
          <w:rFonts w:ascii="Times New Roman" w:eastAsia="Arial MT" w:hAnsi="Times New Roman" w:cs="Times New Roman"/>
          <w:sz w:val="24"/>
          <w:szCs w:val="24"/>
        </w:rPr>
        <w:t>UnoTV</w:t>
      </w:r>
      <w:proofErr w:type="spellEnd"/>
      <w:r w:rsidRPr="007A27A5">
        <w:rPr>
          <w:rFonts w:ascii="Times New Roman" w:eastAsia="Arial MT" w:hAnsi="Times New Roman" w:cs="Times New Roman"/>
          <w:sz w:val="24"/>
          <w:szCs w:val="24"/>
        </w:rPr>
        <w:t>.</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(2024).</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Uno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cada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tres</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desempleados</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México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tiene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entre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15</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24</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pacing w:val="-2"/>
          <w:sz w:val="24"/>
          <w:szCs w:val="24"/>
        </w:rPr>
        <w:t>años.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Al no reconocer jurídicamente como experiencia las actividades formativas, prácticas o servicio social, se mantiene a generaciones completas fuera de un derecho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fundamental:</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derecho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trabajar</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igualdad</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oportunidades.</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Por</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ello, la presente iniciativa plantea un cambio normativo necesario para equilibrar las condiciones de acceso al mercado laboral y garantizar que la falta de experiencia deje de ser un obstáculo estructural.</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El servicio social</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en México representa una</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de las</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herramientas</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más valiosas para vincular</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formación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escolar</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con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trabajo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real.</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Sin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embargo,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legislación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vigente lo considera únicamente un requisito académico, sin reconocer su potencial como experiencia profesional. Miles de jóvenes cada año realizan actividades técnicas, administrativas, científicas y sociales que, en cualquier otra circunstancia, serían consideradas experiencia laboral acreditable.</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No</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obstante,</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falta</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reconocimiento</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jurídico</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servicio</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social</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como</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experiencia profesional ha impedido que las horas trabajadas sean valoradas por los empleadores. Esto genera un desfase entre el aprendizaje práctico que realmente adquieren los jóvenes y los requisitos que exige el mercado laboral. Peor aún, invisibiliza</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esfuerzo</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realizan</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instituciones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públicas,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privadas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sociales,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en las que desempeñan roles de gran utilidad para la comunidad.</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reforma al artículo 53 representa una oportunidad histórica para saldar esta deuda. Reconocer el servicio social como experiencia profesional significará que cada</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hora</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dedicada</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por</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se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transforme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activo</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laboral.</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Este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 xml:space="preserve">cambio alinea el ejercicio educativo con el desarrollo </w:t>
      </w:r>
      <w:r w:rsidRPr="007A27A5">
        <w:rPr>
          <w:rFonts w:ascii="Times New Roman" w:eastAsia="Arial MT" w:hAnsi="Times New Roman" w:cs="Times New Roman"/>
          <w:sz w:val="24"/>
          <w:szCs w:val="24"/>
        </w:rPr>
        <w:lastRenderedPageBreak/>
        <w:t>económico y fortalece la transición hacia el empleo formal.</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 experiencia internacional demuestra que la inclusión laboral temprana de jóvenes es una de las políticas más efectivas para reducir el desempleo y mejorar la productividad. La Organización para la Cooperación y el Desarrollo Económicos sostiene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programas</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vinculan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educación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trabajo</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aumentan</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entre 15</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 y</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30</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probabilidad</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conseguir</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empleo</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formal</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primeros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años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carrera</w:t>
      </w:r>
      <w:r w:rsidRPr="007A27A5">
        <w:rPr>
          <w:rFonts w:ascii="Times New Roman" w:eastAsia="Arial MT" w:hAnsi="Times New Roman" w:cs="Times New Roman"/>
          <w:position w:val="8"/>
          <w:sz w:val="24"/>
          <w:szCs w:val="24"/>
        </w:rPr>
        <w:t>5</w:t>
      </w:r>
      <w:r w:rsidRPr="007A27A5">
        <w:rPr>
          <w:rFonts w:ascii="Times New Roman" w:eastAsia="Arial MT" w:hAnsi="Times New Roman" w:cs="Times New Roman"/>
          <w:sz w:val="24"/>
          <w:szCs w:val="24"/>
        </w:rPr>
        <w:t>. Estos</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datos</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confirman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clave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no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es</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únicamente</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formación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académica,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sino la práctica certificada que permite a los jóvenes demostrar sus capacidades.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Asimismo,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OECD</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ha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documentado</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fenómeno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conocido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como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w:t>
      </w:r>
      <w:proofErr w:type="spellStart"/>
      <w:r w:rsidRPr="007A27A5">
        <w:rPr>
          <w:rFonts w:ascii="Times New Roman" w:eastAsia="Arial MT" w:hAnsi="Times New Roman" w:cs="Times New Roman"/>
          <w:sz w:val="24"/>
          <w:szCs w:val="24"/>
        </w:rPr>
        <w:t>scarring</w:t>
      </w:r>
      <w:proofErr w:type="spellEnd"/>
      <w:r w:rsidRPr="007A27A5">
        <w:rPr>
          <w:rFonts w:ascii="Times New Roman" w:eastAsia="Arial MT" w:hAnsi="Times New Roman" w:cs="Times New Roman"/>
          <w:spacing w:val="-4"/>
          <w:sz w:val="24"/>
          <w:szCs w:val="24"/>
        </w:rPr>
        <w:t xml:space="preserve"> </w:t>
      </w:r>
      <w:proofErr w:type="spellStart"/>
      <w:r w:rsidRPr="007A27A5">
        <w:rPr>
          <w:rFonts w:ascii="Times New Roman" w:eastAsia="Arial MT" w:hAnsi="Times New Roman" w:cs="Times New Roman"/>
          <w:sz w:val="24"/>
          <w:szCs w:val="24"/>
        </w:rPr>
        <w:t>effect</w:t>
      </w:r>
      <w:proofErr w:type="spellEnd"/>
      <w:r w:rsidRPr="007A27A5">
        <w:rPr>
          <w:rFonts w:ascii="Times New Roman" w:eastAsia="Arial MT" w:hAnsi="Times New Roman" w:cs="Times New Roman"/>
          <w:sz w:val="24"/>
          <w:szCs w:val="24"/>
        </w:rPr>
        <w:t>”, que es el fenómeno mediante el cual el desempleo juvenil deja una “cicatriz” permanente en la vida laboral, económica y personal de un joven, incluso años después de haber conseguido empleo. Los largos periodos de desempleo presentan menores ingresos a lo largo de su vida, peor inserción laboral y más dificultades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para</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acumular</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capital</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humano</w:t>
      </w:r>
      <w:r w:rsidRPr="007A27A5">
        <w:rPr>
          <w:rFonts w:ascii="Times New Roman" w:eastAsia="Arial MT" w:hAnsi="Times New Roman" w:cs="Times New Roman"/>
          <w:position w:val="8"/>
          <w:sz w:val="24"/>
          <w:szCs w:val="24"/>
        </w:rPr>
        <w:t>6</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Esto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afecta</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no</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solo</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personas,</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sino al</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conjunto</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economías</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nacionales.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falta</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empleo</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juvenil</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genera</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pérdidas en productividad, incrementa costos sociales y reduce el potencial de innovación.</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Por el contrario, países como Alemania, Finlandia, Japón, Chile o Portugal han obtenido resultados positivos al reconocer pasantías, prácticas profesionales o </w:t>
      </w:r>
      <w:r w:rsidRPr="007A27A5">
        <w:rPr>
          <w:rFonts w:ascii="Times New Roman" w:eastAsia="Arial MT" w:hAnsi="Times New Roman" w:cs="Times New Roman"/>
          <w:spacing w:val="-2"/>
          <w:sz w:val="24"/>
          <w:szCs w:val="24"/>
        </w:rPr>
        <w:t>servicio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cívico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como</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pacing w:val="-2"/>
          <w:sz w:val="24"/>
          <w:szCs w:val="24"/>
        </w:rPr>
        <w:t>experiencia</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laboral</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pacing w:val="-2"/>
          <w:sz w:val="24"/>
          <w:szCs w:val="24"/>
        </w:rPr>
        <w:t>acreditable⁸.</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Estas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pacing w:val="-2"/>
          <w:sz w:val="24"/>
          <w:szCs w:val="24"/>
        </w:rPr>
        <w:t>políticas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pacing w:val="-2"/>
          <w:sz w:val="24"/>
          <w:szCs w:val="24"/>
        </w:rPr>
        <w:t>se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pacing w:val="-2"/>
          <w:sz w:val="24"/>
          <w:szCs w:val="24"/>
        </w:rPr>
        <w:t>traducen</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pacing w:val="-2"/>
          <w:sz w:val="24"/>
          <w:szCs w:val="24"/>
        </w:rPr>
        <w:t xml:space="preserve">en </w:t>
      </w:r>
      <w:r w:rsidRPr="007A27A5">
        <w:rPr>
          <w:rFonts w:ascii="Times New Roman" w:eastAsia="Arial MT" w:hAnsi="Times New Roman" w:cs="Times New Roman"/>
          <w:sz w:val="24"/>
          <w:szCs w:val="24"/>
        </w:rPr>
        <w:t>tasas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desempleo</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juvenil</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hasta</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60</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menores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países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sin</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esquemas equivalentes. México no puede rezagarse frente a prácticas exitosas ampliamente probadas en otros países.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reforma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planteada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tendrá</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efectos</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directos</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mercado</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laboral.</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Al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reconocer</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el servicio social como experiencia profesional, los jóvenes podrán competir en mejores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condicione</w:t>
      </w:r>
      <w:r w:rsidRPr="007A27A5">
        <w:rPr>
          <w:rFonts w:ascii="Times New Roman" w:eastAsia="Arial MT" w:hAnsi="Times New Roman" w:cs="Times New Roman"/>
          <w:b/>
          <w:sz w:val="24"/>
          <w:szCs w:val="24"/>
        </w:rPr>
        <w:t>s</w:t>
      </w:r>
      <w:r w:rsidRPr="007A27A5">
        <w:rPr>
          <w:rFonts w:ascii="Times New Roman" w:eastAsia="Arial MT" w:hAnsi="Times New Roman" w:cs="Times New Roman"/>
          <w:b/>
          <w:spacing w:val="-9"/>
          <w:sz w:val="24"/>
          <w:szCs w:val="24"/>
        </w:rPr>
        <w:t xml:space="preserve"> </w:t>
      </w:r>
      <w:r w:rsidRPr="007A27A5">
        <w:rPr>
          <w:rFonts w:ascii="Times New Roman" w:eastAsia="Arial MT" w:hAnsi="Times New Roman" w:cs="Times New Roman"/>
          <w:sz w:val="24"/>
          <w:szCs w:val="24"/>
        </w:rPr>
        <w:t>por</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puestos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formales,</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reduciendo</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tiempos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búsqueda</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de empleo. Esto se traduce en mayor productividad y menor inactividad. La inexperiencia dejará de ser excusa para excluirlos.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Además, el reconocimiento de experiencia adquirida durante el servicio social reducirá</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informalidad</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laboral,</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afecta</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más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54</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ocupados en México</w:t>
      </w:r>
      <w:r w:rsidRPr="007A27A5">
        <w:rPr>
          <w:rFonts w:ascii="Times New Roman" w:eastAsia="Arial MT" w:hAnsi="Times New Roman" w:cs="Times New Roman"/>
          <w:position w:val="8"/>
          <w:sz w:val="24"/>
          <w:szCs w:val="24"/>
        </w:rPr>
        <w:t>7</w:t>
      </w:r>
      <w:r w:rsidRPr="007A27A5">
        <w:rPr>
          <w:rFonts w:ascii="Times New Roman" w:eastAsia="Arial MT" w:hAnsi="Times New Roman" w:cs="Times New Roman"/>
          <w:sz w:val="24"/>
          <w:szCs w:val="24"/>
        </w:rPr>
        <w:t>. La informalidad</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no solo genera inestabilidad, sino que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también implica menos derechos laborales, nulas prestaciones y</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menor acceso a seguridad social.</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5</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OECD.</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(2024).</w:t>
      </w:r>
      <w:r w:rsidRPr="007A27A5">
        <w:rPr>
          <w:rFonts w:ascii="Times New Roman" w:eastAsia="Arial MT" w:hAnsi="Times New Roman" w:cs="Times New Roman"/>
          <w:spacing w:val="-7"/>
          <w:sz w:val="24"/>
          <w:szCs w:val="24"/>
        </w:rPr>
        <w:t xml:space="preserve"> </w:t>
      </w:r>
      <w:proofErr w:type="spellStart"/>
      <w:r w:rsidRPr="007A27A5">
        <w:rPr>
          <w:rFonts w:ascii="Times New Roman" w:eastAsia="Arial MT" w:hAnsi="Times New Roman" w:cs="Times New Roman"/>
          <w:sz w:val="24"/>
          <w:szCs w:val="24"/>
        </w:rPr>
        <w:t>Youth</w:t>
      </w:r>
      <w:proofErr w:type="spellEnd"/>
      <w:r w:rsidRPr="007A27A5">
        <w:rPr>
          <w:rFonts w:ascii="Times New Roman" w:eastAsia="Arial MT" w:hAnsi="Times New Roman" w:cs="Times New Roman"/>
          <w:spacing w:val="-6"/>
          <w:sz w:val="24"/>
          <w:szCs w:val="24"/>
        </w:rPr>
        <w:t xml:space="preserve"> </w:t>
      </w:r>
      <w:proofErr w:type="spellStart"/>
      <w:r w:rsidRPr="007A27A5">
        <w:rPr>
          <w:rFonts w:ascii="Times New Roman" w:eastAsia="Arial MT" w:hAnsi="Times New Roman" w:cs="Times New Roman"/>
          <w:sz w:val="24"/>
          <w:szCs w:val="24"/>
        </w:rPr>
        <w:t>Employment</w:t>
      </w:r>
      <w:proofErr w:type="spellEnd"/>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and</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Social</w:t>
      </w:r>
      <w:r w:rsidRPr="007A27A5">
        <w:rPr>
          <w:rFonts w:ascii="Times New Roman" w:eastAsia="Arial MT" w:hAnsi="Times New Roman" w:cs="Times New Roman"/>
          <w:spacing w:val="-7"/>
          <w:sz w:val="24"/>
          <w:szCs w:val="24"/>
        </w:rPr>
        <w:t xml:space="preserve"> </w:t>
      </w:r>
      <w:proofErr w:type="spellStart"/>
      <w:r w:rsidRPr="007A27A5">
        <w:rPr>
          <w:rFonts w:ascii="Times New Roman" w:eastAsia="Arial MT" w:hAnsi="Times New Roman" w:cs="Times New Roman"/>
          <w:spacing w:val="-2"/>
          <w:sz w:val="24"/>
          <w:szCs w:val="24"/>
        </w:rPr>
        <w:t>Policies</w:t>
      </w:r>
      <w:proofErr w:type="spellEnd"/>
      <w:r w:rsidRPr="007A27A5">
        <w:rPr>
          <w:rFonts w:ascii="Times New Roman" w:eastAsia="Arial MT" w:hAnsi="Times New Roman" w:cs="Times New Roman"/>
          <w:spacing w:val="-2"/>
          <w:sz w:val="24"/>
          <w:szCs w:val="24"/>
        </w:rPr>
        <w:t>.</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6</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OECD.</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(2024).</w:t>
      </w:r>
      <w:r w:rsidRPr="007A27A5">
        <w:rPr>
          <w:rFonts w:ascii="Times New Roman" w:eastAsia="Arial MT" w:hAnsi="Times New Roman" w:cs="Times New Roman"/>
          <w:spacing w:val="-8"/>
          <w:sz w:val="24"/>
          <w:szCs w:val="24"/>
        </w:rPr>
        <w:t xml:space="preserve"> </w:t>
      </w:r>
      <w:proofErr w:type="spellStart"/>
      <w:r w:rsidRPr="007A27A5">
        <w:rPr>
          <w:rFonts w:ascii="Times New Roman" w:eastAsia="Arial MT" w:hAnsi="Times New Roman" w:cs="Times New Roman"/>
          <w:sz w:val="24"/>
          <w:szCs w:val="24"/>
        </w:rPr>
        <w:t>Achieving</w:t>
      </w:r>
      <w:proofErr w:type="spellEnd"/>
      <w:r w:rsidRPr="007A27A5">
        <w:rPr>
          <w:rFonts w:ascii="Times New Roman" w:eastAsia="Arial MT" w:hAnsi="Times New Roman" w:cs="Times New Roman"/>
          <w:spacing w:val="-8"/>
          <w:sz w:val="24"/>
          <w:szCs w:val="24"/>
        </w:rPr>
        <w:t xml:space="preserve"> </w:t>
      </w:r>
      <w:proofErr w:type="spellStart"/>
      <w:r w:rsidRPr="007A27A5">
        <w:rPr>
          <w:rFonts w:ascii="Times New Roman" w:eastAsia="Arial MT" w:hAnsi="Times New Roman" w:cs="Times New Roman"/>
          <w:sz w:val="24"/>
          <w:szCs w:val="24"/>
        </w:rPr>
        <w:t>Better</w:t>
      </w:r>
      <w:proofErr w:type="spellEnd"/>
      <w:r w:rsidRPr="007A27A5">
        <w:rPr>
          <w:rFonts w:ascii="Times New Roman" w:eastAsia="Arial MT" w:hAnsi="Times New Roman" w:cs="Times New Roman"/>
          <w:spacing w:val="-6"/>
          <w:sz w:val="24"/>
          <w:szCs w:val="24"/>
        </w:rPr>
        <w:t xml:space="preserve"> </w:t>
      </w:r>
      <w:proofErr w:type="spellStart"/>
      <w:r w:rsidRPr="007A27A5">
        <w:rPr>
          <w:rFonts w:ascii="Times New Roman" w:eastAsia="Arial MT" w:hAnsi="Times New Roman" w:cs="Times New Roman"/>
          <w:sz w:val="24"/>
          <w:szCs w:val="24"/>
        </w:rPr>
        <w:t>Youth</w:t>
      </w:r>
      <w:proofErr w:type="spellEnd"/>
      <w:r w:rsidRPr="007A27A5">
        <w:rPr>
          <w:rFonts w:ascii="Times New Roman" w:eastAsia="Arial MT" w:hAnsi="Times New Roman" w:cs="Times New Roman"/>
          <w:spacing w:val="-7"/>
          <w:sz w:val="24"/>
          <w:szCs w:val="24"/>
        </w:rPr>
        <w:t xml:space="preserve"> </w:t>
      </w:r>
      <w:proofErr w:type="spellStart"/>
      <w:r w:rsidRPr="007A27A5">
        <w:rPr>
          <w:rFonts w:ascii="Times New Roman" w:eastAsia="Arial MT" w:hAnsi="Times New Roman" w:cs="Times New Roman"/>
          <w:sz w:val="24"/>
          <w:szCs w:val="24"/>
        </w:rPr>
        <w:t>Employment</w:t>
      </w:r>
      <w:proofErr w:type="spellEnd"/>
      <w:r w:rsidRPr="007A27A5">
        <w:rPr>
          <w:rFonts w:ascii="Times New Roman" w:eastAsia="Arial MT" w:hAnsi="Times New Roman" w:cs="Times New Roman"/>
          <w:spacing w:val="-7"/>
          <w:sz w:val="24"/>
          <w:szCs w:val="24"/>
        </w:rPr>
        <w:t xml:space="preserve"> </w:t>
      </w:r>
      <w:proofErr w:type="spellStart"/>
      <w:r w:rsidRPr="007A27A5">
        <w:rPr>
          <w:rFonts w:ascii="Times New Roman" w:eastAsia="Arial MT" w:hAnsi="Times New Roman" w:cs="Times New Roman"/>
          <w:spacing w:val="-2"/>
          <w:sz w:val="24"/>
          <w:szCs w:val="24"/>
        </w:rPr>
        <w:t>Outcomes</w:t>
      </w:r>
      <w:proofErr w:type="spellEnd"/>
      <w:r w:rsidRPr="007A27A5">
        <w:rPr>
          <w:rFonts w:ascii="Times New Roman" w:eastAsia="Arial MT" w:hAnsi="Times New Roman" w:cs="Times New Roman"/>
          <w:spacing w:val="-2"/>
          <w:sz w:val="24"/>
          <w:szCs w:val="24"/>
        </w:rPr>
        <w:t>.</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vertAlign w:val="superscript"/>
        </w:rPr>
        <w:t>7</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INEGI.</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(2023-2024).</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Informalidad</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laboral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juvenil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pacing w:val="-2"/>
          <w:sz w:val="24"/>
          <w:szCs w:val="24"/>
        </w:rPr>
        <w:t>México.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Con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esta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reforma,</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tendrán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más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herramientas</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para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ingresar</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directamente a plazas formales.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 nivel macroeconómico, políticas como esta generan efectos positivos en el crecimiento económico, pues mayor empleo formal equivale a mayores aportes fiscales,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mejor</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recaudación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mayor</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cobertura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seguridad</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social.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país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requiere fortalecer su base laboral joven para sostener el dinamismo productivo y la competitividad internacional.</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Desde una perspectiva social, la reforma contribuirá a disminuir desigualdades estructurales.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Los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provenientes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comunidades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con</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bajos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ingresos</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 xml:space="preserve">suelen tener menores oportunidades de prácticas profesionales pagadas o empleos formales iniciales. Al reconocer el servicio social como </w:t>
      </w:r>
      <w:r w:rsidRPr="007A27A5">
        <w:rPr>
          <w:rFonts w:ascii="Times New Roman" w:eastAsia="Arial MT" w:hAnsi="Times New Roman" w:cs="Times New Roman"/>
          <w:sz w:val="24"/>
          <w:szCs w:val="24"/>
        </w:rPr>
        <w:lastRenderedPageBreak/>
        <w:t>experiencia profesional, se genera un piso mínimo de competitividad para todos los jóvenes sin importar su origen social.</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Asimismo, la reforma permitirá que los jóvenes adquieran mayor autonomía económica.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falta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empleo</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formal</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prolonga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dependencia</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familiar</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y</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dificulta</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la construcción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proyectos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vida.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Con</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un</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primer</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empleo</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más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accesible,</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17"/>
          <w:sz w:val="24"/>
          <w:szCs w:val="24"/>
        </w:rPr>
        <w:t xml:space="preserve"> </w:t>
      </w:r>
      <w:r w:rsidRPr="007A27A5">
        <w:rPr>
          <w:rFonts w:ascii="Times New Roman" w:eastAsia="Arial MT" w:hAnsi="Times New Roman" w:cs="Times New Roman"/>
          <w:sz w:val="24"/>
          <w:szCs w:val="24"/>
        </w:rPr>
        <w:t>juventud podrá acceder a ingresos más estables, vivienda, educación continua y movilidad social ascendente.</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Este reconocimiento también fortalecerá la cohesión social. La incorporación efectiva</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jóvenes</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al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mercado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laboral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reduce</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riesgos</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exclusión,</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marginalidad</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o actividades ilícitas. Países que han avanzado en reformas similares han demostrado que una juventud con empleo estable contribuye a sociedades más pacíficas, inclusivas y prósperas.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Diversos</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estudios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demuestran</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11"/>
          <w:sz w:val="24"/>
          <w:szCs w:val="24"/>
        </w:rPr>
        <w:t xml:space="preserve"> </w:t>
      </w:r>
      <w:r w:rsidRPr="007A27A5">
        <w:rPr>
          <w:rFonts w:ascii="Times New Roman" w:eastAsia="Arial MT" w:hAnsi="Times New Roman" w:cs="Times New Roman"/>
          <w:sz w:val="24"/>
          <w:szCs w:val="24"/>
        </w:rPr>
        <w:t>empleo</w:t>
      </w:r>
      <w:r w:rsidRPr="007A27A5">
        <w:rPr>
          <w:rFonts w:ascii="Times New Roman" w:eastAsia="Arial MT" w:hAnsi="Times New Roman" w:cs="Times New Roman"/>
          <w:spacing w:val="-12"/>
          <w:sz w:val="24"/>
          <w:szCs w:val="24"/>
        </w:rPr>
        <w:t xml:space="preserve"> </w:t>
      </w:r>
      <w:r w:rsidRPr="007A27A5">
        <w:rPr>
          <w:rFonts w:ascii="Times New Roman" w:eastAsia="Arial MT" w:hAnsi="Times New Roman" w:cs="Times New Roman"/>
          <w:sz w:val="24"/>
          <w:szCs w:val="24"/>
        </w:rPr>
        <w:t>temprano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tiene</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efectos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positivos</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la salud emocional y psicológica de los jóvenes. Contar con un empleo o con experiencia profesional reconocida fortalece la autoestima, reduce la ansiedad por el futuro y disminuye la incertidumbre respecto a la propia formación. El trabajo contribuye a generar identidad, propósito y sentido de pertenencia.</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Por el contrario, el desempleo prolongado en la juventud tiene efectos negativos que se extienden durante décadas. Los jóvenes desempleados presentan mayor incidencia de depresión, menor satisfacción de vida y peores ingresos futuros. En este sentido, la reforma propuesta incide en un componente fundamental del bienestar, al garantizar que cada estudiante pueda iniciar su vida laboral con herramientas certificadas y valoradas por el mercado.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Así, reconocer el servicio social como experiencia profesional no solo tiene repercusiones</w:t>
      </w:r>
      <w:r w:rsidRPr="007A27A5">
        <w:rPr>
          <w:rFonts w:ascii="Times New Roman" w:eastAsia="Arial MT" w:hAnsi="Times New Roman" w:cs="Times New Roman"/>
          <w:spacing w:val="-14"/>
          <w:sz w:val="24"/>
          <w:szCs w:val="24"/>
        </w:rPr>
        <w:t xml:space="preserve"> </w:t>
      </w:r>
      <w:r w:rsidRPr="007A27A5">
        <w:rPr>
          <w:rFonts w:ascii="Times New Roman" w:eastAsia="Arial MT" w:hAnsi="Times New Roman" w:cs="Times New Roman"/>
          <w:sz w:val="24"/>
          <w:szCs w:val="24"/>
        </w:rPr>
        <w:t>laborales,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sino</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humanas.</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Permite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que</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5"/>
          <w:sz w:val="24"/>
          <w:szCs w:val="24"/>
        </w:rPr>
        <w:t xml:space="preserve"> </w:t>
      </w:r>
      <w:r w:rsidRPr="007A27A5">
        <w:rPr>
          <w:rFonts w:ascii="Times New Roman" w:eastAsia="Arial MT" w:hAnsi="Times New Roman" w:cs="Times New Roman"/>
          <w:sz w:val="24"/>
          <w:szCs w:val="24"/>
        </w:rPr>
        <w:t>trayectorias</w:t>
      </w:r>
      <w:r w:rsidRPr="007A27A5">
        <w:rPr>
          <w:rFonts w:ascii="Times New Roman" w:eastAsia="Arial MT" w:hAnsi="Times New Roman" w:cs="Times New Roman"/>
          <w:spacing w:val="-16"/>
          <w:sz w:val="24"/>
          <w:szCs w:val="24"/>
        </w:rPr>
        <w:t xml:space="preserve"> </w:t>
      </w:r>
      <w:r w:rsidRPr="007A27A5">
        <w:rPr>
          <w:rFonts w:ascii="Times New Roman" w:eastAsia="Arial MT" w:hAnsi="Times New Roman" w:cs="Times New Roman"/>
          <w:sz w:val="24"/>
          <w:szCs w:val="24"/>
        </w:rPr>
        <w:t>individuales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se construyan con mayor estabilidad, con menos incertidumbre y con mejores expectativas de vida. La presente iniciativa busca fortalecer ese bienestar desde una base legal sólida y efectiva.</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Por todo lo expuesto y fundado, la Bancada de Movimiento Ciudadano considera pertinente y</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necesario enviar</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una iniciativa que reforma el</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marco</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normativo</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federal para que el tiempo y el trabajo aplicado al servicio social reciba el verdadero valor que merece.</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A</w:t>
      </w:r>
      <w:r w:rsidRPr="007A27A5">
        <w:rPr>
          <w:rFonts w:ascii="Times New Roman" w:eastAsia="Arial MT" w:hAnsi="Times New Roman" w:cs="Times New Roman"/>
          <w:b/>
          <w:spacing w:val="-4"/>
          <w:sz w:val="24"/>
          <w:szCs w:val="24"/>
        </w:rPr>
        <w:t xml:space="preserve"> </w:t>
      </w:r>
      <w:r w:rsidRPr="007A27A5">
        <w:rPr>
          <w:rFonts w:ascii="Times New Roman" w:eastAsia="Arial MT" w:hAnsi="Times New Roman" w:cs="Times New Roman"/>
          <w:b/>
          <w:sz w:val="24"/>
          <w:szCs w:val="24"/>
        </w:rPr>
        <w:t>T</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E</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N T</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A</w:t>
      </w:r>
      <w:r w:rsidRPr="007A27A5">
        <w:rPr>
          <w:rFonts w:ascii="Times New Roman" w:eastAsia="Arial MT" w:hAnsi="Times New Roman" w:cs="Times New Roman"/>
          <w:b/>
          <w:spacing w:val="-4"/>
          <w:sz w:val="24"/>
          <w:szCs w:val="24"/>
        </w:rPr>
        <w:t xml:space="preserve"> </w:t>
      </w:r>
      <w:r w:rsidRPr="007A27A5">
        <w:rPr>
          <w:rFonts w:ascii="Times New Roman" w:eastAsia="Arial MT" w:hAnsi="Times New Roman" w:cs="Times New Roman"/>
          <w:b/>
          <w:sz w:val="24"/>
          <w:szCs w:val="24"/>
        </w:rPr>
        <w:t>M</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E N</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 xml:space="preserve">T </w:t>
      </w:r>
      <w:r w:rsidRPr="007A27A5">
        <w:rPr>
          <w:rFonts w:ascii="Times New Roman" w:eastAsia="Arial MT" w:hAnsi="Times New Roman" w:cs="Times New Roman"/>
          <w:b/>
          <w:spacing w:val="-10"/>
          <w:sz w:val="24"/>
          <w:szCs w:val="24"/>
        </w:rPr>
        <w:t>E</w:t>
      </w:r>
    </w:p>
    <w:tbl>
      <w:tblPr>
        <w:tblStyle w:val="Tablaconcuadrcu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5E7C21" w:rsidRPr="007A27A5" w:rsidTr="005E7C21">
        <w:trPr>
          <w:jc w:val="center"/>
        </w:trPr>
        <w:tc>
          <w:tcPr>
            <w:tcW w:w="4750" w:type="dxa"/>
          </w:tcPr>
          <w:p w:rsidR="005E7C21" w:rsidRPr="007A27A5" w:rsidRDefault="005E7C21" w:rsidP="005E7C21">
            <w:pPr>
              <w:spacing w:line="240" w:lineRule="auto"/>
              <w:jc w:val="center"/>
              <w:rPr>
                <w:rFonts w:ascii="Times New Roman" w:eastAsia="Arial MT" w:hAnsi="Times New Roman" w:cs="Times New Roman"/>
                <w:b/>
                <w:sz w:val="24"/>
                <w:szCs w:val="24"/>
                <w:lang w:val="es-MX"/>
              </w:rPr>
            </w:pPr>
            <w:r w:rsidRPr="007A27A5">
              <w:rPr>
                <w:rFonts w:ascii="Times New Roman" w:eastAsia="Arial MT" w:hAnsi="Times New Roman" w:cs="Times New Roman"/>
                <w:b/>
                <w:sz w:val="24"/>
                <w:szCs w:val="24"/>
                <w:lang w:val="es-MX"/>
              </w:rPr>
              <w:t>DIP.</w:t>
            </w:r>
            <w:r w:rsidRPr="007A27A5">
              <w:rPr>
                <w:rFonts w:ascii="Times New Roman" w:eastAsia="Arial MT" w:hAnsi="Times New Roman" w:cs="Times New Roman"/>
                <w:b/>
                <w:spacing w:val="-10"/>
                <w:sz w:val="24"/>
                <w:szCs w:val="24"/>
                <w:lang w:val="es-MX"/>
              </w:rPr>
              <w:t xml:space="preserve"> </w:t>
            </w:r>
            <w:r w:rsidRPr="007A27A5">
              <w:rPr>
                <w:rFonts w:ascii="Times New Roman" w:eastAsia="Arial MT" w:hAnsi="Times New Roman" w:cs="Times New Roman"/>
                <w:b/>
                <w:sz w:val="24"/>
                <w:szCs w:val="24"/>
                <w:lang w:val="es-MX"/>
              </w:rPr>
              <w:t>RUTH</w:t>
            </w:r>
            <w:r w:rsidRPr="007A27A5">
              <w:rPr>
                <w:rFonts w:ascii="Times New Roman" w:eastAsia="Arial MT" w:hAnsi="Times New Roman" w:cs="Times New Roman"/>
                <w:b/>
                <w:spacing w:val="-11"/>
                <w:sz w:val="24"/>
                <w:szCs w:val="24"/>
                <w:lang w:val="es-MX"/>
              </w:rPr>
              <w:t xml:space="preserve"> </w:t>
            </w:r>
            <w:r w:rsidRPr="007A27A5">
              <w:rPr>
                <w:rFonts w:ascii="Times New Roman" w:eastAsia="Arial MT" w:hAnsi="Times New Roman" w:cs="Times New Roman"/>
                <w:b/>
                <w:sz w:val="24"/>
                <w:szCs w:val="24"/>
                <w:lang w:val="es-MX"/>
              </w:rPr>
              <w:t>SALINAS</w:t>
            </w:r>
            <w:r w:rsidRPr="007A27A5">
              <w:rPr>
                <w:rFonts w:ascii="Times New Roman" w:eastAsia="Arial MT" w:hAnsi="Times New Roman" w:cs="Times New Roman"/>
                <w:b/>
                <w:spacing w:val="-10"/>
                <w:sz w:val="24"/>
                <w:szCs w:val="24"/>
                <w:lang w:val="es-MX"/>
              </w:rPr>
              <w:t xml:space="preserve"> </w:t>
            </w:r>
            <w:r w:rsidRPr="007A27A5">
              <w:rPr>
                <w:rFonts w:ascii="Times New Roman" w:eastAsia="Arial MT" w:hAnsi="Times New Roman" w:cs="Times New Roman"/>
                <w:b/>
                <w:spacing w:val="-4"/>
                <w:sz w:val="24"/>
                <w:szCs w:val="24"/>
                <w:lang w:val="es-MX"/>
              </w:rPr>
              <w:t>REYES</w:t>
            </w:r>
          </w:p>
        </w:tc>
        <w:tc>
          <w:tcPr>
            <w:tcW w:w="4750" w:type="dxa"/>
          </w:tcPr>
          <w:p w:rsidR="005E7C21" w:rsidRPr="007A27A5" w:rsidRDefault="005E7C21" w:rsidP="005E7C21">
            <w:pPr>
              <w:spacing w:line="240" w:lineRule="auto"/>
              <w:jc w:val="center"/>
              <w:rPr>
                <w:rFonts w:ascii="Times New Roman" w:eastAsia="Arial MT" w:hAnsi="Times New Roman" w:cs="Times New Roman"/>
                <w:b/>
                <w:sz w:val="24"/>
                <w:szCs w:val="24"/>
                <w:lang w:val="es-MX"/>
              </w:rPr>
            </w:pPr>
            <w:r w:rsidRPr="007A27A5">
              <w:rPr>
                <w:rFonts w:ascii="Times New Roman" w:eastAsia="Arial MT" w:hAnsi="Times New Roman" w:cs="Times New Roman"/>
                <w:b/>
                <w:sz w:val="24"/>
                <w:szCs w:val="24"/>
                <w:lang w:val="es-MX"/>
              </w:rPr>
              <w:t>DIP.</w:t>
            </w:r>
            <w:r w:rsidRPr="007A27A5">
              <w:rPr>
                <w:rFonts w:ascii="Times New Roman" w:eastAsia="Arial MT" w:hAnsi="Times New Roman" w:cs="Times New Roman"/>
                <w:b/>
                <w:spacing w:val="-16"/>
                <w:sz w:val="24"/>
                <w:szCs w:val="24"/>
                <w:lang w:val="es-MX"/>
              </w:rPr>
              <w:t xml:space="preserve"> </w:t>
            </w:r>
            <w:r w:rsidRPr="007A27A5">
              <w:rPr>
                <w:rFonts w:ascii="Times New Roman" w:eastAsia="Arial MT" w:hAnsi="Times New Roman" w:cs="Times New Roman"/>
                <w:b/>
                <w:sz w:val="24"/>
                <w:szCs w:val="24"/>
                <w:lang w:val="es-MX"/>
              </w:rPr>
              <w:t>MARICELA</w:t>
            </w:r>
            <w:r w:rsidRPr="007A27A5">
              <w:rPr>
                <w:rFonts w:ascii="Times New Roman" w:eastAsia="Arial MT" w:hAnsi="Times New Roman" w:cs="Times New Roman"/>
                <w:b/>
                <w:spacing w:val="-15"/>
                <w:sz w:val="24"/>
                <w:szCs w:val="24"/>
                <w:lang w:val="es-MX"/>
              </w:rPr>
              <w:t xml:space="preserve"> </w:t>
            </w:r>
            <w:r w:rsidRPr="007A27A5">
              <w:rPr>
                <w:rFonts w:ascii="Times New Roman" w:eastAsia="Arial MT" w:hAnsi="Times New Roman" w:cs="Times New Roman"/>
                <w:b/>
                <w:sz w:val="24"/>
                <w:szCs w:val="24"/>
                <w:lang w:val="es-MX"/>
              </w:rPr>
              <w:t>BELTRÁN</w:t>
            </w:r>
            <w:r w:rsidRPr="007A27A5">
              <w:rPr>
                <w:rFonts w:ascii="Times New Roman" w:eastAsia="Arial MT" w:hAnsi="Times New Roman" w:cs="Times New Roman"/>
                <w:b/>
                <w:spacing w:val="-11"/>
                <w:sz w:val="24"/>
                <w:szCs w:val="24"/>
                <w:lang w:val="es-MX"/>
              </w:rPr>
              <w:t xml:space="preserve"> </w:t>
            </w:r>
            <w:r w:rsidRPr="007A27A5">
              <w:rPr>
                <w:rFonts w:ascii="Times New Roman" w:eastAsia="Arial MT" w:hAnsi="Times New Roman" w:cs="Times New Roman"/>
                <w:b/>
                <w:spacing w:val="-2"/>
                <w:sz w:val="24"/>
                <w:szCs w:val="24"/>
                <w:lang w:val="es-MX"/>
              </w:rPr>
              <w:t>SÁNCHEZ</w:t>
            </w:r>
          </w:p>
        </w:tc>
      </w:tr>
      <w:tr w:rsidR="005E7C21" w:rsidRPr="007A27A5" w:rsidTr="005E7C21">
        <w:trPr>
          <w:jc w:val="center"/>
        </w:trPr>
        <w:tc>
          <w:tcPr>
            <w:tcW w:w="4750" w:type="dxa"/>
          </w:tcPr>
          <w:p w:rsidR="005E7C21" w:rsidRPr="007A27A5" w:rsidRDefault="005E7C21" w:rsidP="005E7C21">
            <w:pPr>
              <w:spacing w:line="240" w:lineRule="auto"/>
              <w:jc w:val="center"/>
              <w:rPr>
                <w:rFonts w:ascii="Times New Roman" w:eastAsia="Arial MT" w:hAnsi="Times New Roman" w:cs="Times New Roman"/>
                <w:b/>
                <w:sz w:val="24"/>
                <w:szCs w:val="24"/>
                <w:lang w:val="es-MX"/>
              </w:rPr>
            </w:pPr>
            <w:r w:rsidRPr="007A27A5">
              <w:rPr>
                <w:rFonts w:ascii="Times New Roman" w:eastAsia="Arial MT" w:hAnsi="Times New Roman" w:cs="Times New Roman"/>
                <w:b/>
                <w:sz w:val="24"/>
                <w:szCs w:val="24"/>
                <w:lang w:val="es-MX"/>
              </w:rPr>
              <w:t>DIP.</w:t>
            </w:r>
            <w:r w:rsidRPr="007A27A5">
              <w:rPr>
                <w:rFonts w:ascii="Times New Roman" w:eastAsia="Arial MT" w:hAnsi="Times New Roman" w:cs="Times New Roman"/>
                <w:b/>
                <w:spacing w:val="-13"/>
                <w:sz w:val="24"/>
                <w:szCs w:val="24"/>
                <w:lang w:val="es-MX"/>
              </w:rPr>
              <w:t xml:space="preserve"> </w:t>
            </w:r>
            <w:r w:rsidRPr="007A27A5">
              <w:rPr>
                <w:rFonts w:ascii="Times New Roman" w:eastAsia="Arial MT" w:hAnsi="Times New Roman" w:cs="Times New Roman"/>
                <w:b/>
                <w:sz w:val="24"/>
                <w:szCs w:val="24"/>
                <w:lang w:val="es-MX"/>
              </w:rPr>
              <w:t>MARTÍN</w:t>
            </w:r>
            <w:r w:rsidRPr="007A27A5">
              <w:rPr>
                <w:rFonts w:ascii="Times New Roman" w:eastAsia="Arial MT" w:hAnsi="Times New Roman" w:cs="Times New Roman"/>
                <w:b/>
                <w:spacing w:val="-13"/>
                <w:sz w:val="24"/>
                <w:szCs w:val="24"/>
                <w:lang w:val="es-MX"/>
              </w:rPr>
              <w:t xml:space="preserve"> </w:t>
            </w:r>
            <w:r w:rsidRPr="007A27A5">
              <w:rPr>
                <w:rFonts w:ascii="Times New Roman" w:eastAsia="Arial MT" w:hAnsi="Times New Roman" w:cs="Times New Roman"/>
                <w:b/>
                <w:sz w:val="24"/>
                <w:szCs w:val="24"/>
                <w:lang w:val="es-MX"/>
              </w:rPr>
              <w:t>ZEPEDA</w:t>
            </w:r>
            <w:r w:rsidRPr="007A27A5">
              <w:rPr>
                <w:rFonts w:ascii="Times New Roman" w:eastAsia="Arial MT" w:hAnsi="Times New Roman" w:cs="Times New Roman"/>
                <w:b/>
                <w:spacing w:val="-14"/>
                <w:sz w:val="24"/>
                <w:szCs w:val="24"/>
                <w:lang w:val="es-MX"/>
              </w:rPr>
              <w:t xml:space="preserve"> </w:t>
            </w:r>
            <w:r w:rsidRPr="007A27A5">
              <w:rPr>
                <w:rFonts w:ascii="Times New Roman" w:eastAsia="Arial MT" w:hAnsi="Times New Roman" w:cs="Times New Roman"/>
                <w:b/>
                <w:spacing w:val="-2"/>
                <w:sz w:val="24"/>
                <w:szCs w:val="24"/>
                <w:lang w:val="es-MX"/>
              </w:rPr>
              <w:t>HERNÁNDEZ</w:t>
            </w:r>
          </w:p>
        </w:tc>
        <w:tc>
          <w:tcPr>
            <w:tcW w:w="4750" w:type="dxa"/>
          </w:tcPr>
          <w:p w:rsidR="005E7C21" w:rsidRPr="007A27A5" w:rsidRDefault="005E7C21" w:rsidP="005E7C21">
            <w:pPr>
              <w:spacing w:line="240" w:lineRule="auto"/>
              <w:jc w:val="center"/>
              <w:rPr>
                <w:rFonts w:ascii="Times New Roman" w:eastAsia="Arial MT" w:hAnsi="Times New Roman" w:cs="Times New Roman"/>
                <w:b/>
                <w:sz w:val="24"/>
                <w:szCs w:val="24"/>
                <w:lang w:val="es-MX"/>
              </w:rPr>
            </w:pPr>
            <w:r w:rsidRPr="007A27A5">
              <w:rPr>
                <w:rFonts w:ascii="Times New Roman" w:eastAsia="Arial MT" w:hAnsi="Times New Roman" w:cs="Times New Roman"/>
                <w:b/>
                <w:sz w:val="24"/>
                <w:szCs w:val="24"/>
                <w:lang w:val="es-MX"/>
              </w:rPr>
              <w:t>DIP.</w:t>
            </w:r>
            <w:r w:rsidRPr="007A27A5">
              <w:rPr>
                <w:rFonts w:ascii="Times New Roman" w:eastAsia="Arial MT" w:hAnsi="Times New Roman" w:cs="Times New Roman"/>
                <w:b/>
                <w:spacing w:val="-18"/>
                <w:sz w:val="24"/>
                <w:szCs w:val="24"/>
                <w:lang w:val="es-MX"/>
              </w:rPr>
              <w:t xml:space="preserve"> </w:t>
            </w:r>
            <w:r w:rsidRPr="007A27A5">
              <w:rPr>
                <w:rFonts w:ascii="Times New Roman" w:eastAsia="Arial MT" w:hAnsi="Times New Roman" w:cs="Times New Roman"/>
                <w:b/>
                <w:sz w:val="24"/>
                <w:szCs w:val="24"/>
                <w:lang w:val="es-MX"/>
              </w:rPr>
              <w:t>JUAN</w:t>
            </w:r>
            <w:r w:rsidRPr="007A27A5">
              <w:rPr>
                <w:rFonts w:ascii="Times New Roman" w:eastAsia="Arial MT" w:hAnsi="Times New Roman" w:cs="Times New Roman"/>
                <w:b/>
                <w:spacing w:val="-15"/>
                <w:sz w:val="24"/>
                <w:szCs w:val="24"/>
                <w:lang w:val="es-MX"/>
              </w:rPr>
              <w:t xml:space="preserve"> </w:t>
            </w:r>
            <w:r w:rsidRPr="007A27A5">
              <w:rPr>
                <w:rFonts w:ascii="Times New Roman" w:eastAsia="Arial MT" w:hAnsi="Times New Roman" w:cs="Times New Roman"/>
                <w:b/>
                <w:sz w:val="24"/>
                <w:szCs w:val="24"/>
                <w:lang w:val="es-MX"/>
              </w:rPr>
              <w:t>MANUEL</w:t>
            </w:r>
            <w:r w:rsidRPr="007A27A5">
              <w:rPr>
                <w:rFonts w:ascii="Times New Roman" w:eastAsia="Arial MT" w:hAnsi="Times New Roman" w:cs="Times New Roman"/>
                <w:b/>
                <w:spacing w:val="-14"/>
                <w:sz w:val="24"/>
                <w:szCs w:val="24"/>
                <w:lang w:val="es-MX"/>
              </w:rPr>
              <w:t xml:space="preserve"> </w:t>
            </w:r>
            <w:r w:rsidRPr="007A27A5">
              <w:rPr>
                <w:rFonts w:ascii="Times New Roman" w:eastAsia="Arial MT" w:hAnsi="Times New Roman" w:cs="Times New Roman"/>
                <w:b/>
                <w:sz w:val="24"/>
                <w:szCs w:val="24"/>
                <w:lang w:val="es-MX"/>
              </w:rPr>
              <w:t>ZEPEDA</w:t>
            </w:r>
            <w:r w:rsidRPr="007A27A5">
              <w:rPr>
                <w:rFonts w:ascii="Times New Roman" w:eastAsia="Arial MT" w:hAnsi="Times New Roman" w:cs="Times New Roman"/>
                <w:b/>
                <w:spacing w:val="-15"/>
                <w:sz w:val="24"/>
                <w:szCs w:val="24"/>
                <w:lang w:val="es-MX"/>
              </w:rPr>
              <w:t xml:space="preserve"> </w:t>
            </w:r>
            <w:r w:rsidRPr="007A27A5">
              <w:rPr>
                <w:rFonts w:ascii="Times New Roman" w:eastAsia="Arial MT" w:hAnsi="Times New Roman" w:cs="Times New Roman"/>
                <w:b/>
                <w:spacing w:val="-2"/>
                <w:sz w:val="24"/>
                <w:szCs w:val="24"/>
                <w:lang w:val="es-MX"/>
              </w:rPr>
              <w:t>HERNÁNDEZ</w:t>
            </w:r>
          </w:p>
        </w:tc>
      </w:tr>
    </w:tbl>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Integrantes</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del</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Grupo</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Parlamentario</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Movimiento</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Ciudadano</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la</w:t>
      </w:r>
      <w:r w:rsidRPr="007A27A5">
        <w:rPr>
          <w:rFonts w:ascii="Times New Roman" w:eastAsia="Arial MT" w:hAnsi="Times New Roman" w:cs="Times New Roman"/>
          <w:b/>
          <w:spacing w:val="-7"/>
          <w:sz w:val="24"/>
          <w:szCs w:val="24"/>
        </w:rPr>
        <w:t xml:space="preserve"> </w:t>
      </w:r>
      <w:r w:rsidRPr="007A27A5">
        <w:rPr>
          <w:rFonts w:ascii="Times New Roman" w:eastAsia="Arial MT" w:hAnsi="Times New Roman" w:cs="Times New Roman"/>
          <w:b/>
          <w:sz w:val="24"/>
          <w:szCs w:val="24"/>
        </w:rPr>
        <w:t>LXII Legislatura del Estado de México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7A27A5" w:rsidRDefault="005E7C21" w:rsidP="005E7C21">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PROYECTO</w:t>
      </w:r>
      <w:r w:rsidRPr="007A27A5">
        <w:rPr>
          <w:rFonts w:ascii="Times New Roman" w:eastAsia="Arial MT" w:hAnsi="Times New Roman" w:cs="Times New Roman"/>
          <w:b/>
          <w:spacing w:val="-4"/>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b/>
          <w:spacing w:val="-2"/>
          <w:sz w:val="24"/>
          <w:szCs w:val="24"/>
        </w:rPr>
        <w:t>DECRETO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DECRETO</w:t>
      </w:r>
      <w:r w:rsidRPr="007A27A5">
        <w:rPr>
          <w:rFonts w:ascii="Times New Roman" w:eastAsia="Arial MT" w:hAnsi="Times New Roman" w:cs="Times New Roman"/>
          <w:b/>
          <w:spacing w:val="-8"/>
          <w:sz w:val="24"/>
          <w:szCs w:val="24"/>
        </w:rPr>
        <w:t xml:space="preserve"> </w:t>
      </w:r>
      <w:r w:rsidRPr="007A27A5">
        <w:rPr>
          <w:rFonts w:ascii="Times New Roman" w:eastAsia="Arial MT" w:hAnsi="Times New Roman" w:cs="Times New Roman"/>
          <w:b/>
          <w:spacing w:val="-2"/>
          <w:sz w:val="24"/>
          <w:szCs w:val="24"/>
        </w:rPr>
        <w:t>NÚMERO: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LA</w:t>
      </w:r>
      <w:r w:rsidRPr="007A27A5">
        <w:rPr>
          <w:rFonts w:ascii="Times New Roman" w:eastAsia="Arial MT" w:hAnsi="Times New Roman" w:cs="Times New Roman"/>
          <w:b/>
          <w:spacing w:val="-7"/>
          <w:sz w:val="24"/>
          <w:szCs w:val="24"/>
        </w:rPr>
        <w:t xml:space="preserve"> </w:t>
      </w:r>
      <w:r w:rsidRPr="007A27A5">
        <w:rPr>
          <w:rFonts w:ascii="Times New Roman" w:eastAsia="Arial MT" w:hAnsi="Times New Roman" w:cs="Times New Roman"/>
          <w:b/>
          <w:sz w:val="24"/>
          <w:szCs w:val="24"/>
        </w:rPr>
        <w:t>“LXVI” LEGISLATURA</w:t>
      </w:r>
      <w:r w:rsidRPr="007A27A5">
        <w:rPr>
          <w:rFonts w:ascii="Times New Roman" w:eastAsia="Arial MT" w:hAnsi="Times New Roman" w:cs="Times New Roman"/>
          <w:b/>
          <w:spacing w:val="-6"/>
          <w:sz w:val="24"/>
          <w:szCs w:val="24"/>
        </w:rPr>
        <w:t xml:space="preserve"> </w:t>
      </w:r>
      <w:r w:rsidRPr="007A27A5">
        <w:rPr>
          <w:rFonts w:ascii="Times New Roman" w:eastAsia="Arial MT" w:hAnsi="Times New Roman" w:cs="Times New Roman"/>
          <w:b/>
          <w:sz w:val="24"/>
          <w:szCs w:val="24"/>
        </w:rPr>
        <w:t xml:space="preserve">DE </w:t>
      </w:r>
      <w:r w:rsidRPr="007A27A5">
        <w:rPr>
          <w:rFonts w:ascii="Times New Roman" w:eastAsia="Arial MT" w:hAnsi="Times New Roman" w:cs="Times New Roman"/>
          <w:b/>
          <w:spacing w:val="-5"/>
          <w:sz w:val="24"/>
          <w:szCs w:val="24"/>
        </w:rPr>
        <w:t xml:space="preserve">LA </w:t>
      </w:r>
      <w:r w:rsidRPr="007A27A5">
        <w:rPr>
          <w:rFonts w:ascii="Times New Roman" w:eastAsia="Arial MT" w:hAnsi="Times New Roman" w:cs="Times New Roman"/>
          <w:b/>
          <w:sz w:val="24"/>
          <w:szCs w:val="24"/>
        </w:rPr>
        <w:t>CÁMARA</w:t>
      </w:r>
      <w:r w:rsidRPr="007A27A5">
        <w:rPr>
          <w:rFonts w:ascii="Times New Roman" w:eastAsia="Arial MT" w:hAnsi="Times New Roman" w:cs="Times New Roman"/>
          <w:b/>
          <w:spacing w:val="-12"/>
          <w:sz w:val="24"/>
          <w:szCs w:val="24"/>
        </w:rPr>
        <w:t xml:space="preserve"> </w:t>
      </w:r>
      <w:r w:rsidRPr="007A27A5">
        <w:rPr>
          <w:rFonts w:ascii="Times New Roman" w:eastAsia="Arial MT" w:hAnsi="Times New Roman" w:cs="Times New Roman"/>
          <w:b/>
          <w:sz w:val="24"/>
          <w:szCs w:val="24"/>
        </w:rPr>
        <w:t>DE</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DIPUTADOS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DEL</w:t>
      </w:r>
      <w:r w:rsidRPr="007A27A5">
        <w:rPr>
          <w:rFonts w:ascii="Times New Roman" w:eastAsia="Arial MT" w:hAnsi="Times New Roman" w:cs="Times New Roman"/>
          <w:b/>
          <w:spacing w:val="-10"/>
          <w:sz w:val="24"/>
          <w:szCs w:val="24"/>
        </w:rPr>
        <w:t xml:space="preserve"> </w:t>
      </w:r>
      <w:r w:rsidRPr="007A27A5">
        <w:rPr>
          <w:rFonts w:ascii="Times New Roman" w:eastAsia="Arial MT" w:hAnsi="Times New Roman" w:cs="Times New Roman"/>
          <w:b/>
          <w:sz w:val="24"/>
          <w:szCs w:val="24"/>
        </w:rPr>
        <w:t>HONORABLE CONGRESO DE LA UNIÓN</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pacing w:val="-2"/>
          <w:sz w:val="24"/>
          <w:szCs w:val="24"/>
        </w:rPr>
        <w:t>DECRETA:</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ÚNICO. </w:t>
      </w:r>
      <w:r w:rsidRPr="007A27A5">
        <w:rPr>
          <w:rFonts w:ascii="Times New Roman" w:eastAsia="Arial MT" w:hAnsi="Times New Roman" w:cs="Times New Roman"/>
          <w:sz w:val="24"/>
          <w:szCs w:val="24"/>
        </w:rPr>
        <w:t>Se adiciona un párrafo al artículo 53 de la Ley Reglamentaria del</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artículo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5</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Constitucional</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Relativo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al</w:t>
      </w:r>
      <w:r w:rsidRPr="007A27A5">
        <w:rPr>
          <w:rFonts w:ascii="Times New Roman" w:eastAsia="Arial MT" w:hAnsi="Times New Roman" w:cs="Times New Roman"/>
          <w:spacing w:val="-8"/>
          <w:sz w:val="24"/>
          <w:szCs w:val="24"/>
        </w:rPr>
        <w:t xml:space="preserve"> </w:t>
      </w:r>
      <w:r w:rsidRPr="007A27A5">
        <w:rPr>
          <w:rFonts w:ascii="Times New Roman" w:eastAsia="Arial MT" w:hAnsi="Times New Roman" w:cs="Times New Roman"/>
          <w:sz w:val="24"/>
          <w:szCs w:val="24"/>
        </w:rPr>
        <w:t>Ejercicio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z w:val="24"/>
          <w:szCs w:val="24"/>
        </w:rPr>
        <w:t>las</w:t>
      </w:r>
      <w:r w:rsidRPr="007A27A5">
        <w:rPr>
          <w:rFonts w:ascii="Times New Roman" w:eastAsia="Arial MT" w:hAnsi="Times New Roman" w:cs="Times New Roman"/>
          <w:spacing w:val="-10"/>
          <w:sz w:val="24"/>
          <w:szCs w:val="24"/>
        </w:rPr>
        <w:t xml:space="preserve"> </w:t>
      </w:r>
      <w:r w:rsidRPr="007A27A5">
        <w:rPr>
          <w:rFonts w:ascii="Times New Roman" w:eastAsia="Arial MT" w:hAnsi="Times New Roman" w:cs="Times New Roman"/>
          <w:sz w:val="24"/>
          <w:szCs w:val="24"/>
        </w:rPr>
        <w:t>Profesiones</w:t>
      </w:r>
      <w:r w:rsidRPr="007A27A5">
        <w:rPr>
          <w:rFonts w:ascii="Times New Roman" w:eastAsia="Arial MT" w:hAnsi="Times New Roman" w:cs="Times New Roman"/>
          <w:spacing w:val="-13"/>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Ciudad</w:t>
      </w:r>
      <w:r w:rsidRPr="007A27A5">
        <w:rPr>
          <w:rFonts w:ascii="Times New Roman" w:eastAsia="Arial MT" w:hAnsi="Times New Roman" w:cs="Times New Roman"/>
          <w:spacing w:val="-9"/>
          <w:sz w:val="24"/>
          <w:szCs w:val="24"/>
        </w:rPr>
        <w:t xml:space="preserve"> </w:t>
      </w:r>
      <w:r w:rsidRPr="007A27A5">
        <w:rPr>
          <w:rFonts w:ascii="Times New Roman" w:eastAsia="Arial MT" w:hAnsi="Times New Roman" w:cs="Times New Roman"/>
          <w:sz w:val="24"/>
          <w:szCs w:val="24"/>
        </w:rPr>
        <w:t xml:space="preserve">de México, para quedar como </w:t>
      </w:r>
      <w:r w:rsidRPr="007A27A5">
        <w:rPr>
          <w:rFonts w:ascii="Times New Roman" w:eastAsia="Arial MT" w:hAnsi="Times New Roman" w:cs="Times New Roman"/>
          <w:sz w:val="24"/>
          <w:szCs w:val="24"/>
        </w:rPr>
        <w:lastRenderedPageBreak/>
        <w:t>sigue:</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ARTICULO 53.- Se entiende por servicio social el trabajo de carácter temporal y mediante retribución que ejecuten y presten los profesionistas y estudiantes en interés de la sociedad y el Estado.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El</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servicio</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social</w:t>
      </w:r>
      <w:r w:rsidRPr="007A27A5">
        <w:rPr>
          <w:rFonts w:ascii="Times New Roman" w:eastAsia="Arial MT" w:hAnsi="Times New Roman" w:cs="Times New Roman"/>
          <w:b/>
          <w:spacing w:val="38"/>
          <w:sz w:val="24"/>
          <w:szCs w:val="24"/>
        </w:rPr>
        <w:t xml:space="preserve"> </w:t>
      </w:r>
      <w:r w:rsidRPr="007A27A5">
        <w:rPr>
          <w:rFonts w:ascii="Times New Roman" w:eastAsia="Arial MT" w:hAnsi="Times New Roman" w:cs="Times New Roman"/>
          <w:b/>
          <w:sz w:val="24"/>
          <w:szCs w:val="24"/>
        </w:rPr>
        <w:t>se</w:t>
      </w:r>
      <w:r w:rsidRPr="007A27A5">
        <w:rPr>
          <w:rFonts w:ascii="Times New Roman" w:eastAsia="Arial MT" w:hAnsi="Times New Roman" w:cs="Times New Roman"/>
          <w:b/>
          <w:spacing w:val="39"/>
          <w:sz w:val="24"/>
          <w:szCs w:val="24"/>
        </w:rPr>
        <w:t xml:space="preserve"> </w:t>
      </w:r>
      <w:r w:rsidRPr="007A27A5">
        <w:rPr>
          <w:rFonts w:ascii="Times New Roman" w:eastAsia="Arial MT" w:hAnsi="Times New Roman" w:cs="Times New Roman"/>
          <w:b/>
          <w:sz w:val="24"/>
          <w:szCs w:val="24"/>
        </w:rPr>
        <w:t>computará</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como</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horas</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laborales</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y</w:t>
      </w:r>
      <w:r w:rsidRPr="007A27A5">
        <w:rPr>
          <w:rFonts w:ascii="Times New Roman" w:eastAsia="Arial MT" w:hAnsi="Times New Roman" w:cs="Times New Roman"/>
          <w:b/>
          <w:spacing w:val="34"/>
          <w:sz w:val="24"/>
          <w:szCs w:val="24"/>
        </w:rPr>
        <w:t xml:space="preserve"> </w:t>
      </w:r>
      <w:r w:rsidRPr="007A27A5">
        <w:rPr>
          <w:rFonts w:ascii="Times New Roman" w:eastAsia="Arial MT" w:hAnsi="Times New Roman" w:cs="Times New Roman"/>
          <w:b/>
          <w:sz w:val="24"/>
          <w:szCs w:val="24"/>
        </w:rPr>
        <w:t>será</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válido</w:t>
      </w:r>
      <w:r w:rsidRPr="007A27A5">
        <w:rPr>
          <w:rFonts w:ascii="Times New Roman" w:eastAsia="Arial MT" w:hAnsi="Times New Roman" w:cs="Times New Roman"/>
          <w:b/>
          <w:spacing w:val="40"/>
          <w:sz w:val="24"/>
          <w:szCs w:val="24"/>
        </w:rPr>
        <w:t xml:space="preserve"> </w:t>
      </w:r>
      <w:r w:rsidRPr="007A27A5">
        <w:rPr>
          <w:rFonts w:ascii="Times New Roman" w:eastAsia="Arial MT" w:hAnsi="Times New Roman" w:cs="Times New Roman"/>
          <w:b/>
          <w:sz w:val="24"/>
          <w:szCs w:val="24"/>
        </w:rPr>
        <w:t>como experiencia profesional.</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7A27A5" w:rsidRDefault="005E7C21" w:rsidP="005E7C21">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T</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R</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A</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N</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S I</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T</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O R I O</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pacing w:val="-10"/>
          <w:sz w:val="24"/>
          <w:szCs w:val="24"/>
        </w:rPr>
        <w:t>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pacing w:val="-2"/>
          <w:sz w:val="24"/>
          <w:szCs w:val="24"/>
        </w:rPr>
      </w:pPr>
      <w:r w:rsidRPr="007A27A5">
        <w:rPr>
          <w:rFonts w:ascii="Times New Roman" w:eastAsia="Arial MT" w:hAnsi="Times New Roman" w:cs="Times New Roman"/>
          <w:b/>
          <w:sz w:val="24"/>
          <w:szCs w:val="24"/>
        </w:rPr>
        <w:t xml:space="preserve">ARTÍCULO PRIMERO. </w:t>
      </w:r>
      <w:r w:rsidRPr="007A27A5">
        <w:rPr>
          <w:rFonts w:ascii="Times New Roman" w:eastAsia="Arial MT" w:hAnsi="Times New Roman" w:cs="Times New Roman"/>
          <w:sz w:val="24"/>
          <w:szCs w:val="24"/>
        </w:rPr>
        <w:t xml:space="preserve">Publíquese el presente Decreto en el Diario Oficial de la </w:t>
      </w:r>
      <w:r w:rsidRPr="007A27A5">
        <w:rPr>
          <w:rFonts w:ascii="Times New Roman" w:eastAsia="Arial MT" w:hAnsi="Times New Roman" w:cs="Times New Roman"/>
          <w:spacing w:val="-2"/>
          <w:sz w:val="24"/>
          <w:szCs w:val="24"/>
        </w:rPr>
        <w:t>Federación.</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ARTÍCULO</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SEGUNDO.</w:t>
      </w:r>
      <w:r w:rsidRPr="007A27A5">
        <w:rPr>
          <w:rFonts w:ascii="Times New Roman" w:eastAsia="Arial MT" w:hAnsi="Times New Roman" w:cs="Times New Roman"/>
          <w:b/>
          <w:spacing w:val="-3"/>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presente</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Decreto</w:t>
      </w:r>
      <w:r w:rsidRPr="007A27A5">
        <w:rPr>
          <w:rFonts w:ascii="Times New Roman" w:eastAsia="Arial MT" w:hAnsi="Times New Roman" w:cs="Times New Roman"/>
          <w:spacing w:val="-7"/>
          <w:sz w:val="24"/>
          <w:szCs w:val="24"/>
        </w:rPr>
        <w:t xml:space="preserve"> </w:t>
      </w:r>
      <w:r w:rsidRPr="007A27A5">
        <w:rPr>
          <w:rFonts w:ascii="Times New Roman" w:eastAsia="Arial MT" w:hAnsi="Times New Roman" w:cs="Times New Roman"/>
          <w:sz w:val="24"/>
          <w:szCs w:val="24"/>
        </w:rPr>
        <w:t>entrará</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vigor</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6"/>
          <w:sz w:val="24"/>
          <w:szCs w:val="24"/>
        </w:rPr>
        <w:t xml:space="preserve"> </w:t>
      </w:r>
      <w:r w:rsidRPr="007A27A5">
        <w:rPr>
          <w:rFonts w:ascii="Times New Roman" w:eastAsia="Arial MT" w:hAnsi="Times New Roman" w:cs="Times New Roman"/>
          <w:sz w:val="24"/>
          <w:szCs w:val="24"/>
        </w:rPr>
        <w:t>día</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siguiente</w:t>
      </w:r>
      <w:r w:rsidRPr="007A27A5">
        <w:rPr>
          <w:rFonts w:ascii="Times New Roman" w:eastAsia="Arial MT" w:hAnsi="Times New Roman" w:cs="Times New Roman"/>
          <w:spacing w:val="-4"/>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5"/>
          <w:sz w:val="24"/>
          <w:szCs w:val="24"/>
        </w:rPr>
        <w:t xml:space="preserve"> </w:t>
      </w:r>
      <w:r w:rsidRPr="007A27A5">
        <w:rPr>
          <w:rFonts w:ascii="Times New Roman" w:eastAsia="Arial MT" w:hAnsi="Times New Roman" w:cs="Times New Roman"/>
          <w:sz w:val="24"/>
          <w:szCs w:val="24"/>
        </w:rPr>
        <w:t>su publicación en el Diario Oficial de la Federación.</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 xml:space="preserve">Lo tendrá entendido la Gobernadora del Estado, haciendo que se publique y se </w:t>
      </w:r>
      <w:r w:rsidRPr="007A27A5">
        <w:rPr>
          <w:rFonts w:ascii="Times New Roman" w:eastAsia="Arial MT" w:hAnsi="Times New Roman" w:cs="Times New Roman"/>
          <w:spacing w:val="-2"/>
          <w:sz w:val="24"/>
          <w:szCs w:val="24"/>
        </w:rPr>
        <w:t>cumpla.</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sz w:val="24"/>
          <w:szCs w:val="24"/>
        </w:rPr>
        <w:t>Dado</w:t>
      </w:r>
      <w:r w:rsidRPr="007A27A5">
        <w:rPr>
          <w:rFonts w:ascii="Times New Roman" w:eastAsia="Arial MT" w:hAnsi="Times New Roman" w:cs="Times New Roman"/>
          <w:spacing w:val="45"/>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46"/>
          <w:sz w:val="24"/>
          <w:szCs w:val="24"/>
        </w:rPr>
        <w:t xml:space="preserve"> </w:t>
      </w:r>
      <w:r w:rsidRPr="007A27A5">
        <w:rPr>
          <w:rFonts w:ascii="Times New Roman" w:eastAsia="Arial MT" w:hAnsi="Times New Roman" w:cs="Times New Roman"/>
          <w:sz w:val="24"/>
          <w:szCs w:val="24"/>
        </w:rPr>
        <w:t>el</w:t>
      </w:r>
      <w:r w:rsidRPr="007A27A5">
        <w:rPr>
          <w:rFonts w:ascii="Times New Roman" w:eastAsia="Arial MT" w:hAnsi="Times New Roman" w:cs="Times New Roman"/>
          <w:spacing w:val="45"/>
          <w:sz w:val="24"/>
          <w:szCs w:val="24"/>
        </w:rPr>
        <w:t xml:space="preserve"> </w:t>
      </w:r>
      <w:r w:rsidRPr="007A27A5">
        <w:rPr>
          <w:rFonts w:ascii="Times New Roman" w:eastAsia="Arial MT" w:hAnsi="Times New Roman" w:cs="Times New Roman"/>
          <w:sz w:val="24"/>
          <w:szCs w:val="24"/>
        </w:rPr>
        <w:t>Palacio</w:t>
      </w:r>
      <w:r w:rsidRPr="007A27A5">
        <w:rPr>
          <w:rFonts w:ascii="Times New Roman" w:eastAsia="Arial MT" w:hAnsi="Times New Roman" w:cs="Times New Roman"/>
          <w:spacing w:val="46"/>
          <w:sz w:val="24"/>
          <w:szCs w:val="24"/>
        </w:rPr>
        <w:t xml:space="preserve"> </w:t>
      </w:r>
      <w:r w:rsidRPr="007A27A5">
        <w:rPr>
          <w:rFonts w:ascii="Times New Roman" w:eastAsia="Arial MT" w:hAnsi="Times New Roman" w:cs="Times New Roman"/>
          <w:sz w:val="24"/>
          <w:szCs w:val="24"/>
        </w:rPr>
        <w:t>Legislativo</w:t>
      </w:r>
      <w:r w:rsidRPr="007A27A5">
        <w:rPr>
          <w:rFonts w:ascii="Times New Roman" w:eastAsia="Arial MT" w:hAnsi="Times New Roman" w:cs="Times New Roman"/>
          <w:spacing w:val="47"/>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46"/>
          <w:sz w:val="24"/>
          <w:szCs w:val="24"/>
        </w:rPr>
        <w:t xml:space="preserve"> </w:t>
      </w:r>
      <w:r w:rsidRPr="007A27A5">
        <w:rPr>
          <w:rFonts w:ascii="Times New Roman" w:eastAsia="Arial MT" w:hAnsi="Times New Roman" w:cs="Times New Roman"/>
          <w:sz w:val="24"/>
          <w:szCs w:val="24"/>
        </w:rPr>
        <w:t>San</w:t>
      </w:r>
      <w:r w:rsidRPr="007A27A5">
        <w:rPr>
          <w:rFonts w:ascii="Times New Roman" w:eastAsia="Arial MT" w:hAnsi="Times New Roman" w:cs="Times New Roman"/>
          <w:spacing w:val="46"/>
          <w:sz w:val="24"/>
          <w:szCs w:val="24"/>
        </w:rPr>
        <w:t xml:space="preserve"> </w:t>
      </w:r>
      <w:r w:rsidRPr="007A27A5">
        <w:rPr>
          <w:rFonts w:ascii="Times New Roman" w:eastAsia="Arial MT" w:hAnsi="Times New Roman" w:cs="Times New Roman"/>
          <w:sz w:val="24"/>
          <w:szCs w:val="24"/>
        </w:rPr>
        <w:t>Lázaro,</w:t>
      </w:r>
      <w:r w:rsidRPr="007A27A5">
        <w:rPr>
          <w:rFonts w:ascii="Times New Roman" w:eastAsia="Arial MT" w:hAnsi="Times New Roman" w:cs="Times New Roman"/>
          <w:spacing w:val="47"/>
          <w:sz w:val="24"/>
          <w:szCs w:val="24"/>
        </w:rPr>
        <w:t xml:space="preserve"> </w:t>
      </w:r>
      <w:r w:rsidRPr="007A27A5">
        <w:rPr>
          <w:rFonts w:ascii="Times New Roman" w:eastAsia="Arial MT" w:hAnsi="Times New Roman" w:cs="Times New Roman"/>
          <w:sz w:val="24"/>
          <w:szCs w:val="24"/>
        </w:rPr>
        <w:t>en</w:t>
      </w:r>
      <w:r w:rsidRPr="007A27A5">
        <w:rPr>
          <w:rFonts w:ascii="Times New Roman" w:eastAsia="Arial MT" w:hAnsi="Times New Roman" w:cs="Times New Roman"/>
          <w:spacing w:val="46"/>
          <w:sz w:val="24"/>
          <w:szCs w:val="24"/>
        </w:rPr>
        <w:t xml:space="preserve"> </w:t>
      </w:r>
      <w:r w:rsidRPr="007A27A5">
        <w:rPr>
          <w:rFonts w:ascii="Times New Roman" w:eastAsia="Arial MT" w:hAnsi="Times New Roman" w:cs="Times New Roman"/>
          <w:sz w:val="24"/>
          <w:szCs w:val="24"/>
        </w:rPr>
        <w:t>la</w:t>
      </w:r>
      <w:r w:rsidRPr="007A27A5">
        <w:rPr>
          <w:rFonts w:ascii="Times New Roman" w:eastAsia="Arial MT" w:hAnsi="Times New Roman" w:cs="Times New Roman"/>
          <w:spacing w:val="47"/>
          <w:sz w:val="24"/>
          <w:szCs w:val="24"/>
        </w:rPr>
        <w:t xml:space="preserve"> </w:t>
      </w:r>
      <w:r w:rsidRPr="007A27A5">
        <w:rPr>
          <w:rFonts w:ascii="Times New Roman" w:eastAsia="Arial MT" w:hAnsi="Times New Roman" w:cs="Times New Roman"/>
          <w:sz w:val="24"/>
          <w:szCs w:val="24"/>
        </w:rPr>
        <w:t>Ciudad</w:t>
      </w:r>
      <w:r w:rsidRPr="007A27A5">
        <w:rPr>
          <w:rFonts w:ascii="Times New Roman" w:eastAsia="Arial MT" w:hAnsi="Times New Roman" w:cs="Times New Roman"/>
          <w:spacing w:val="46"/>
          <w:sz w:val="24"/>
          <w:szCs w:val="24"/>
        </w:rPr>
        <w:t xml:space="preserve"> </w:t>
      </w:r>
      <w:r w:rsidRPr="007A27A5">
        <w:rPr>
          <w:rFonts w:ascii="Times New Roman" w:eastAsia="Arial MT" w:hAnsi="Times New Roman" w:cs="Times New Roman"/>
          <w:sz w:val="24"/>
          <w:szCs w:val="24"/>
        </w:rPr>
        <w:t>de</w:t>
      </w:r>
      <w:r w:rsidRPr="007A27A5">
        <w:rPr>
          <w:rFonts w:ascii="Times New Roman" w:eastAsia="Arial MT" w:hAnsi="Times New Roman" w:cs="Times New Roman"/>
          <w:spacing w:val="44"/>
          <w:sz w:val="24"/>
          <w:szCs w:val="24"/>
        </w:rPr>
        <w:t xml:space="preserve"> </w:t>
      </w:r>
      <w:r w:rsidRPr="007A27A5">
        <w:rPr>
          <w:rFonts w:ascii="Times New Roman" w:eastAsia="Arial MT" w:hAnsi="Times New Roman" w:cs="Times New Roman"/>
          <w:sz w:val="24"/>
          <w:szCs w:val="24"/>
        </w:rPr>
        <w:t>México,</w:t>
      </w:r>
      <w:r w:rsidRPr="007A27A5">
        <w:rPr>
          <w:rFonts w:ascii="Times New Roman" w:eastAsia="Arial MT" w:hAnsi="Times New Roman" w:cs="Times New Roman"/>
          <w:spacing w:val="47"/>
          <w:sz w:val="24"/>
          <w:szCs w:val="24"/>
        </w:rPr>
        <w:t xml:space="preserve"> </w:t>
      </w:r>
      <w:r w:rsidRPr="007A27A5">
        <w:rPr>
          <w:rFonts w:ascii="Times New Roman" w:eastAsia="Arial MT" w:hAnsi="Times New Roman" w:cs="Times New Roman"/>
          <w:sz w:val="24"/>
          <w:szCs w:val="24"/>
        </w:rPr>
        <w:t>a</w:t>
      </w:r>
      <w:r w:rsidRPr="007A27A5">
        <w:rPr>
          <w:rFonts w:ascii="Times New Roman" w:eastAsia="Arial MT" w:hAnsi="Times New Roman" w:cs="Times New Roman"/>
          <w:spacing w:val="46"/>
          <w:sz w:val="24"/>
          <w:szCs w:val="24"/>
        </w:rPr>
        <w:t xml:space="preserve"> </w:t>
      </w:r>
      <w:r w:rsidRPr="007A27A5">
        <w:rPr>
          <w:rFonts w:ascii="Times New Roman" w:eastAsia="Arial MT" w:hAnsi="Times New Roman" w:cs="Times New Roman"/>
          <w:spacing w:val="-5"/>
          <w:sz w:val="24"/>
          <w:szCs w:val="24"/>
        </w:rPr>
        <w:t xml:space="preserve">los </w:t>
      </w:r>
      <w:r w:rsidRPr="007A27A5">
        <w:rPr>
          <w:rFonts w:ascii="Times New Roman" w:eastAsia="Arial MT" w:hAnsi="Times New Roman" w:cs="Times New Roman"/>
          <w:sz w:val="24"/>
          <w:szCs w:val="24"/>
          <w:u w:val="single"/>
        </w:rPr>
        <w:tab/>
        <w:t xml:space="preserve"> </w:t>
      </w:r>
      <w:r w:rsidRPr="007A27A5">
        <w:rPr>
          <w:rFonts w:ascii="Times New Roman" w:eastAsia="Arial MT" w:hAnsi="Times New Roman" w:cs="Times New Roman"/>
          <w:sz w:val="24"/>
          <w:szCs w:val="24"/>
        </w:rPr>
        <w:t xml:space="preserve">días del mes de </w:t>
      </w:r>
      <w:r w:rsidRPr="007A27A5">
        <w:rPr>
          <w:rFonts w:ascii="Times New Roman" w:eastAsia="Arial MT" w:hAnsi="Times New Roman" w:cs="Times New Roman"/>
          <w:sz w:val="24"/>
          <w:szCs w:val="24"/>
          <w:u w:val="single"/>
        </w:rPr>
        <w:tab/>
        <w:t xml:space="preserve"> </w:t>
      </w:r>
      <w:r w:rsidRPr="007A27A5">
        <w:rPr>
          <w:rFonts w:ascii="Times New Roman" w:eastAsia="Arial MT" w:hAnsi="Times New Roman" w:cs="Times New Roman"/>
          <w:sz w:val="24"/>
          <w:szCs w:val="24"/>
        </w:rPr>
        <w:t>del</w:t>
      </w:r>
      <w:r w:rsidRPr="007A27A5">
        <w:rPr>
          <w:rFonts w:ascii="Times New Roman" w:eastAsia="Arial MT" w:hAnsi="Times New Roman" w:cs="Times New Roman"/>
          <w:spacing w:val="-3"/>
          <w:sz w:val="24"/>
          <w:szCs w:val="24"/>
        </w:rPr>
        <w:t xml:space="preserve"> </w:t>
      </w:r>
      <w:r w:rsidRPr="007A27A5">
        <w:rPr>
          <w:rFonts w:ascii="Times New Roman" w:eastAsia="Arial MT" w:hAnsi="Times New Roman" w:cs="Times New Roman"/>
          <w:sz w:val="24"/>
          <w:szCs w:val="24"/>
        </w:rPr>
        <w:t>año dos</w:t>
      </w:r>
      <w:r w:rsidRPr="007A27A5">
        <w:rPr>
          <w:rFonts w:ascii="Times New Roman" w:eastAsia="Arial MT" w:hAnsi="Times New Roman" w:cs="Times New Roman"/>
          <w:spacing w:val="-1"/>
          <w:sz w:val="24"/>
          <w:szCs w:val="24"/>
        </w:rPr>
        <w:t xml:space="preserve"> </w:t>
      </w:r>
      <w:r w:rsidRPr="007A27A5">
        <w:rPr>
          <w:rFonts w:ascii="Times New Roman" w:eastAsia="Arial MT" w:hAnsi="Times New Roman" w:cs="Times New Roman"/>
          <w:sz w:val="24"/>
          <w:szCs w:val="24"/>
        </w:rPr>
        <w:t>mil</w:t>
      </w:r>
      <w:r w:rsidRPr="007A27A5">
        <w:rPr>
          <w:rFonts w:ascii="Times New Roman" w:eastAsia="Arial MT" w:hAnsi="Times New Roman" w:cs="Times New Roman"/>
          <w:spacing w:val="2"/>
          <w:sz w:val="24"/>
          <w:szCs w:val="24"/>
        </w:rPr>
        <w:t xml:space="preserve"> </w:t>
      </w:r>
      <w:r w:rsidRPr="007A27A5">
        <w:rPr>
          <w:rFonts w:ascii="Times New Roman" w:eastAsia="Arial MT" w:hAnsi="Times New Roman" w:cs="Times New Roman"/>
          <w:spacing w:val="-2"/>
          <w:sz w:val="24"/>
          <w:szCs w:val="24"/>
        </w:rPr>
        <w:t>veinticinco.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7A27A5" w:rsidRDefault="005E7C21" w:rsidP="005E7C21">
      <w:pPr>
        <w:widowControl w:val="0"/>
        <w:autoSpaceDE w:val="0"/>
        <w:autoSpaceDN w:val="0"/>
        <w:spacing w:after="0" w:line="240" w:lineRule="auto"/>
        <w:jc w:val="center"/>
        <w:rPr>
          <w:rFonts w:ascii="Times New Roman" w:eastAsia="Arial MT" w:hAnsi="Times New Roman" w:cs="Times New Roman"/>
          <w:b/>
          <w:sz w:val="24"/>
          <w:szCs w:val="24"/>
        </w:rPr>
      </w:pPr>
      <w:r w:rsidRPr="007A27A5">
        <w:rPr>
          <w:rFonts w:ascii="Times New Roman" w:eastAsia="Arial MT" w:hAnsi="Times New Roman" w:cs="Times New Roman"/>
          <w:b/>
          <w:sz w:val="24"/>
          <w:szCs w:val="24"/>
        </w:rPr>
        <w:t>T</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R</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A</w:t>
      </w:r>
      <w:r w:rsidRPr="007A27A5">
        <w:rPr>
          <w:rFonts w:ascii="Times New Roman" w:eastAsia="Arial MT" w:hAnsi="Times New Roman" w:cs="Times New Roman"/>
          <w:b/>
          <w:spacing w:val="-5"/>
          <w:sz w:val="24"/>
          <w:szCs w:val="24"/>
        </w:rPr>
        <w:t xml:space="preserve"> </w:t>
      </w:r>
      <w:r w:rsidRPr="007A27A5">
        <w:rPr>
          <w:rFonts w:ascii="Times New Roman" w:eastAsia="Arial MT" w:hAnsi="Times New Roman" w:cs="Times New Roman"/>
          <w:b/>
          <w:sz w:val="24"/>
          <w:szCs w:val="24"/>
        </w:rPr>
        <w:t>N</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S I</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T</w:t>
      </w:r>
      <w:r w:rsidRPr="007A27A5">
        <w:rPr>
          <w:rFonts w:ascii="Times New Roman" w:eastAsia="Arial MT" w:hAnsi="Times New Roman" w:cs="Times New Roman"/>
          <w:b/>
          <w:spacing w:val="-1"/>
          <w:sz w:val="24"/>
          <w:szCs w:val="24"/>
        </w:rPr>
        <w:t xml:space="preserve"> </w:t>
      </w:r>
      <w:r w:rsidRPr="007A27A5">
        <w:rPr>
          <w:rFonts w:ascii="Times New Roman" w:eastAsia="Arial MT" w:hAnsi="Times New Roman" w:cs="Times New Roman"/>
          <w:b/>
          <w:sz w:val="24"/>
          <w:szCs w:val="24"/>
        </w:rPr>
        <w:t>O R I O</w:t>
      </w:r>
      <w:r w:rsidRPr="007A27A5">
        <w:rPr>
          <w:rFonts w:ascii="Times New Roman" w:eastAsia="Arial MT" w:hAnsi="Times New Roman" w:cs="Times New Roman"/>
          <w:b/>
          <w:spacing w:val="-2"/>
          <w:sz w:val="24"/>
          <w:szCs w:val="24"/>
        </w:rPr>
        <w:t xml:space="preserve"> </w:t>
      </w:r>
      <w:r w:rsidRPr="007A27A5">
        <w:rPr>
          <w:rFonts w:ascii="Times New Roman" w:eastAsia="Arial MT" w:hAnsi="Times New Roman" w:cs="Times New Roman"/>
          <w:b/>
          <w:spacing w:val="-10"/>
          <w:sz w:val="24"/>
          <w:szCs w:val="24"/>
        </w:rPr>
        <w:t>S</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ARTÍCULO PRIMERO</w:t>
      </w:r>
      <w:r w:rsidRPr="007A27A5">
        <w:rPr>
          <w:rFonts w:ascii="Times New Roman" w:eastAsia="Arial MT" w:hAnsi="Times New Roman" w:cs="Times New Roman"/>
          <w:sz w:val="24"/>
          <w:szCs w:val="24"/>
        </w:rPr>
        <w:t>. Publíquese la presente Iniciativa al Congreso de la Unión en el Periódico Oficial “Gaceta del Gobierno”.</w:t>
      </w:r>
    </w:p>
    <w:p w:rsidR="005E7C21" w:rsidRPr="007A27A5" w:rsidRDefault="005E7C21" w:rsidP="005E7C21">
      <w:pPr>
        <w:widowControl w:val="0"/>
        <w:autoSpaceDE w:val="0"/>
        <w:autoSpaceDN w:val="0"/>
        <w:spacing w:after="0" w:line="240" w:lineRule="auto"/>
        <w:jc w:val="both"/>
        <w:rPr>
          <w:rFonts w:ascii="Times New Roman" w:eastAsia="Arial MT" w:hAnsi="Times New Roman" w:cs="Times New Roman"/>
          <w:b/>
          <w:sz w:val="24"/>
          <w:szCs w:val="24"/>
        </w:rPr>
      </w:pPr>
    </w:p>
    <w:p w:rsidR="005E7C21" w:rsidRPr="0095594B"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7A27A5">
        <w:rPr>
          <w:rFonts w:ascii="Times New Roman" w:eastAsia="Arial MT" w:hAnsi="Times New Roman" w:cs="Times New Roman"/>
          <w:b/>
          <w:sz w:val="24"/>
          <w:szCs w:val="24"/>
        </w:rPr>
        <w:t xml:space="preserve">ARTÍCULO </w:t>
      </w:r>
      <w:r w:rsidRPr="0095594B">
        <w:rPr>
          <w:rFonts w:ascii="Times New Roman" w:eastAsia="Arial MT" w:hAnsi="Times New Roman" w:cs="Times New Roman"/>
          <w:b/>
          <w:sz w:val="24"/>
          <w:szCs w:val="24"/>
        </w:rPr>
        <w:t>SEGUNDO</w:t>
      </w:r>
      <w:r w:rsidRPr="0095594B">
        <w:rPr>
          <w:rFonts w:ascii="Times New Roman" w:eastAsia="Arial MT" w:hAnsi="Times New Roman" w:cs="Times New Roman"/>
          <w:sz w:val="24"/>
          <w:szCs w:val="24"/>
        </w:rPr>
        <w:t>. Remítase la</w:t>
      </w:r>
      <w:r w:rsidRPr="0095594B">
        <w:rPr>
          <w:rFonts w:ascii="Times New Roman" w:eastAsia="Arial MT" w:hAnsi="Times New Roman" w:cs="Times New Roman"/>
          <w:spacing w:val="-1"/>
          <w:sz w:val="24"/>
          <w:szCs w:val="24"/>
        </w:rPr>
        <w:t xml:space="preserve"> </w:t>
      </w:r>
      <w:r w:rsidRPr="0095594B">
        <w:rPr>
          <w:rFonts w:ascii="Times New Roman" w:eastAsia="Arial MT" w:hAnsi="Times New Roman" w:cs="Times New Roman"/>
          <w:sz w:val="24"/>
          <w:szCs w:val="24"/>
        </w:rPr>
        <w:t>presente Iniciativa al Congreso de la Unión</w:t>
      </w:r>
      <w:r w:rsidRPr="0095594B">
        <w:rPr>
          <w:rFonts w:ascii="Times New Roman" w:eastAsia="Arial MT" w:hAnsi="Times New Roman" w:cs="Times New Roman"/>
          <w:spacing w:val="-1"/>
          <w:sz w:val="24"/>
          <w:szCs w:val="24"/>
        </w:rPr>
        <w:t xml:space="preserve"> </w:t>
      </w:r>
      <w:r w:rsidRPr="0095594B">
        <w:rPr>
          <w:rFonts w:ascii="Times New Roman" w:eastAsia="Arial MT" w:hAnsi="Times New Roman" w:cs="Times New Roman"/>
          <w:sz w:val="24"/>
          <w:szCs w:val="24"/>
        </w:rPr>
        <w:t>a la Cámara de Diputados de dicho Congreso.</w:t>
      </w:r>
    </w:p>
    <w:p w:rsidR="005E7C21" w:rsidRPr="0095594B"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p>
    <w:p w:rsidR="005E7C21" w:rsidRPr="0095594B" w:rsidRDefault="005E7C21" w:rsidP="005E7C21">
      <w:pPr>
        <w:widowControl w:val="0"/>
        <w:autoSpaceDE w:val="0"/>
        <w:autoSpaceDN w:val="0"/>
        <w:spacing w:after="0" w:line="240" w:lineRule="auto"/>
        <w:jc w:val="both"/>
        <w:rPr>
          <w:rFonts w:ascii="Times New Roman" w:eastAsia="Arial MT" w:hAnsi="Times New Roman" w:cs="Times New Roman"/>
          <w:sz w:val="24"/>
          <w:szCs w:val="24"/>
        </w:rPr>
      </w:pPr>
      <w:r w:rsidRPr="0095594B">
        <w:rPr>
          <w:rFonts w:ascii="Times New Roman" w:eastAsia="Arial MT" w:hAnsi="Times New Roman" w:cs="Times New Roman"/>
          <w:sz w:val="24"/>
          <w:szCs w:val="24"/>
        </w:rPr>
        <w:t>Dado</w:t>
      </w:r>
      <w:r w:rsidRPr="0095594B">
        <w:rPr>
          <w:rFonts w:ascii="Times New Roman" w:eastAsia="Arial MT" w:hAnsi="Times New Roman" w:cs="Times New Roman"/>
          <w:spacing w:val="-3"/>
          <w:sz w:val="24"/>
          <w:szCs w:val="24"/>
        </w:rPr>
        <w:t xml:space="preserve"> </w:t>
      </w:r>
      <w:r w:rsidRPr="0095594B">
        <w:rPr>
          <w:rFonts w:ascii="Times New Roman" w:eastAsia="Arial MT" w:hAnsi="Times New Roman" w:cs="Times New Roman"/>
          <w:sz w:val="24"/>
          <w:szCs w:val="24"/>
        </w:rPr>
        <w:t>en</w:t>
      </w:r>
      <w:r w:rsidRPr="0095594B">
        <w:rPr>
          <w:rFonts w:ascii="Times New Roman" w:eastAsia="Arial MT" w:hAnsi="Times New Roman" w:cs="Times New Roman"/>
          <w:spacing w:val="-3"/>
          <w:sz w:val="24"/>
          <w:szCs w:val="24"/>
        </w:rPr>
        <w:t xml:space="preserve"> </w:t>
      </w:r>
      <w:r w:rsidRPr="0095594B">
        <w:rPr>
          <w:rFonts w:ascii="Times New Roman" w:eastAsia="Arial MT" w:hAnsi="Times New Roman" w:cs="Times New Roman"/>
          <w:sz w:val="24"/>
          <w:szCs w:val="24"/>
        </w:rPr>
        <w:t>el</w:t>
      </w:r>
      <w:r w:rsidRPr="0095594B">
        <w:rPr>
          <w:rFonts w:ascii="Times New Roman" w:eastAsia="Arial MT" w:hAnsi="Times New Roman" w:cs="Times New Roman"/>
          <w:spacing w:val="-1"/>
          <w:sz w:val="24"/>
          <w:szCs w:val="24"/>
        </w:rPr>
        <w:t xml:space="preserve"> </w:t>
      </w:r>
      <w:r w:rsidRPr="0095594B">
        <w:rPr>
          <w:rFonts w:ascii="Times New Roman" w:eastAsia="Arial MT" w:hAnsi="Times New Roman" w:cs="Times New Roman"/>
          <w:sz w:val="24"/>
          <w:szCs w:val="24"/>
        </w:rPr>
        <w:t>Palacio del Poder</w:t>
      </w:r>
      <w:r w:rsidRPr="0095594B">
        <w:rPr>
          <w:rFonts w:ascii="Times New Roman" w:eastAsia="Arial MT" w:hAnsi="Times New Roman" w:cs="Times New Roman"/>
          <w:spacing w:val="-1"/>
          <w:sz w:val="24"/>
          <w:szCs w:val="24"/>
        </w:rPr>
        <w:t xml:space="preserve"> </w:t>
      </w:r>
      <w:r w:rsidRPr="0095594B">
        <w:rPr>
          <w:rFonts w:ascii="Times New Roman" w:eastAsia="Arial MT" w:hAnsi="Times New Roman" w:cs="Times New Roman"/>
          <w:sz w:val="24"/>
          <w:szCs w:val="24"/>
        </w:rPr>
        <w:t>Legislativo, en</w:t>
      </w:r>
      <w:r w:rsidRPr="0095594B">
        <w:rPr>
          <w:rFonts w:ascii="Times New Roman" w:eastAsia="Arial MT" w:hAnsi="Times New Roman" w:cs="Times New Roman"/>
          <w:spacing w:val="-1"/>
          <w:sz w:val="24"/>
          <w:szCs w:val="24"/>
        </w:rPr>
        <w:t xml:space="preserve"> </w:t>
      </w:r>
      <w:r w:rsidRPr="0095594B">
        <w:rPr>
          <w:rFonts w:ascii="Times New Roman" w:eastAsia="Arial MT" w:hAnsi="Times New Roman" w:cs="Times New Roman"/>
          <w:sz w:val="24"/>
          <w:szCs w:val="24"/>
        </w:rPr>
        <w:t>la Ciudad de</w:t>
      </w:r>
      <w:r w:rsidRPr="0095594B">
        <w:rPr>
          <w:rFonts w:ascii="Times New Roman" w:eastAsia="Arial MT" w:hAnsi="Times New Roman" w:cs="Times New Roman"/>
          <w:spacing w:val="-2"/>
          <w:sz w:val="24"/>
          <w:szCs w:val="24"/>
        </w:rPr>
        <w:t xml:space="preserve"> </w:t>
      </w:r>
      <w:r w:rsidRPr="0095594B">
        <w:rPr>
          <w:rFonts w:ascii="Times New Roman" w:eastAsia="Arial MT" w:hAnsi="Times New Roman" w:cs="Times New Roman"/>
          <w:sz w:val="24"/>
          <w:szCs w:val="24"/>
        </w:rPr>
        <w:t>Toluca de</w:t>
      </w:r>
      <w:r w:rsidRPr="0095594B">
        <w:rPr>
          <w:rFonts w:ascii="Times New Roman" w:eastAsia="Arial MT" w:hAnsi="Times New Roman" w:cs="Times New Roman"/>
          <w:spacing w:val="-1"/>
          <w:sz w:val="24"/>
          <w:szCs w:val="24"/>
        </w:rPr>
        <w:t xml:space="preserve"> </w:t>
      </w:r>
      <w:r w:rsidRPr="0095594B">
        <w:rPr>
          <w:rFonts w:ascii="Times New Roman" w:eastAsia="Arial MT" w:hAnsi="Times New Roman" w:cs="Times New Roman"/>
          <w:sz w:val="24"/>
          <w:szCs w:val="24"/>
        </w:rPr>
        <w:t xml:space="preserve">Lerdo, Capital del Estado de México, a los </w:t>
      </w:r>
      <w:r w:rsidRPr="0095594B">
        <w:rPr>
          <w:rFonts w:ascii="Times New Roman" w:eastAsia="Arial MT" w:hAnsi="Times New Roman" w:cs="Times New Roman"/>
          <w:sz w:val="24"/>
          <w:szCs w:val="24"/>
          <w:u w:val="single"/>
        </w:rPr>
        <w:tab/>
      </w:r>
      <w:r w:rsidR="004861B9" w:rsidRPr="0095594B">
        <w:rPr>
          <w:rFonts w:ascii="Times New Roman" w:eastAsia="Arial MT" w:hAnsi="Times New Roman" w:cs="Times New Roman"/>
          <w:sz w:val="24"/>
          <w:szCs w:val="24"/>
          <w:u w:val="single"/>
        </w:rPr>
        <w:tab/>
        <w:t xml:space="preserve"> </w:t>
      </w:r>
      <w:r w:rsidRPr="0095594B">
        <w:rPr>
          <w:rFonts w:ascii="Times New Roman" w:eastAsia="Arial MT" w:hAnsi="Times New Roman" w:cs="Times New Roman"/>
          <w:sz w:val="24"/>
          <w:szCs w:val="24"/>
        </w:rPr>
        <w:t xml:space="preserve">días del mes de </w:t>
      </w:r>
      <w:r w:rsidRPr="0095594B">
        <w:rPr>
          <w:rFonts w:ascii="Times New Roman" w:eastAsia="Arial MT" w:hAnsi="Times New Roman" w:cs="Times New Roman"/>
          <w:sz w:val="24"/>
          <w:szCs w:val="24"/>
          <w:u w:val="single"/>
        </w:rPr>
        <w:tab/>
      </w:r>
      <w:r w:rsidR="004861B9" w:rsidRPr="0095594B">
        <w:rPr>
          <w:rFonts w:ascii="Times New Roman" w:eastAsia="Arial MT" w:hAnsi="Times New Roman" w:cs="Times New Roman"/>
          <w:sz w:val="24"/>
          <w:szCs w:val="24"/>
          <w:u w:val="single"/>
        </w:rPr>
        <w:tab/>
        <w:t xml:space="preserve"> </w:t>
      </w:r>
      <w:r w:rsidRPr="0095594B">
        <w:rPr>
          <w:rFonts w:ascii="Times New Roman" w:eastAsia="Arial MT" w:hAnsi="Times New Roman" w:cs="Times New Roman"/>
          <w:sz w:val="24"/>
          <w:szCs w:val="24"/>
        </w:rPr>
        <w:t>del</w:t>
      </w:r>
      <w:r w:rsidRPr="0095594B">
        <w:rPr>
          <w:rFonts w:ascii="Times New Roman" w:eastAsia="Arial MT" w:hAnsi="Times New Roman" w:cs="Times New Roman"/>
          <w:spacing w:val="-15"/>
          <w:sz w:val="24"/>
          <w:szCs w:val="24"/>
        </w:rPr>
        <w:t xml:space="preserve"> </w:t>
      </w:r>
      <w:r w:rsidRPr="0095594B">
        <w:rPr>
          <w:rFonts w:ascii="Times New Roman" w:eastAsia="Arial MT" w:hAnsi="Times New Roman" w:cs="Times New Roman"/>
          <w:sz w:val="24"/>
          <w:szCs w:val="24"/>
        </w:rPr>
        <w:t>año</w:t>
      </w:r>
      <w:r w:rsidRPr="0095594B">
        <w:rPr>
          <w:rFonts w:ascii="Times New Roman" w:eastAsia="Arial MT" w:hAnsi="Times New Roman" w:cs="Times New Roman"/>
          <w:spacing w:val="-13"/>
          <w:sz w:val="24"/>
          <w:szCs w:val="24"/>
        </w:rPr>
        <w:t xml:space="preserve"> </w:t>
      </w:r>
      <w:r w:rsidRPr="0095594B">
        <w:rPr>
          <w:rFonts w:ascii="Times New Roman" w:eastAsia="Arial MT" w:hAnsi="Times New Roman" w:cs="Times New Roman"/>
          <w:sz w:val="24"/>
          <w:szCs w:val="24"/>
        </w:rPr>
        <w:t>dos</w:t>
      </w:r>
      <w:r w:rsidRPr="0095594B">
        <w:rPr>
          <w:rFonts w:ascii="Times New Roman" w:eastAsia="Arial MT" w:hAnsi="Times New Roman" w:cs="Times New Roman"/>
          <w:spacing w:val="-14"/>
          <w:sz w:val="24"/>
          <w:szCs w:val="24"/>
        </w:rPr>
        <w:t xml:space="preserve"> </w:t>
      </w:r>
      <w:r w:rsidRPr="0095594B">
        <w:rPr>
          <w:rFonts w:ascii="Times New Roman" w:eastAsia="Arial MT" w:hAnsi="Times New Roman" w:cs="Times New Roman"/>
          <w:sz w:val="24"/>
          <w:szCs w:val="24"/>
        </w:rPr>
        <w:t xml:space="preserve">mil </w:t>
      </w:r>
      <w:r w:rsidRPr="0095594B">
        <w:rPr>
          <w:rFonts w:ascii="Times New Roman" w:eastAsia="Arial MT" w:hAnsi="Times New Roman" w:cs="Times New Roman"/>
          <w:spacing w:val="-2"/>
          <w:sz w:val="24"/>
          <w:szCs w:val="24"/>
        </w:rPr>
        <w:t>veinticinco.</w:t>
      </w:r>
    </w:p>
    <w:p w:rsidR="005E7C21" w:rsidRPr="0095594B" w:rsidRDefault="005E7C21" w:rsidP="005E7C21">
      <w:pPr>
        <w:spacing w:after="0" w:line="240" w:lineRule="auto"/>
        <w:jc w:val="center"/>
        <w:rPr>
          <w:rFonts w:ascii="Times New Roman" w:hAnsi="Times New Roman"/>
          <w:sz w:val="24"/>
          <w:szCs w:val="24"/>
        </w:rPr>
      </w:pPr>
    </w:p>
    <w:p w:rsidR="005E7C21" w:rsidRPr="0095594B" w:rsidRDefault="005E7C21" w:rsidP="005E7C21">
      <w:pPr>
        <w:spacing w:after="0" w:line="240" w:lineRule="auto"/>
        <w:jc w:val="center"/>
        <w:rPr>
          <w:rFonts w:ascii="Times New Roman" w:hAnsi="Times New Roman"/>
          <w:i/>
          <w:sz w:val="24"/>
          <w:szCs w:val="24"/>
        </w:rPr>
      </w:pPr>
      <w:r w:rsidRPr="0095594B">
        <w:rPr>
          <w:rFonts w:ascii="Times New Roman" w:hAnsi="Times New Roman"/>
          <w:i/>
          <w:sz w:val="24"/>
          <w:szCs w:val="24"/>
        </w:rPr>
        <w:t>(Fin del documento)</w:t>
      </w:r>
    </w:p>
    <w:p w:rsidR="005E7C21" w:rsidRPr="0095594B" w:rsidRDefault="005E7C21" w:rsidP="005E7C21">
      <w:pPr>
        <w:spacing w:after="0" w:line="240" w:lineRule="auto"/>
        <w:jc w:val="center"/>
        <w:rPr>
          <w:rFonts w:ascii="Times New Roman" w:hAnsi="Times New Roman"/>
          <w:sz w:val="24"/>
          <w:szCs w:val="24"/>
        </w:rPr>
      </w:pPr>
    </w:p>
    <w:p w:rsidR="000C639D" w:rsidRPr="0095594B" w:rsidRDefault="000C639D" w:rsidP="000C639D">
      <w:pPr>
        <w:pStyle w:val="Sinespaciado"/>
      </w:pPr>
      <w:r w:rsidRPr="0095594B">
        <w:rPr>
          <w:kern w:val="2"/>
          <w:lang w:eastAsia="es-MX"/>
        </w:rPr>
        <w:t xml:space="preserve">PRESIDENTA DIP. MARTHA AZUCENA CAMACHO REYNOSO. </w:t>
      </w:r>
      <w:r w:rsidRPr="0095594B">
        <w:t>Gracias diputada Maricela Beltrán Sánchez.</w:t>
      </w:r>
    </w:p>
    <w:p w:rsidR="000C639D" w:rsidRPr="0095594B" w:rsidRDefault="000C639D" w:rsidP="000C639D">
      <w:pPr>
        <w:pStyle w:val="Sinespaciado"/>
        <w:ind w:firstLine="708"/>
      </w:pPr>
      <w:r w:rsidRPr="0095594B">
        <w:t>Se registra la iniciativa y se remite a la Comisión Legislativa de Gobernación y Puntos Constitucionales, para su estudio y dictamen.</w:t>
      </w:r>
    </w:p>
    <w:p w:rsidR="000C639D" w:rsidRPr="0095594B" w:rsidRDefault="000C639D" w:rsidP="000C639D">
      <w:pPr>
        <w:pStyle w:val="Sinespaciado"/>
        <w:ind w:firstLine="708"/>
      </w:pPr>
      <w:r w:rsidRPr="0095594B">
        <w:t>En cuanto al punto 21 y a petición de la promovente, se omite su lectura de la Iniciativa con Proyecto de Decreto por la que se reforma la Ley de la Juventud del Estado de México en materia de garantizar el 5% de la plantilla laboral para jóvenes, presentada por las y los integrantes del Grupo Parlamentario del Partido Movimiento Ciudadano.</w:t>
      </w:r>
    </w:p>
    <w:p w:rsidR="007804DD" w:rsidRPr="0095594B" w:rsidRDefault="007804DD" w:rsidP="00E56B7B">
      <w:pPr>
        <w:pStyle w:val="Sinespaciado"/>
      </w:pPr>
    </w:p>
    <w:p w:rsidR="007804DD" w:rsidRPr="0095594B" w:rsidRDefault="007804DD" w:rsidP="00E56B7B">
      <w:pPr>
        <w:spacing w:after="0" w:line="240" w:lineRule="auto"/>
        <w:jc w:val="center"/>
        <w:rPr>
          <w:rFonts w:ascii="Times New Roman" w:hAnsi="Times New Roman"/>
          <w:i/>
          <w:sz w:val="24"/>
          <w:szCs w:val="24"/>
        </w:rPr>
      </w:pPr>
      <w:r w:rsidRPr="0095594B">
        <w:rPr>
          <w:rFonts w:ascii="Times New Roman" w:hAnsi="Times New Roman"/>
          <w:i/>
          <w:sz w:val="24"/>
          <w:szCs w:val="24"/>
        </w:rPr>
        <w:t>(Se inserta documento)</w:t>
      </w:r>
    </w:p>
    <w:p w:rsidR="007804DD" w:rsidRPr="0095594B" w:rsidRDefault="007804DD" w:rsidP="00E56B7B">
      <w:pPr>
        <w:spacing w:after="0" w:line="240" w:lineRule="auto"/>
        <w:jc w:val="center"/>
        <w:rPr>
          <w:rFonts w:ascii="Times New Roman" w:hAnsi="Times New Roman"/>
          <w:sz w:val="24"/>
          <w:szCs w:val="24"/>
        </w:rPr>
      </w:pPr>
    </w:p>
    <w:p w:rsidR="004861B9" w:rsidRPr="0095594B" w:rsidRDefault="004861B9" w:rsidP="004861B9">
      <w:pPr>
        <w:spacing w:after="0" w:line="240" w:lineRule="auto"/>
        <w:jc w:val="right"/>
        <w:rPr>
          <w:rFonts w:ascii="Times New Roman" w:eastAsia="Times New Roman" w:hAnsi="Times New Roman" w:cs="Times New Roman"/>
          <w:b/>
          <w:sz w:val="24"/>
          <w:szCs w:val="24"/>
        </w:rPr>
      </w:pPr>
      <w:r w:rsidRPr="0095594B">
        <w:rPr>
          <w:rFonts w:ascii="Times New Roman" w:eastAsia="Times New Roman" w:hAnsi="Times New Roman" w:cs="Times New Roman"/>
          <w:b/>
          <w:sz w:val="24"/>
          <w:szCs w:val="24"/>
        </w:rPr>
        <w:t>Bancada Naranja</w:t>
      </w:r>
    </w:p>
    <w:p w:rsidR="004861B9" w:rsidRPr="0095594B" w:rsidRDefault="004861B9" w:rsidP="004861B9">
      <w:pPr>
        <w:spacing w:after="0" w:line="240" w:lineRule="auto"/>
        <w:rPr>
          <w:rFonts w:ascii="Times New Roman" w:eastAsia="Times New Roman" w:hAnsi="Times New Roman" w:cs="Times New Roman"/>
          <w:sz w:val="24"/>
          <w:szCs w:val="24"/>
        </w:rPr>
      </w:pPr>
    </w:p>
    <w:p w:rsidR="004861B9" w:rsidRPr="0095594B" w:rsidRDefault="004861B9" w:rsidP="004861B9">
      <w:pPr>
        <w:spacing w:after="0" w:line="240" w:lineRule="auto"/>
        <w:jc w:val="right"/>
        <w:rPr>
          <w:rFonts w:ascii="Times New Roman" w:eastAsia="Arial" w:hAnsi="Times New Roman" w:cs="Times New Roman"/>
          <w:sz w:val="24"/>
          <w:szCs w:val="24"/>
        </w:rPr>
      </w:pPr>
      <w:r w:rsidRPr="0095594B">
        <w:rPr>
          <w:rFonts w:ascii="Times New Roman" w:eastAsia="Arial" w:hAnsi="Times New Roman" w:cs="Times New Roman"/>
          <w:sz w:val="24"/>
          <w:szCs w:val="24"/>
        </w:rPr>
        <w:t>Toluca de Lerdo, Estado de México, 19 de noviembre, 2025.</w:t>
      </w:r>
    </w:p>
    <w:p w:rsidR="004861B9" w:rsidRPr="0095594B" w:rsidRDefault="004861B9" w:rsidP="004861B9">
      <w:pPr>
        <w:spacing w:after="0" w:line="240" w:lineRule="auto"/>
        <w:rPr>
          <w:rFonts w:ascii="Times New Roman" w:eastAsia="Times New Roman" w:hAnsi="Times New Roman" w:cs="Times New Roman"/>
          <w:sz w:val="24"/>
          <w:szCs w:val="24"/>
        </w:rPr>
      </w:pPr>
    </w:p>
    <w:p w:rsidR="004861B9" w:rsidRPr="0095594B" w:rsidRDefault="004861B9" w:rsidP="004861B9">
      <w:pPr>
        <w:spacing w:after="0" w:line="240" w:lineRule="auto"/>
        <w:rPr>
          <w:rFonts w:ascii="Times New Roman" w:eastAsia="Arial" w:hAnsi="Times New Roman" w:cs="Times New Roman"/>
          <w:sz w:val="24"/>
          <w:szCs w:val="24"/>
        </w:rPr>
      </w:pPr>
      <w:r w:rsidRPr="0095594B">
        <w:rPr>
          <w:rFonts w:ascii="Times New Roman" w:eastAsia="Arial" w:hAnsi="Times New Roman" w:cs="Times New Roman"/>
          <w:b/>
          <w:sz w:val="24"/>
          <w:szCs w:val="24"/>
        </w:rPr>
        <w:lastRenderedPageBreak/>
        <w:t>DIPUTADA</w:t>
      </w:r>
    </w:p>
    <w:p w:rsidR="004861B9" w:rsidRPr="007A27A5" w:rsidRDefault="004861B9" w:rsidP="004861B9">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MARTHA AZUCENA CAMACHO REYNOSO</w:t>
      </w:r>
    </w:p>
    <w:p w:rsidR="004861B9" w:rsidRPr="007A27A5" w:rsidRDefault="004861B9" w:rsidP="004861B9">
      <w:pPr>
        <w:spacing w:after="0" w:line="240" w:lineRule="auto"/>
        <w:rPr>
          <w:rFonts w:ascii="Times New Roman" w:eastAsia="Arial" w:hAnsi="Times New Roman" w:cs="Times New Roman"/>
          <w:b/>
          <w:sz w:val="24"/>
          <w:szCs w:val="24"/>
        </w:rPr>
      </w:pPr>
      <w:r w:rsidRPr="007A27A5">
        <w:rPr>
          <w:rFonts w:ascii="Times New Roman" w:eastAsia="Arial" w:hAnsi="Times New Roman" w:cs="Times New Roman"/>
          <w:b/>
          <w:sz w:val="24"/>
          <w:szCs w:val="24"/>
        </w:rPr>
        <w:t>PRESIDENTA DE LA LXII LEGISLATURA</w:t>
      </w:r>
    </w:p>
    <w:p w:rsidR="004861B9" w:rsidRPr="007A27A5" w:rsidRDefault="004861B9" w:rsidP="004861B9">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DEL ESTADO DE MÉXICO</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rPr>
          <w:rFonts w:ascii="Times New Roman" w:eastAsia="Arial" w:hAnsi="Times New Roman" w:cs="Times New Roman"/>
          <w:sz w:val="24"/>
          <w:szCs w:val="24"/>
        </w:rPr>
      </w:pPr>
      <w:r w:rsidRPr="007A27A5">
        <w:rPr>
          <w:rFonts w:ascii="Times New Roman" w:eastAsia="Arial" w:hAnsi="Times New Roman" w:cs="Times New Roman"/>
          <w:b/>
          <w:sz w:val="24"/>
          <w:szCs w:val="24"/>
        </w:rPr>
        <w:t>P R E S E N T E</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w:t>
      </w:r>
      <w:r w:rsidRPr="007A27A5">
        <w:rPr>
          <w:rFonts w:ascii="Times New Roman" w:eastAsia="Calibri" w:hAnsi="Times New Roman" w:cs="Times New Roman"/>
          <w:b/>
          <w:sz w:val="24"/>
          <w:szCs w:val="24"/>
        </w:rPr>
        <w:t xml:space="preserve">Iniciativa con Proyecto de Decreto por la que se adicionan las fracciones X y XI al artículo 9, se adiciona la fracción XXX, XXXI, XXXII recorriendo la subsecuente del artículo 13 y se adiciona el inciso c a la fracción V del Artículo 31 de la Ley de la Juventud del Estado de México en Materia de acceso al Empleo, la Vivienda Digna y a Tarifas Preferenciales en el Transporte Público para  Personas Jóvenes para  quedar  como sigue, </w:t>
      </w:r>
      <w:r w:rsidRPr="007A27A5">
        <w:rPr>
          <w:rFonts w:ascii="Times New Roman" w:eastAsia="Calibri" w:hAnsi="Times New Roman" w:cs="Times New Roman"/>
          <w:sz w:val="24"/>
          <w:szCs w:val="24"/>
        </w:rPr>
        <w:t>de conformidad con  la siguiente:</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u w:val="thick" w:color="000000"/>
        </w:rPr>
        <w:t>Exposición de Motivos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Las personas jóvenes en México afrontan grandes desafíos provocados por la discriminación estructural que es reproducida por el Estado, la sociedad y el sector empresarial, situación que provoca la falta de protección y respeto a sus derechos fundamentales.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Times New Roman" w:hAnsi="Times New Roman" w:cs="Times New Roman"/>
          <w:sz w:val="24"/>
          <w:szCs w:val="24"/>
        </w:rPr>
      </w:pPr>
      <w:r w:rsidRPr="007A27A5">
        <w:rPr>
          <w:rFonts w:ascii="Times New Roman" w:eastAsia="Calibri" w:hAnsi="Times New Roman" w:cs="Times New Roman"/>
          <w:sz w:val="24"/>
          <w:szCs w:val="24"/>
        </w:rPr>
        <w:t>En ocasiones a los jóvenes se les excluye de espacios, oportunidades laborales y educativas por considerarlos como un factor de inestabilidad y alteración al orden social, señalándolos por su falta de experiencia o compromiso para poder desempeñar alguna actividad.</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De acuerdo con un estudio de la organización Acción Ciudadana Frente a la Pobreza, en México hay 16.4 millones de jóvenes en pobreza, exclusión y precariedad de las cuales se desprenden otras categorías; fuera de la escuela y sin trabajo, 5.1 millones; en trabajos precarios por no contar con salarios suficientes ni seguro social, 8.2 millones y estudiantes en pobreza por ingresos, 3.1 millones.</w:t>
      </w:r>
      <w:r w:rsidRPr="007A27A5">
        <w:rPr>
          <w:rFonts w:ascii="Times New Roman" w:eastAsia="Calibri" w:hAnsi="Times New Roman" w:cs="Times New Roman"/>
          <w:color w:val="FF0000"/>
          <w:sz w:val="24"/>
          <w:szCs w:val="24"/>
          <w:vertAlign w:val="superscript"/>
        </w:rPr>
        <w:t>1</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En México, se considera como personas jóvenes a aquellas que se encuentran en el rango de edad comprendido entre 12 y 29 años, esto de acuerdo con el artículo 2 de la Ley del Instituto Mexicano de la Juventud. Según datos del Censo de Población y Vivienda 2020 (INEGI, 2020) se estima que las personas jóvenes en México ascienden a 37.8 millones, cifra que representa el 30% del total de la población a nivel nacional. De ellos, el 49.8% son hombres y el 50.2% son mujeres.</w:t>
      </w:r>
      <w:r w:rsidRPr="007A27A5">
        <w:rPr>
          <w:rFonts w:ascii="Times New Roman" w:eastAsia="Calibri" w:hAnsi="Times New Roman" w:cs="Times New Roman"/>
          <w:color w:val="FF0000"/>
          <w:sz w:val="24"/>
          <w:szCs w:val="24"/>
          <w:vertAlign w:val="superscript"/>
        </w:rPr>
        <w:t>2</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La entidad federativa en donde habita el mayor número de personas jóvenes es el Estado de México, con 5.1 millones, mientras que Colima es el estado que registra menor población joven, con poco más de 214 mil. El Estado de México, al concentrar la mayor cantidad de jóvenes a nivel nacional, está obligado a proporcionar un marco regulatorio e institucional tendiente a mejorar las condiciones estructurales de estos y así promover su crecimiento integral para su correcta incorporación al mercado laboral, oferta educativa y desarrollo social.</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lastRenderedPageBreak/>
        <w:t>La implementación de leyes y políticas públicas encaminadas a favorecer a las juventudes obliga a reconocer previamente que sus necesidades cambian dependiendo su edad y el desarrollo de sus etapas. Como ejemplo, las acciones gubernamentales dirigidas a los de 12 a 17 años deben estar orientadas a garantizar su derecho a la salud sexual, reproductiva, mental, alimenticia y a recibir una educación pública de calidad.</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1</w:t>
      </w:r>
      <w:r w:rsidRPr="007A27A5">
        <w:rPr>
          <w:rFonts w:ascii="Times New Roman" w:eastAsia="Calibri" w:hAnsi="Times New Roman" w:cs="Times New Roman"/>
          <w:sz w:val="20"/>
          <w:szCs w:val="24"/>
        </w:rPr>
        <w:t xml:space="preserve"> Acción Frente a la Pobreza</w:t>
      </w:r>
      <w:hyperlink r:id="rId67" w:history="1">
        <w:r w:rsidRPr="007A27A5">
          <w:rPr>
            <w:rFonts w:ascii="Times New Roman" w:eastAsia="Calibri" w:hAnsi="Times New Roman" w:cs="Times New Roman"/>
            <w:color w:val="0000FF"/>
            <w:sz w:val="20"/>
            <w:szCs w:val="24"/>
            <w:u w:val="single"/>
          </w:rPr>
          <w:t xml:space="preserve"> https://www.frentealapobreza.mx/</w:t>
        </w:r>
      </w:hyperlink>
    </w:p>
    <w:p w:rsidR="004861B9" w:rsidRPr="007A27A5" w:rsidRDefault="004861B9" w:rsidP="004861B9">
      <w:pPr>
        <w:spacing w:after="0" w:line="240" w:lineRule="auto"/>
        <w:rPr>
          <w:rFonts w:ascii="Times New Roman" w:eastAsia="Calibri" w:hAnsi="Times New Roman" w:cs="Times New Roman"/>
          <w:color w:val="467885"/>
          <w:sz w:val="20"/>
          <w:szCs w:val="24"/>
          <w:u w:val="single" w:color="467885"/>
        </w:rPr>
      </w:pPr>
      <w:r w:rsidRPr="007A27A5">
        <w:rPr>
          <w:rFonts w:ascii="Times New Roman" w:eastAsia="Calibri" w:hAnsi="Times New Roman" w:cs="Times New Roman"/>
          <w:color w:val="FF0000"/>
          <w:sz w:val="20"/>
          <w:szCs w:val="24"/>
          <w:vertAlign w:val="superscript"/>
        </w:rPr>
        <w:t>2</w:t>
      </w:r>
      <w:r w:rsidRPr="007A27A5">
        <w:rPr>
          <w:rFonts w:ascii="Times New Roman" w:eastAsia="Calibri" w:hAnsi="Times New Roman" w:cs="Times New Roman"/>
          <w:sz w:val="20"/>
          <w:szCs w:val="24"/>
        </w:rPr>
        <w:t xml:space="preserve"> Censo de Población y Vivienda INEGI, 2020</w:t>
      </w:r>
      <w:hyperlink r:id="rId68" w:history="1">
        <w:r w:rsidRPr="007A27A5">
          <w:rPr>
            <w:rFonts w:ascii="Times New Roman" w:eastAsia="Calibri" w:hAnsi="Times New Roman" w:cs="Times New Roman"/>
            <w:color w:val="0000FF"/>
            <w:sz w:val="20"/>
            <w:szCs w:val="24"/>
            <w:u w:val="single"/>
          </w:rPr>
          <w:t xml:space="preserve"> https://www.inegi.org.mx/programas/ccpv/2020/</w:t>
        </w:r>
      </w:hyperlink>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Por otro lado, las personas jóvenes de 18 a 29 años necesitan políticas públicas orientadas a su inserción en actividades económicas y emancipación de sus hogares de origen, en el marco de la definición de un proyecto de vida personal.</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Según estimaciones del Consejo Nacional de la Evaluación de Política de Desarrollo Social (CONEVAL), el porcentaje de las personas jóvenes en situación de pobreza multidimensional en el Estado de México es de 53.2%</w:t>
      </w:r>
      <w:r w:rsidRPr="007A27A5">
        <w:rPr>
          <w:rFonts w:ascii="Times New Roman" w:eastAsia="Calibri" w:hAnsi="Times New Roman" w:cs="Times New Roman"/>
          <w:color w:val="FF0000"/>
          <w:sz w:val="24"/>
          <w:szCs w:val="24"/>
          <w:vertAlign w:val="superscript"/>
        </w:rPr>
        <w:t>3</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rPr>
          <w:rFonts w:ascii="Times New Roman" w:eastAsia="Times New Roman" w:hAnsi="Times New Roman" w:cs="Times New Roman"/>
          <w:sz w:val="24"/>
          <w:szCs w:val="24"/>
        </w:rPr>
      </w:pPr>
      <w:r w:rsidRPr="007A27A5">
        <w:rPr>
          <w:rFonts w:ascii="Times New Roman" w:eastAsia="Times New Roman" w:hAnsi="Times New Roman" w:cs="Times New Roman"/>
          <w:noProof/>
          <w:sz w:val="24"/>
          <w:szCs w:val="24"/>
        </w:rPr>
        <w:drawing>
          <wp:inline distT="0" distB="0" distL="0" distR="0">
            <wp:extent cx="3387090" cy="2647950"/>
            <wp:effectExtent l="0" t="0" r="381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387090" cy="2647950"/>
                    </a:xfrm>
                    <a:prstGeom prst="rect">
                      <a:avLst/>
                    </a:prstGeom>
                    <a:noFill/>
                    <a:ln>
                      <a:noFill/>
                    </a:ln>
                  </pic:spPr>
                </pic:pic>
              </a:graphicData>
            </a:graphic>
          </wp:inline>
        </w:drawing>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Fuente: Estimaciones del CONEVAL con base en el MEC del MCS-ENIGH, 2020</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En términos de actividad económica 15.9 millones, lo que equivale a 52% de jóvenes, son considerados económicamente activos, situación que nos deja con 48% de jóvenes que por falta de oportunidades no realizan ninguna actividad económica.</w:t>
      </w:r>
      <w:r w:rsidRPr="007A27A5">
        <w:rPr>
          <w:rFonts w:ascii="Times New Roman" w:eastAsia="Calibri" w:hAnsi="Times New Roman" w:cs="Times New Roman"/>
          <w:color w:val="FF0000"/>
          <w:sz w:val="24"/>
          <w:szCs w:val="24"/>
          <w:vertAlign w:val="superscript"/>
        </w:rPr>
        <w:t>4</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La vulnerabilidad económica a la que se enfrentan las juventudes limita severamente su desarrollo, implicando afectaciones en su dignidad y derechos humanos. El estigma social que recae en las juventudes provoca que no puedan acceder a oportunidades laborales, vivienda, seguridad social y cultura.</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0"/>
          <w:szCs w:val="24"/>
        </w:rPr>
      </w:pPr>
      <w:r w:rsidRPr="007A27A5">
        <w:rPr>
          <w:rFonts w:ascii="Times New Roman" w:eastAsia="Calibri" w:hAnsi="Times New Roman" w:cs="Times New Roman"/>
          <w:color w:val="FF0000"/>
          <w:sz w:val="20"/>
          <w:szCs w:val="24"/>
          <w:vertAlign w:val="superscript"/>
        </w:rPr>
        <w:t>3</w:t>
      </w:r>
      <w:r w:rsidRPr="007A27A5">
        <w:rPr>
          <w:rFonts w:ascii="Times New Roman" w:eastAsia="Calibri" w:hAnsi="Times New Roman" w:cs="Times New Roman"/>
          <w:sz w:val="20"/>
          <w:szCs w:val="24"/>
        </w:rPr>
        <w:t xml:space="preserve"> Situación de las personas adolescentes y jóvenes de Ciudad de México.</w:t>
      </w:r>
      <w:hyperlink r:id="rId70" w:history="1">
        <w:r w:rsidRPr="007A27A5">
          <w:rPr>
            <w:rFonts w:ascii="Times New Roman" w:eastAsia="Calibri" w:hAnsi="Times New Roman" w:cs="Times New Roman"/>
            <w:color w:val="0000FF"/>
            <w:sz w:val="20"/>
            <w:szCs w:val="24"/>
            <w:u w:val="single"/>
          </w:rPr>
          <w:t xml:space="preserve"> https://mexico.unfpa.org/sites/default/files/pubpdf/situacion_de_las_personas_adolescentes_y_joven</w:t>
        </w:r>
      </w:hyperlink>
      <w:hyperlink r:id="rId71">
        <w:r w:rsidRPr="007A27A5">
          <w:rPr>
            <w:rFonts w:ascii="Times New Roman" w:eastAsia="Calibri" w:hAnsi="Times New Roman" w:cs="Times New Roman"/>
            <w:color w:val="467885"/>
            <w:sz w:val="20"/>
            <w:szCs w:val="24"/>
            <w:u w:val="single" w:color="467885"/>
          </w:rPr>
          <w:t>es_de_ciudad_de_mexico.pdf</w:t>
        </w:r>
      </w:hyperlink>
    </w:p>
    <w:p w:rsidR="004861B9" w:rsidRPr="007A27A5" w:rsidRDefault="004861B9" w:rsidP="004861B9">
      <w:pPr>
        <w:spacing w:after="0" w:line="240" w:lineRule="auto"/>
        <w:jc w:val="both"/>
        <w:rPr>
          <w:rFonts w:ascii="Times New Roman" w:eastAsia="Times New Roman" w:hAnsi="Times New Roman" w:cs="Times New Roman"/>
          <w:sz w:val="20"/>
          <w:szCs w:val="24"/>
        </w:rPr>
      </w:pPr>
      <w:r w:rsidRPr="007A27A5">
        <w:rPr>
          <w:rFonts w:ascii="Times New Roman" w:eastAsia="Calibri" w:hAnsi="Times New Roman" w:cs="Times New Roman"/>
          <w:color w:val="FF0000"/>
          <w:sz w:val="20"/>
          <w:szCs w:val="24"/>
          <w:vertAlign w:val="superscript"/>
        </w:rPr>
        <w:t>4</w:t>
      </w:r>
      <w:r w:rsidRPr="007A27A5">
        <w:rPr>
          <w:rFonts w:ascii="Times New Roman" w:eastAsia="Calibri" w:hAnsi="Times New Roman" w:cs="Times New Roman"/>
          <w:sz w:val="20"/>
          <w:szCs w:val="24"/>
        </w:rPr>
        <w:t xml:space="preserve"> Estadísticas a Propósito del Día Internacional de la Juventud (INEGI, 2025)</w:t>
      </w:r>
      <w:hyperlink r:id="rId72" w:history="1">
        <w:r w:rsidRPr="007A27A5">
          <w:rPr>
            <w:rFonts w:ascii="Times New Roman" w:eastAsia="Calibri" w:hAnsi="Times New Roman" w:cs="Times New Roman"/>
            <w:color w:val="0000FF"/>
            <w:sz w:val="20"/>
            <w:szCs w:val="24"/>
            <w:u w:val="single"/>
          </w:rPr>
          <w:t xml:space="preserve"> https://www.inegi.org.mx/contenidos/saladeprensa/aproposito/2025/EAP_Juventud.pdf</w:t>
        </w:r>
      </w:hyperlink>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lastRenderedPageBreak/>
        <w:t>Aunado a lo anterior, cuando alguna persona joven logra acceder a un empleo, los ingresos que recibe son considerablemente inferiores, además de tener una jornada laboral superior a las 48 horas, la cual podría ser considerada como excesiva. En el contexto local el 63,8 % de las personas jóvenes, tienen un ingreso inferior a la línea de bienestar.</w:t>
      </w:r>
      <w:r w:rsidRPr="007A27A5">
        <w:rPr>
          <w:rFonts w:ascii="Times New Roman" w:eastAsia="Calibri" w:hAnsi="Times New Roman" w:cs="Times New Roman"/>
          <w:color w:val="FF0000"/>
          <w:sz w:val="24"/>
          <w:szCs w:val="24"/>
          <w:vertAlign w:val="superscript"/>
        </w:rPr>
        <w:t>5</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rPr>
          <w:rFonts w:ascii="Times New Roman" w:eastAsia="Times New Roman" w:hAnsi="Times New Roman" w:cs="Times New Roman"/>
          <w:sz w:val="24"/>
          <w:szCs w:val="24"/>
        </w:rPr>
      </w:pPr>
      <w:r w:rsidRPr="007A27A5">
        <w:rPr>
          <w:rFonts w:ascii="Times New Roman" w:eastAsia="Times New Roman" w:hAnsi="Times New Roman" w:cs="Times New Roman"/>
          <w:noProof/>
          <w:sz w:val="24"/>
          <w:szCs w:val="24"/>
        </w:rPr>
        <w:drawing>
          <wp:inline distT="0" distB="0" distL="0" distR="0">
            <wp:extent cx="3959860" cy="4540250"/>
            <wp:effectExtent l="0" t="0" r="254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959860" cy="4540250"/>
                    </a:xfrm>
                    <a:prstGeom prst="rect">
                      <a:avLst/>
                    </a:prstGeom>
                    <a:noFill/>
                    <a:ln>
                      <a:noFill/>
                    </a:ln>
                  </pic:spPr>
                </pic:pic>
              </a:graphicData>
            </a:graphic>
          </wp:inline>
        </w:drawing>
      </w: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Fuente: Estimaciones del CONEVAL con base en el MEC del MCS-ENIGH, 2020</w:t>
      </w:r>
      <w:r w:rsidRPr="007A27A5">
        <w:rPr>
          <w:rFonts w:ascii="Times New Roman" w:eastAsia="Calibri" w:hAnsi="Times New Roman" w:cs="Times New Roman"/>
          <w:sz w:val="24"/>
          <w:szCs w:val="24"/>
        </w:rPr>
        <w:t xml:space="preserve">. Con base en la Encuesta Nacional de Ocupación y Empleo (ENOE) publicada por INEGI, en el </w:t>
      </w:r>
      <w:proofErr w:type="spellStart"/>
      <w:r w:rsidRPr="007A27A5">
        <w:rPr>
          <w:rFonts w:ascii="Times New Roman" w:eastAsia="Calibri" w:hAnsi="Times New Roman" w:cs="Times New Roman"/>
          <w:sz w:val="24"/>
          <w:szCs w:val="24"/>
        </w:rPr>
        <w:t>Edoméx</w:t>
      </w:r>
      <w:proofErr w:type="spellEnd"/>
      <w:r w:rsidRPr="007A27A5">
        <w:rPr>
          <w:rFonts w:ascii="Times New Roman" w:eastAsia="Calibri" w:hAnsi="Times New Roman" w:cs="Times New Roman"/>
          <w:sz w:val="24"/>
          <w:szCs w:val="24"/>
        </w:rPr>
        <w:t>, 521 mil jóvenes no estudian ni trabajan por considerar que no tienen oportunidades, mientras que 1.04 millones se encuentran trabajando en condiciones precarias, como falta de seguridad social e ingresos insuficientes para cubrir necesidades básicas.</w:t>
      </w:r>
      <w:r w:rsidRPr="007A27A5">
        <w:rPr>
          <w:rFonts w:ascii="Times New Roman" w:eastAsia="Calibri" w:hAnsi="Times New Roman" w:cs="Times New Roman"/>
          <w:color w:val="FF0000"/>
          <w:sz w:val="24"/>
          <w:szCs w:val="24"/>
          <w:vertAlign w:val="superscript"/>
        </w:rPr>
        <w:t>6</w:t>
      </w:r>
    </w:p>
    <w:p w:rsidR="004861B9" w:rsidRPr="007A27A5" w:rsidRDefault="004861B9" w:rsidP="004861B9">
      <w:pPr>
        <w:spacing w:after="0" w:line="240" w:lineRule="auto"/>
        <w:jc w:val="both"/>
        <w:rPr>
          <w:rFonts w:ascii="Times New Roman" w:eastAsia="Calibri" w:hAnsi="Times New Roman" w:cs="Times New Roman"/>
          <w:sz w:val="24"/>
          <w:szCs w:val="24"/>
        </w:rPr>
      </w:pPr>
    </w:p>
    <w:p w:rsidR="004861B9" w:rsidRPr="007A27A5" w:rsidRDefault="004861B9" w:rsidP="004861B9">
      <w:pPr>
        <w:spacing w:after="0" w:line="240" w:lineRule="auto"/>
        <w:jc w:val="both"/>
        <w:rPr>
          <w:rFonts w:ascii="Times New Roman" w:eastAsia="Times New Roman" w:hAnsi="Times New Roman" w:cs="Times New Roman"/>
          <w:sz w:val="20"/>
          <w:szCs w:val="24"/>
        </w:rPr>
      </w:pPr>
      <w:r w:rsidRPr="007A27A5">
        <w:rPr>
          <w:rFonts w:ascii="Times New Roman" w:eastAsia="Calibri" w:hAnsi="Times New Roman" w:cs="Times New Roman"/>
          <w:color w:val="FF0000"/>
          <w:sz w:val="20"/>
          <w:szCs w:val="24"/>
          <w:vertAlign w:val="superscript"/>
        </w:rPr>
        <w:t>5</w:t>
      </w:r>
      <w:r w:rsidRPr="007A27A5">
        <w:rPr>
          <w:rFonts w:ascii="Times New Roman" w:eastAsia="Calibri" w:hAnsi="Times New Roman" w:cs="Times New Roman"/>
          <w:sz w:val="20"/>
          <w:szCs w:val="24"/>
        </w:rPr>
        <w:t xml:space="preserve"> Situación de las personas adolescentes y jóvenes de Ciudad de México.</w:t>
      </w:r>
      <w:hyperlink r:id="rId74" w:history="1">
        <w:r w:rsidRPr="007A27A5">
          <w:rPr>
            <w:rFonts w:ascii="Times New Roman" w:eastAsia="Calibri" w:hAnsi="Times New Roman" w:cs="Times New Roman"/>
            <w:color w:val="0000FF"/>
            <w:sz w:val="20"/>
            <w:szCs w:val="24"/>
            <w:u w:val="single"/>
          </w:rPr>
          <w:t xml:space="preserve"> https://mexico.unfpa.org/sites/default/files/pubpdf/situacion_de_las_personas_adolescentes_y_joven</w:t>
        </w:r>
      </w:hyperlink>
      <w:hyperlink r:id="rId75">
        <w:r w:rsidRPr="007A27A5">
          <w:rPr>
            <w:rFonts w:ascii="Times New Roman" w:eastAsia="Calibri" w:hAnsi="Times New Roman" w:cs="Times New Roman"/>
            <w:color w:val="467885"/>
            <w:sz w:val="20"/>
            <w:szCs w:val="24"/>
            <w:u w:val="single" w:color="467885"/>
          </w:rPr>
          <w:t>es_de_ciudad_de_mexico.pdf</w:t>
        </w:r>
      </w:hyperlink>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Al no poder acceder a servicios de salud, las juventudes son gravemente vulnerables, ya que no pueden acceder a la prevención y tratamiento de enfermedades.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Estas cifras son muestra de que las juventudes se encuentran en un estado de vulneración laboral y por lo tanto económica, situación que los orilla a optar por vías que el crimen organizado aprovecha para reclutarlos a sus filas con promesas de oportunidades.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lastRenderedPageBreak/>
        <w:t>Ser persona joven complica el acceso a una vivienda digna ya que se estima que 7 de cada 10 jóvenes no pueden acceder a una vivienda propia y solo el 4.8 % de los créditos hipotecarios son otorgados a quienes tienen menos de 30 años.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Los factores estructurales se acumulan en perjuicio de las juventudes, por ejemplo en el Estado de México el transporte público se incrementó de 12 a 14 pesos recientemente, ocasionando un desequilibrio económico en las familias mexiquenses, afectando principalmente a los jóvenes que usan el servicio como principal medio de transporte para trasladarse a sus centros educativos y laborales. Pese a que la Ley de Movilidad y Seguridad Vial del Estado de México contempla tarifas preferenciales para personas jóvenes, estas fueron ignoradas.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Ante estas circunstancias es necesario legislar con el objetivo de crear oportunidades para las juventudes mexiquenses. Es fundamental empoderarles para que se conviertan en agentes de cambio en sus comunidades con la promoción de su desarrollo integral y participación en la sociedad mediante la dignificación del empleo, dándoles ese impulso inicial que requieren y abriéndoles las puertas al sector productivo a aquellos jóvenes recién egresados.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rPr>
          <w:rFonts w:ascii="Times New Roman" w:eastAsia="Times New Roman" w:hAnsi="Times New Roman" w:cs="Times New Roman"/>
          <w:sz w:val="20"/>
          <w:szCs w:val="24"/>
        </w:rPr>
      </w:pPr>
      <w:r w:rsidRPr="007A27A5">
        <w:rPr>
          <w:rFonts w:ascii="Times New Roman" w:eastAsia="Calibri" w:hAnsi="Times New Roman" w:cs="Times New Roman"/>
          <w:color w:val="FF0000"/>
          <w:sz w:val="20"/>
          <w:szCs w:val="24"/>
          <w:vertAlign w:val="superscript"/>
        </w:rPr>
        <w:t>6</w:t>
      </w:r>
      <w:r w:rsidRPr="007A27A5">
        <w:rPr>
          <w:rFonts w:ascii="Times New Roman" w:eastAsia="Calibri" w:hAnsi="Times New Roman" w:cs="Times New Roman"/>
          <w:sz w:val="20"/>
          <w:szCs w:val="24"/>
        </w:rPr>
        <w:t xml:space="preserve"> Encuesta Nacional de Ocupación y Empleo (INEGI, 2024)</w:t>
      </w:r>
      <w:hyperlink r:id="rId76" w:history="1">
        <w:r w:rsidRPr="007A27A5">
          <w:rPr>
            <w:rFonts w:ascii="Times New Roman" w:eastAsia="Calibri" w:hAnsi="Times New Roman" w:cs="Times New Roman"/>
            <w:color w:val="0000FF"/>
            <w:sz w:val="20"/>
            <w:szCs w:val="24"/>
            <w:u w:val="single"/>
          </w:rPr>
          <w:t xml:space="preserve"> https://www.inegi.org.mx/programas/enoe/15ymas/</w:t>
        </w:r>
      </w:hyperlink>
    </w:p>
    <w:p w:rsidR="004861B9" w:rsidRPr="007A27A5" w:rsidRDefault="004861B9" w:rsidP="004861B9">
      <w:pPr>
        <w:spacing w:after="0" w:line="240" w:lineRule="auto"/>
        <w:jc w:val="both"/>
        <w:rPr>
          <w:rFonts w:ascii="Times New Roman" w:eastAsia="Calibri"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Por tal motivo se propone garantizar que se contrate a personas jóvenes promoviendo una participación no menor al 5% de la plantilla del personal de las empresas o de la administración pública estatal y municipal, para así crear oportunidades de empleo para jóvenes.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Es fundamental disminuir la brecha digital, principalmente en las poblaciones más marginadas del Estado. El facilitar acceso a las tecnologías propicia oportunidades reales para las juventudes, por ejemplo, el acceso a internet es considerado una necesidad básica en la actualidad, sin este el desarrollo de habilidades o el desempeño laboral se ve reducido. Por esta razón, se propone que las juventudes que estudien o trabajen cuenten con internet gratuito en los 125 municipios.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Ante las circunstancias adversas e inestabilidad laboral producto de los cambios tecnológicos y la implementación de nuevas herramientas, muchos jóvenes están perdiendo sus empleos, por ello, es indispensable que se cuente con un seguro de desempleo con una cobertura de por lo menos 3 meses mientras se encuentra un nuevo empleo para no dejarlos desprotegidos en su esfera básica.</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Para garantizar que las disposiciones normativas en materia laboral se cumplan, principalmente para las juventudes, se propone que la Secretaría del Trabajo instruya visitas de inspección y vigilancia para verificar que las condiciones de trabajo en las que se encuentren las juventudes sean acordes a la ley.</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b/>
          <w:sz w:val="24"/>
          <w:szCs w:val="24"/>
        </w:rPr>
      </w:pPr>
      <w:r w:rsidRPr="007A27A5">
        <w:rPr>
          <w:rFonts w:ascii="Times New Roman" w:eastAsia="Calibri" w:hAnsi="Times New Roman" w:cs="Times New Roman"/>
          <w:sz w:val="24"/>
          <w:szCs w:val="24"/>
        </w:rPr>
        <w:t xml:space="preserve">Conforme a lo anteriormente expuesto, sometemos a la consideración de esta honorable Asamblea la siguiente </w:t>
      </w:r>
      <w:r w:rsidRPr="007A27A5">
        <w:rPr>
          <w:rFonts w:ascii="Times New Roman" w:eastAsia="Calibri" w:hAnsi="Times New Roman" w:cs="Times New Roman"/>
          <w:b/>
          <w:sz w:val="24"/>
          <w:szCs w:val="24"/>
        </w:rPr>
        <w:t>Iniciativa con Proyecto de Decreto por el que se adicionan las fracciones X y XI del artículo 9, se adicionan las fracciones XXX, XXXI, XXXII recorriendo la subsecuente del artículo 13 y se adiciona el inciso c a la fracción V del Artículo 31 de la Ley de la Juventud del Estado de México en Materia de acceso al Empleo, la Vivienda Digna y a Tarifas Preferenciales en el Transporte Público para Personas Jóvenes.</w:t>
      </w:r>
    </w:p>
    <w:p w:rsidR="004861B9" w:rsidRPr="007A27A5" w:rsidRDefault="004861B9" w:rsidP="004861B9">
      <w:pPr>
        <w:spacing w:after="0" w:line="240" w:lineRule="auto"/>
        <w:jc w:val="both"/>
        <w:rPr>
          <w:rFonts w:ascii="Times New Roman" w:eastAsia="Times New Roman" w:hAnsi="Times New Roman" w:cs="Times New Roman"/>
          <w:sz w:val="24"/>
          <w:szCs w:val="24"/>
        </w:rPr>
      </w:pPr>
    </w:p>
    <w:p w:rsidR="004861B9" w:rsidRPr="007A27A5" w:rsidRDefault="004861B9" w:rsidP="004861B9">
      <w:pPr>
        <w:spacing w:after="0" w:line="240" w:lineRule="auto"/>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A T E N T A M E N T E</w:t>
      </w:r>
    </w:p>
    <w:p w:rsidR="004861B9" w:rsidRPr="007A27A5" w:rsidRDefault="004861B9" w:rsidP="004861B9">
      <w:pPr>
        <w:spacing w:after="0" w:line="240" w:lineRule="auto"/>
        <w:rPr>
          <w:rFonts w:ascii="Times New Roman" w:eastAsia="Times New Roman" w:hAnsi="Times New Roman" w:cs="Times New Roman"/>
          <w:sz w:val="24"/>
          <w:szCs w:val="24"/>
        </w:rPr>
      </w:pPr>
    </w:p>
    <w:tbl>
      <w:tblPr>
        <w:tblStyle w:val="Tablaconcuadrcula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4861B9" w:rsidRPr="007A27A5" w:rsidTr="00E56B7B">
        <w:tc>
          <w:tcPr>
            <w:tcW w:w="5355" w:type="dxa"/>
          </w:tcPr>
          <w:p w:rsidR="004861B9" w:rsidRPr="007A27A5" w:rsidRDefault="004861B9" w:rsidP="004861B9">
            <w:pPr>
              <w:spacing w:line="240" w:lineRule="auto"/>
              <w:jc w:val="center"/>
              <w:rPr>
                <w:b/>
                <w:sz w:val="24"/>
                <w:szCs w:val="24"/>
                <w:lang w:val="es-MX"/>
              </w:rPr>
            </w:pPr>
            <w:r w:rsidRPr="007A27A5">
              <w:rPr>
                <w:b/>
                <w:sz w:val="24"/>
                <w:szCs w:val="24"/>
                <w:lang w:val="es-MX"/>
              </w:rPr>
              <w:t>Dip. Ruth Salinas Reyes</w:t>
            </w:r>
          </w:p>
        </w:tc>
        <w:tc>
          <w:tcPr>
            <w:tcW w:w="5355" w:type="dxa"/>
          </w:tcPr>
          <w:p w:rsidR="004861B9" w:rsidRPr="007A27A5" w:rsidRDefault="004861B9" w:rsidP="004861B9">
            <w:pPr>
              <w:spacing w:line="240" w:lineRule="auto"/>
              <w:jc w:val="center"/>
              <w:rPr>
                <w:b/>
                <w:sz w:val="24"/>
                <w:szCs w:val="24"/>
                <w:lang w:val="es-MX"/>
              </w:rPr>
            </w:pPr>
            <w:r w:rsidRPr="007A27A5">
              <w:rPr>
                <w:b/>
                <w:sz w:val="24"/>
                <w:szCs w:val="24"/>
                <w:lang w:val="es-MX"/>
              </w:rPr>
              <w:t>Dip. Maricela Beltrán Sánchez</w:t>
            </w:r>
          </w:p>
        </w:tc>
      </w:tr>
      <w:tr w:rsidR="004861B9" w:rsidRPr="007A27A5" w:rsidTr="00E56B7B">
        <w:tc>
          <w:tcPr>
            <w:tcW w:w="5355" w:type="dxa"/>
          </w:tcPr>
          <w:p w:rsidR="004861B9" w:rsidRPr="007A27A5" w:rsidRDefault="004861B9" w:rsidP="004861B9">
            <w:pPr>
              <w:spacing w:line="240" w:lineRule="auto"/>
              <w:jc w:val="center"/>
              <w:rPr>
                <w:b/>
                <w:sz w:val="24"/>
                <w:szCs w:val="24"/>
                <w:lang w:val="es-MX"/>
              </w:rPr>
            </w:pPr>
            <w:r w:rsidRPr="007A27A5">
              <w:rPr>
                <w:b/>
                <w:sz w:val="24"/>
                <w:szCs w:val="24"/>
                <w:lang w:val="es-MX"/>
              </w:rPr>
              <w:lastRenderedPageBreak/>
              <w:t>Dip. Juan Manuel Zepeda Hernández</w:t>
            </w:r>
          </w:p>
        </w:tc>
        <w:tc>
          <w:tcPr>
            <w:tcW w:w="5355" w:type="dxa"/>
          </w:tcPr>
          <w:p w:rsidR="004861B9" w:rsidRPr="007A27A5" w:rsidRDefault="004861B9" w:rsidP="004861B9">
            <w:pPr>
              <w:spacing w:line="240" w:lineRule="auto"/>
              <w:jc w:val="center"/>
              <w:rPr>
                <w:b/>
                <w:sz w:val="24"/>
                <w:szCs w:val="24"/>
                <w:lang w:val="es-MX"/>
              </w:rPr>
            </w:pPr>
            <w:r w:rsidRPr="007A27A5">
              <w:rPr>
                <w:b/>
                <w:sz w:val="24"/>
                <w:szCs w:val="24"/>
                <w:lang w:val="es-MX"/>
              </w:rPr>
              <w:t>Dip. Martín Zepeda Hernández</w:t>
            </w:r>
          </w:p>
        </w:tc>
      </w:tr>
    </w:tbl>
    <w:p w:rsidR="004861B9" w:rsidRPr="007A27A5" w:rsidRDefault="004861B9" w:rsidP="004861B9">
      <w:pPr>
        <w:spacing w:after="0" w:line="240" w:lineRule="auto"/>
        <w:jc w:val="center"/>
        <w:rPr>
          <w:rFonts w:ascii="Times New Roman" w:eastAsia="Times New Roman" w:hAnsi="Times New Roman" w:cs="Times New Roman"/>
          <w:sz w:val="24"/>
          <w:szCs w:val="24"/>
        </w:rPr>
      </w:pPr>
    </w:p>
    <w:p w:rsidR="004861B9" w:rsidRPr="007A27A5" w:rsidRDefault="004861B9" w:rsidP="004861B9">
      <w:pPr>
        <w:spacing w:after="0" w:line="240" w:lineRule="auto"/>
        <w:jc w:val="center"/>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PROYECTO DE DECRETO</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La H. LXII Legislatura del Estado de México</w:t>
      </w: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Decreta:</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ARTÍCULO ÚNICO; Se adicionan las fracciones X y XI al artículo 9, se adicionan las fracciones XXX, XXXI, XXXII recorriendo la subsecuente al artículo 13 y se adiciona el inciso c a la fracción V del Artículo 31 de la Ley de la Juventud del Estado de México para quedar como sigue;</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rPr>
          <w:rFonts w:ascii="Times New Roman" w:eastAsia="Calibri" w:hAnsi="Times New Roman" w:cs="Times New Roman"/>
          <w:sz w:val="24"/>
          <w:szCs w:val="24"/>
        </w:rPr>
      </w:pPr>
      <w:r w:rsidRPr="007A27A5">
        <w:rPr>
          <w:rFonts w:ascii="Times New Roman" w:eastAsia="Calibri" w:hAnsi="Times New Roman" w:cs="Times New Roman"/>
          <w:sz w:val="24"/>
          <w:szCs w:val="24"/>
        </w:rPr>
        <w:t>Artículo 9.- Los jóvenes tienen derecho a:</w:t>
      </w:r>
    </w:p>
    <w:p w:rsidR="004861B9" w:rsidRPr="007A27A5" w:rsidRDefault="004861B9" w:rsidP="004861B9">
      <w:pPr>
        <w:spacing w:after="0" w:line="240" w:lineRule="auto"/>
        <w:rPr>
          <w:rFonts w:ascii="Times New Roman" w:eastAsia="Calibri" w:hAnsi="Times New Roman" w:cs="Times New Roman"/>
          <w:sz w:val="24"/>
          <w:szCs w:val="24"/>
        </w:rPr>
      </w:pPr>
    </w:p>
    <w:p w:rsidR="004861B9" w:rsidRPr="007A27A5" w:rsidRDefault="004861B9" w:rsidP="004861B9">
      <w:pPr>
        <w:spacing w:after="0" w:line="240" w:lineRule="auto"/>
        <w:rPr>
          <w:rFonts w:ascii="Times New Roman" w:eastAsia="Calibri" w:hAnsi="Times New Roman" w:cs="Times New Roman"/>
          <w:sz w:val="24"/>
          <w:szCs w:val="24"/>
        </w:rPr>
      </w:pPr>
      <w:r w:rsidRPr="007A27A5">
        <w:rPr>
          <w:rFonts w:ascii="Times New Roman" w:eastAsia="Calibri" w:hAnsi="Times New Roman" w:cs="Times New Roman"/>
          <w:sz w:val="24"/>
          <w:szCs w:val="24"/>
        </w:rPr>
        <w:t>I a IX.</w:t>
      </w:r>
    </w:p>
    <w:p w:rsidR="004861B9" w:rsidRPr="007A27A5" w:rsidRDefault="004861B9" w:rsidP="004861B9">
      <w:pPr>
        <w:spacing w:after="0" w:line="240" w:lineRule="auto"/>
        <w:rPr>
          <w:rFonts w:ascii="Times New Roman" w:eastAsia="Calibri" w:hAnsi="Times New Roman" w:cs="Times New Roman"/>
          <w:b/>
          <w:sz w:val="24"/>
          <w:szCs w:val="24"/>
        </w:rPr>
      </w:pPr>
    </w:p>
    <w:p w:rsidR="004861B9" w:rsidRPr="007A27A5" w:rsidRDefault="004861B9" w:rsidP="004861B9">
      <w:pPr>
        <w:spacing w:after="0" w:line="240" w:lineRule="auto"/>
        <w:rPr>
          <w:rFonts w:ascii="Times New Roman" w:eastAsia="Calibri" w:hAnsi="Times New Roman" w:cs="Times New Roman"/>
          <w:b/>
          <w:sz w:val="24"/>
          <w:szCs w:val="24"/>
        </w:rPr>
      </w:pPr>
      <w:r w:rsidRPr="007A27A5">
        <w:rPr>
          <w:rFonts w:ascii="Times New Roman" w:eastAsia="Calibri" w:hAnsi="Times New Roman" w:cs="Times New Roman"/>
          <w:b/>
          <w:sz w:val="24"/>
          <w:szCs w:val="24"/>
        </w:rPr>
        <w:t>X. Contar con acceso a una vivienda digna y accesible.</w:t>
      </w:r>
    </w:p>
    <w:p w:rsidR="004861B9" w:rsidRPr="007A27A5" w:rsidRDefault="004861B9" w:rsidP="004861B9">
      <w:pPr>
        <w:spacing w:after="0" w:line="240" w:lineRule="auto"/>
        <w:rPr>
          <w:rFonts w:ascii="Times New Roman" w:eastAsia="Calibri" w:hAnsi="Times New Roman" w:cs="Times New Roman"/>
          <w:b/>
          <w:sz w:val="24"/>
          <w:szCs w:val="24"/>
        </w:rPr>
      </w:pPr>
    </w:p>
    <w:p w:rsidR="004861B9" w:rsidRPr="007A27A5" w:rsidRDefault="004861B9" w:rsidP="004861B9">
      <w:pPr>
        <w:spacing w:after="0" w:line="240" w:lineRule="auto"/>
        <w:rPr>
          <w:rFonts w:ascii="Times New Roman" w:eastAsia="Calibri" w:hAnsi="Times New Roman" w:cs="Times New Roman"/>
          <w:sz w:val="24"/>
          <w:szCs w:val="24"/>
        </w:rPr>
      </w:pPr>
      <w:r w:rsidRPr="007A27A5">
        <w:rPr>
          <w:rFonts w:ascii="Times New Roman" w:eastAsia="Calibri" w:hAnsi="Times New Roman" w:cs="Times New Roman"/>
          <w:b/>
          <w:sz w:val="24"/>
          <w:szCs w:val="24"/>
        </w:rPr>
        <w:t>XI. Tarifas preferenciales en el transporte público.</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Artículo 13. Las políticas públicas para los jóvenes son un conjunto de directrices de carácter público, dirigidas a asegurar la vigencia de los derechos de la juventud, y comprenden de manera enunciativa y no limitativa, las siguientes acciones: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I a XXIX.</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XXX. Garantizar la inclusión de las juventudes en el ámbito laboral con una participación no menor al 5% de la plantilla de personal dentro de las actividades de la empresa, sector servicios y/o la administración pública estatal y municipal.</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XXXI. Garantizar internet gratuito en todos los municipios, mediante convenios con proveedores y puntos de acceso público en comunidades rurales y colonias populares para jóvenes que estudien y/o trabajen.</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XXXII. Establecer el seguro de desempleo para jóvenes que hayan perdido su empleo por causa no atribuible a estos, con una cobertura de por lo menos tres meses o hasta que logren conseguir un nuevo empleo.</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b/>
          <w:sz w:val="24"/>
          <w:szCs w:val="24"/>
        </w:rPr>
      </w:pPr>
      <w:r w:rsidRPr="007A27A5">
        <w:rPr>
          <w:rFonts w:ascii="Times New Roman" w:eastAsia="Calibri" w:hAnsi="Times New Roman" w:cs="Times New Roman"/>
          <w:b/>
          <w:sz w:val="24"/>
          <w:szCs w:val="24"/>
        </w:rPr>
        <w:t>XXIII. Las demás que sean necesarias para el cumplimiento del objeto de esta Ley.</w:t>
      </w:r>
    </w:p>
    <w:p w:rsidR="004861B9" w:rsidRPr="007A27A5" w:rsidRDefault="004861B9" w:rsidP="004861B9">
      <w:pPr>
        <w:spacing w:after="0" w:line="240" w:lineRule="auto"/>
        <w:jc w:val="both"/>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Artículo 31.- Para el cumplimiento de su objeto, los miembros del Consejo tendrán las siguientes atribuciones específicas: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V. A la Secretaría del Trabajo le corresponde:</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a) …</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b) …</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c) Realizar acciones de inspección y vigilancia de manera periódica en los centros de trabajo donde laboren jóvenes a fin de verificar que las condiciones de trabajo se apegan a la Ley en la materia.</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d) Las demás necesarias, dentro de su ámbito de competencia, para el cumplimiento del objeto de la presente Ley.</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ARTÍCULOS TRANSITORIOS</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7A27A5" w:rsidRDefault="004861B9" w:rsidP="004861B9">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 xml:space="preserve">PRIMERO.- </w:t>
      </w:r>
      <w:r w:rsidRPr="007A27A5">
        <w:rPr>
          <w:rFonts w:ascii="Times New Roman" w:eastAsia="Calibri" w:hAnsi="Times New Roman" w:cs="Times New Roman"/>
          <w:sz w:val="24"/>
          <w:szCs w:val="24"/>
        </w:rPr>
        <w:t>Publíquese el presente Decreto en el Periódico Oficial “Gaceta del Gobierno”.</w:t>
      </w:r>
    </w:p>
    <w:p w:rsidR="004861B9" w:rsidRPr="007A27A5" w:rsidRDefault="004861B9" w:rsidP="004861B9">
      <w:pPr>
        <w:spacing w:after="0" w:line="240" w:lineRule="auto"/>
        <w:rPr>
          <w:rFonts w:ascii="Times New Roman" w:eastAsia="Times New Roman" w:hAnsi="Times New Roman" w:cs="Times New Roman"/>
          <w:sz w:val="24"/>
          <w:szCs w:val="24"/>
        </w:rPr>
      </w:pPr>
    </w:p>
    <w:p w:rsidR="004861B9" w:rsidRPr="0095594B" w:rsidRDefault="004861B9" w:rsidP="004861B9">
      <w:pPr>
        <w:spacing w:after="0" w:line="240" w:lineRule="auto"/>
        <w:rPr>
          <w:rFonts w:ascii="Times New Roman" w:eastAsia="Calibri" w:hAnsi="Times New Roman" w:cs="Times New Roman"/>
          <w:sz w:val="24"/>
          <w:szCs w:val="24"/>
        </w:rPr>
      </w:pPr>
      <w:r w:rsidRPr="007A27A5">
        <w:rPr>
          <w:rFonts w:ascii="Times New Roman" w:eastAsia="Calibri" w:hAnsi="Times New Roman" w:cs="Times New Roman"/>
          <w:b/>
          <w:sz w:val="24"/>
          <w:szCs w:val="24"/>
        </w:rPr>
        <w:t xml:space="preserve">SEGUNDO.- </w:t>
      </w:r>
      <w:r w:rsidRPr="007A27A5">
        <w:rPr>
          <w:rFonts w:ascii="Times New Roman" w:eastAsia="Calibri" w:hAnsi="Times New Roman" w:cs="Times New Roman"/>
          <w:sz w:val="24"/>
          <w:szCs w:val="24"/>
        </w:rPr>
        <w:t>El presente Decreto entrará en vigor al día siguiente de su publicación en el Periódico Oficial “Gaceta del Gobierno”.</w:t>
      </w:r>
    </w:p>
    <w:p w:rsidR="004861B9" w:rsidRPr="0095594B" w:rsidRDefault="004861B9" w:rsidP="004861B9">
      <w:pPr>
        <w:spacing w:after="0" w:line="240" w:lineRule="auto"/>
        <w:rPr>
          <w:rFonts w:ascii="Times New Roman" w:eastAsia="Times New Roman" w:hAnsi="Times New Roman" w:cs="Times New Roman"/>
          <w:sz w:val="24"/>
          <w:szCs w:val="24"/>
        </w:rPr>
      </w:pPr>
    </w:p>
    <w:p w:rsidR="004861B9" w:rsidRPr="0095594B" w:rsidRDefault="004861B9" w:rsidP="004861B9">
      <w:pPr>
        <w:spacing w:after="0" w:line="240" w:lineRule="auto"/>
        <w:rPr>
          <w:rFonts w:ascii="Times New Roman" w:eastAsia="Calibri" w:hAnsi="Times New Roman" w:cs="Times New Roman"/>
          <w:sz w:val="24"/>
          <w:szCs w:val="24"/>
        </w:rPr>
      </w:pPr>
      <w:r w:rsidRPr="0095594B">
        <w:rPr>
          <w:rFonts w:ascii="Times New Roman" w:eastAsia="Calibri" w:hAnsi="Times New Roman" w:cs="Times New Roman"/>
          <w:sz w:val="24"/>
          <w:szCs w:val="24"/>
        </w:rPr>
        <w:t>Lo tendrá entendido la Gobernadora del Estado, haciendo que se publique y se cumpla.</w:t>
      </w:r>
    </w:p>
    <w:p w:rsidR="004861B9" w:rsidRPr="0095594B" w:rsidRDefault="004861B9" w:rsidP="004861B9">
      <w:pPr>
        <w:spacing w:after="0" w:line="240" w:lineRule="auto"/>
        <w:rPr>
          <w:rFonts w:ascii="Times New Roman" w:eastAsia="Times New Roman" w:hAnsi="Times New Roman" w:cs="Times New Roman"/>
          <w:sz w:val="24"/>
          <w:szCs w:val="24"/>
        </w:rPr>
      </w:pPr>
    </w:p>
    <w:p w:rsidR="004861B9" w:rsidRPr="0095594B" w:rsidRDefault="004861B9" w:rsidP="004861B9">
      <w:pPr>
        <w:spacing w:after="0" w:line="240" w:lineRule="auto"/>
        <w:jc w:val="both"/>
        <w:rPr>
          <w:rFonts w:ascii="Times New Roman" w:eastAsia="Calibri" w:hAnsi="Times New Roman" w:cs="Times New Roman"/>
          <w:sz w:val="24"/>
          <w:szCs w:val="24"/>
        </w:rPr>
      </w:pPr>
      <w:r w:rsidRPr="0095594B">
        <w:rPr>
          <w:rFonts w:ascii="Times New Roman" w:eastAsia="Calibri" w:hAnsi="Times New Roman" w:cs="Times New Roman"/>
          <w:sz w:val="24"/>
          <w:szCs w:val="24"/>
        </w:rPr>
        <w:t>Dado en el Palacio del Poder Legislativo, en la ciudad de Toluca de Lerdo, Capital del Estado de México, a los</w:t>
      </w:r>
      <w:r w:rsidRPr="0095594B">
        <w:rPr>
          <w:rFonts w:ascii="Times New Roman" w:eastAsia="Calibri" w:hAnsi="Times New Roman" w:cs="Times New Roman"/>
          <w:sz w:val="24"/>
          <w:szCs w:val="24"/>
          <w:u w:val="single" w:color="000000"/>
        </w:rPr>
        <w:t xml:space="preserve">       </w:t>
      </w:r>
      <w:r w:rsidRPr="0095594B">
        <w:rPr>
          <w:rFonts w:ascii="Times New Roman" w:eastAsia="Calibri" w:hAnsi="Times New Roman" w:cs="Times New Roman"/>
          <w:sz w:val="24"/>
          <w:szCs w:val="24"/>
        </w:rPr>
        <w:t xml:space="preserve">  días del mes de </w:t>
      </w:r>
      <w:r w:rsidRPr="0095594B">
        <w:rPr>
          <w:rFonts w:ascii="Times New Roman" w:eastAsia="Calibri" w:hAnsi="Times New Roman" w:cs="Times New Roman"/>
          <w:sz w:val="24"/>
          <w:szCs w:val="24"/>
          <w:u w:val="single" w:color="000000"/>
        </w:rPr>
        <w:t xml:space="preserve">       </w:t>
      </w:r>
      <w:r w:rsidRPr="0095594B">
        <w:rPr>
          <w:rFonts w:ascii="Times New Roman" w:eastAsia="Calibri" w:hAnsi="Times New Roman" w:cs="Times New Roman"/>
          <w:sz w:val="24"/>
          <w:szCs w:val="24"/>
        </w:rPr>
        <w:t xml:space="preserve"> _del año dos mil veinticinco.</w:t>
      </w:r>
    </w:p>
    <w:p w:rsidR="004861B9" w:rsidRPr="0095594B" w:rsidRDefault="004861B9" w:rsidP="004861B9">
      <w:pPr>
        <w:spacing w:after="0" w:line="240" w:lineRule="auto"/>
        <w:jc w:val="both"/>
        <w:rPr>
          <w:rFonts w:ascii="Times New Roman" w:eastAsia="Calibri" w:hAnsi="Times New Roman" w:cs="Times New Roman"/>
          <w:sz w:val="24"/>
          <w:szCs w:val="24"/>
        </w:rPr>
      </w:pPr>
    </w:p>
    <w:p w:rsidR="007804DD" w:rsidRPr="0095594B" w:rsidRDefault="007804DD" w:rsidP="00E56B7B">
      <w:pPr>
        <w:spacing w:after="0" w:line="240" w:lineRule="auto"/>
        <w:jc w:val="center"/>
        <w:rPr>
          <w:rFonts w:ascii="Times New Roman" w:hAnsi="Times New Roman"/>
          <w:i/>
          <w:sz w:val="24"/>
          <w:szCs w:val="24"/>
        </w:rPr>
      </w:pPr>
      <w:r w:rsidRPr="0095594B">
        <w:rPr>
          <w:rFonts w:ascii="Times New Roman" w:hAnsi="Times New Roman"/>
          <w:i/>
          <w:sz w:val="24"/>
          <w:szCs w:val="24"/>
        </w:rPr>
        <w:t>(Fin del documento)</w:t>
      </w:r>
    </w:p>
    <w:p w:rsidR="007804DD" w:rsidRPr="0095594B" w:rsidRDefault="007804DD" w:rsidP="00E56B7B">
      <w:pPr>
        <w:spacing w:after="0" w:line="240" w:lineRule="auto"/>
        <w:jc w:val="center"/>
        <w:rPr>
          <w:rFonts w:ascii="Times New Roman" w:hAnsi="Times New Roman"/>
          <w:sz w:val="24"/>
          <w:szCs w:val="24"/>
        </w:rPr>
      </w:pPr>
    </w:p>
    <w:p w:rsidR="000C639D" w:rsidRPr="0095594B" w:rsidRDefault="007804DD" w:rsidP="007804DD">
      <w:pPr>
        <w:pStyle w:val="Sinespaciado"/>
      </w:pPr>
      <w:r w:rsidRPr="0095594B">
        <w:rPr>
          <w:kern w:val="2"/>
          <w:lang w:eastAsia="es-MX"/>
        </w:rPr>
        <w:t xml:space="preserve">PRESIDENTA DIP. MARTHA AZUCENA CAMACHO REYNOSO. </w:t>
      </w:r>
      <w:r w:rsidR="000C639D" w:rsidRPr="0095594B">
        <w:t>Se registra la iniciativa y se remite a las Comisiones Legislativas de la Juventud y el Deporte y de Gobernación y Puntos Constitucionales.</w:t>
      </w:r>
    </w:p>
    <w:p w:rsidR="000C639D" w:rsidRPr="0095594B" w:rsidRDefault="000C639D" w:rsidP="000C639D">
      <w:pPr>
        <w:pStyle w:val="Sinespaciado"/>
        <w:ind w:firstLine="708"/>
      </w:pPr>
      <w:r w:rsidRPr="0095594B">
        <w:t>En cuanto al punto 23, la diputada Araceli Casasola Salazar presenta Punto de Acuerdo de Urgente y Obvia Resolución para exhortar respetuosamente a los 125 municipios del Estado de México a implementar y fortalecer las políticas públicas y acciones afirmativas para el control de la fauna canina y felina, en beneficio de la salud pública, la seguridad y el bienestar ciudadano, presentado por el diputado Omar Ortega Álvarez y la diputada Araceli Casasola, en nombre del Grupo Parlamentario del Partido de la Revolución Democrática.</w:t>
      </w:r>
    </w:p>
    <w:p w:rsidR="000C639D" w:rsidRPr="0095594B" w:rsidRDefault="000C639D" w:rsidP="000C639D">
      <w:pPr>
        <w:pStyle w:val="Sinespaciado"/>
      </w:pPr>
      <w:r w:rsidRPr="0095594B">
        <w:t xml:space="preserve">DIP. ARACELI CASASOLA SALAZAR. Gracias Presidenta. </w:t>
      </w:r>
    </w:p>
    <w:p w:rsidR="000C639D" w:rsidRPr="0095594B" w:rsidRDefault="000C639D" w:rsidP="000C639D">
      <w:pPr>
        <w:pStyle w:val="Sinespaciado"/>
        <w:ind w:firstLine="708"/>
      </w:pPr>
      <w:r w:rsidRPr="0095594B">
        <w:t>Con el permiso y la venia de mi Presidenta de esta Mesa, saludo con mucho respeto a las compañeras diputadas que representan la Mesa Directiva y saludo y un abrazo afectuoso a todos los compañeros diputados, diputadas, diputade de esta LXII Legislatura, saludo a los representantes de los medios de comunicación y, sobre todo, a quien nos siguen a través de las diferentes plataformas digitales.</w:t>
      </w:r>
    </w:p>
    <w:p w:rsidR="000C639D" w:rsidRPr="0095594B" w:rsidRDefault="000C639D" w:rsidP="000C639D">
      <w:pPr>
        <w:pStyle w:val="Sinespaciado"/>
        <w:ind w:firstLine="708"/>
      </w:pPr>
      <w:r w:rsidRPr="0095594B">
        <w:t>Quien suscribe este exhorto, la diputada Araceli Casasola Salazar y el diputado Omar Ortega Álvarez, en representación del Grupo del Partido de la Revolución Democrática, someto a consideración de este Honorable Congreso, la proposición con Punto de Acuerdo de Urgente y Obvia Resolución, para exhortar respetuosamente a los 125 municipios del Estado de México a implementar y fortalecer las políticas públicas y acciones afirmativas para el control de la fauna canina y felina en beneficio de la salud pública, la seguridad y el bienestar de los ciudadanos.</w:t>
      </w:r>
    </w:p>
    <w:p w:rsidR="000C639D" w:rsidRPr="0095594B" w:rsidRDefault="000C639D" w:rsidP="000C639D">
      <w:pPr>
        <w:pStyle w:val="Sinespaciado"/>
        <w:ind w:firstLine="708"/>
      </w:pPr>
      <w:r w:rsidRPr="0095594B">
        <w:t>Compañeras, compañeros diputados, en el Estado de México siguen los ataques de los perros callejeros y la serie de agresiones que ha generado alarma a nuestros vecinos, porque piden a las autoridades locales que ya tomen cartas en el asunto a fin de evitar este tipo de ataques.</w:t>
      </w:r>
    </w:p>
    <w:p w:rsidR="000C639D" w:rsidRPr="0095594B" w:rsidRDefault="000C639D" w:rsidP="000C639D">
      <w:pPr>
        <w:pStyle w:val="Sinespaciado"/>
        <w:ind w:firstLine="708"/>
      </w:pPr>
      <w:r w:rsidRPr="0095594B">
        <w:t xml:space="preserve">En los últimos días, estoy hablando de octubre y noviembre de este año, se han reportado una serie de agresiones de perros tanto solos, como en manadas en los Municipios de Huehuetoca, Ixtapaluca, Cuautitlán, Tecámac y Zumpango, tras incidentes que las autoridades locales han </w:t>
      </w:r>
      <w:r w:rsidRPr="0095594B">
        <w:lastRenderedPageBreak/>
        <w:t xml:space="preserve">intensificado las redadas contra los perros callejeros ¿Por qué hacerlo después de ya haber cobrado víctimas? Quiero manejar la tragedia que sucedió en la escuela de Huehuetoca el pasado 9 de octubre, una trabajadora de limpieza de 54 años de edad junto con 2 menores de 11 años de edad, fueron atacados por una decena de perros dentro de la Escuela Primaria “Simón Ramírez Rodríguez”, en el poblado de la Ex Hacienda de Jalpa, Huehuetoca, los perros no eran callejeros, sino vivían dentro del plantel educativo; sin embargo, actuaron como una jauría y mordieron a la mujer, quien horas más tarde perdió la vida, los menores resultaron con mordeduras en diferentes partes de su cuerpo. </w:t>
      </w:r>
    </w:p>
    <w:p w:rsidR="000C639D" w:rsidRPr="0095594B" w:rsidRDefault="000C639D" w:rsidP="000C639D">
      <w:pPr>
        <w:pStyle w:val="Sinespaciado"/>
        <w:ind w:firstLine="708"/>
      </w:pPr>
      <w:r w:rsidRPr="0095594B">
        <w:t>En el caso en Ixtapaluca, el pasado 8 de octubre, otra mujer fue atacada por perros callejeros mientras caminaba en la unidad habitacional Palma uno en Ixtapaluca, ahí se muestra un video donde hay 5 canes que comienzan a ladrarle y posteriormente a morderla hasta derribarla, si no fuera por el vecino que con su vehículo tocó la bocina, los ahuyenta y así pudo escapar la mujer ya malherida de este ataque.</w:t>
      </w:r>
    </w:p>
    <w:p w:rsidR="000C639D" w:rsidRPr="0095594B" w:rsidRDefault="000C639D" w:rsidP="000C639D">
      <w:pPr>
        <w:pStyle w:val="Sinespaciado"/>
        <w:ind w:firstLine="708"/>
      </w:pPr>
      <w:r w:rsidRPr="0095594B">
        <w:t xml:space="preserve">Lo mismo pasó en Cuautitlán Izcalli el pasado 7 de octubre y los vecinos en ese caso, también atacaron a otra mujer, los vecinos denunciaron a las autoridades que no es la primera vez que estos animales atacan a los pobladores; sin embargo, los reportes previos no habían sido ya atendidos por las autoridades locales. </w:t>
      </w:r>
    </w:p>
    <w:p w:rsidR="000C639D" w:rsidRPr="0095594B" w:rsidRDefault="000C639D" w:rsidP="000C639D">
      <w:pPr>
        <w:pStyle w:val="Sinespaciado"/>
        <w:ind w:firstLine="708"/>
      </w:pPr>
      <w:r w:rsidRPr="0095594B">
        <w:t>Y 2 muertes más en el municipio de Tecámac y Zumpango, el pasado 5 de octubre 2 hombres murieron</w:t>
      </w:r>
      <w:r w:rsidR="00826D45" w:rsidRPr="0095594B">
        <w:t>,</w:t>
      </w:r>
      <w:r w:rsidRPr="0095594B">
        <w:t xml:space="preserve"> el primer de</w:t>
      </w:r>
      <w:r w:rsidR="00F86EBE" w:rsidRPr="0095594B">
        <w:t>c</w:t>
      </w:r>
      <w:r w:rsidRPr="0095594B">
        <w:t>e</w:t>
      </w:r>
      <w:r w:rsidR="00F86EBE" w:rsidRPr="0095594B">
        <w:t>so</w:t>
      </w:r>
      <w:r w:rsidRPr="0095594B">
        <w:t xml:space="preserve"> ocurrió en el camino a las comunidades de San Pablo y San Marcos, donde vecinos encontraron a un hombre entre 27 y 30 años con múltiples lesiones ocasionadas por mordeduras y el otro hombre fue agredido en una jauría en la calle Benito Juárez y Zacatecas en el poblado de San Pablo </w:t>
      </w:r>
      <w:proofErr w:type="spellStart"/>
      <w:r w:rsidRPr="0095594B">
        <w:t>Tecalco</w:t>
      </w:r>
      <w:proofErr w:type="spellEnd"/>
      <w:r w:rsidRPr="0095594B">
        <w:t>.</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Esto es lo que a mí, este tipo de incidentes o este tipo de información que yo les traigo compañeros es lo que me orilla a mí a presentar este exhorto a los 125 municipios del Estado de México, bajo la siguiente:</w:t>
      </w:r>
    </w:p>
    <w:p w:rsidR="000C639D" w:rsidRPr="0095594B" w:rsidRDefault="000C639D" w:rsidP="000C639D">
      <w:pPr>
        <w:spacing w:after="0" w:line="240" w:lineRule="auto"/>
        <w:jc w:val="center"/>
        <w:rPr>
          <w:rFonts w:ascii="Times New Roman" w:hAnsi="Times New Roman" w:cs="Times New Roman"/>
          <w:sz w:val="24"/>
          <w:szCs w:val="24"/>
        </w:rPr>
      </w:pPr>
      <w:r w:rsidRPr="0095594B">
        <w:rPr>
          <w:rFonts w:ascii="Times New Roman" w:hAnsi="Times New Roman" w:cs="Times New Roman"/>
          <w:sz w:val="24"/>
          <w:szCs w:val="24"/>
        </w:rPr>
        <w:t>EXPOSICIÓN DE MOTIVOS</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 xml:space="preserve">La problemática de la fauna canina y felina en situación de calle y el manejo inadecuado de las mascotas domésticas representan un reto constante para la salud pública, la seguridad de los ciudadanos y el bienestar animal en nuestros municipios; por ello, en el marco de las atribuciones conferidas a nuestros, por el gobierno local, por la legislación estatal y en atención a las </w:t>
      </w:r>
      <w:r w:rsidR="00F86EBE" w:rsidRPr="0095594B">
        <w:rPr>
          <w:rFonts w:ascii="Times New Roman" w:hAnsi="Times New Roman" w:cs="Times New Roman"/>
          <w:sz w:val="24"/>
          <w:szCs w:val="24"/>
        </w:rPr>
        <w:t>legítimas</w:t>
      </w:r>
      <w:r w:rsidRPr="0095594B">
        <w:rPr>
          <w:rFonts w:ascii="Times New Roman" w:hAnsi="Times New Roman" w:cs="Times New Roman"/>
          <w:sz w:val="24"/>
          <w:szCs w:val="24"/>
        </w:rPr>
        <w:t xml:space="preserve"> demandas de la sociedad mexiquense, pues, se les exhorta de manera enfática y urgente a implementar y reforzar las siguientes acciones.</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Fortalecer los centros de control y bienestar animal o unidades equivalentes a fin de asegurar su operación digna y eficiente, apoyándolos con recursos humanos materiales, financieros necesarios para su correcto funcionamiento, un estricto apego a la Ley Protectora de Animales del Estado de México y al Reglamento del Libro Sexto del Código para la Biodiversidad del Estado de México.</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Garantizar el cumplimiento de las obligaciones de establecer el Consejo Municipal y Protección y Bienestar Animal y de la Unidad de Control y Bienestar Animal, dotado esta última con personal capacitado y con el perfil profesional adecuado, esta acción es vital ya que estas unidades operativas son las herramientas fundamentales para implementar los programas que eviten la proliferación de los perros en la vía pública y su consecuente conversión de este tipo de jaurías como les llamamos.</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Con la finalidad de promover una tendencia responsable y el control poblacional de los caninos se debe intensificar esas campañas permanentes gratuitas y masivas de esterilización canina y felina, como la medida más efectiva y ética para el control de la sobrepoblación con metas claras de reducción conforme a lo que estipula la ley.</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 xml:space="preserve">Asimismo, y en concordancia con la estrategia que está utilizando ahorita nuestra Gobernadora, la famosa Estrategia CERA necesitamos implementar, que está implementando el </w:t>
      </w:r>
      <w:r w:rsidRPr="0095594B">
        <w:rPr>
          <w:rFonts w:ascii="Times New Roman" w:hAnsi="Times New Roman" w:cs="Times New Roman"/>
          <w:sz w:val="24"/>
          <w:szCs w:val="24"/>
        </w:rPr>
        <w:lastRenderedPageBreak/>
        <w:t>actual gobierno, pues, se tienen que impulsar campañas de concientización y educación ciudadana sobre la tendencia responsable de las mascotas, que incluya la obligación del uso de correa y en su caso, bozal en la vía pública, la recolección de heces y la identificación de los animales, y para garantizar la salud pública y la seguridad ciudadana se necesita reforzar las campañas de vacunación, antirrábica y la desparasitación, asegurando una alta cobertura en todo el territorio estatal.</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También se debe atender y sancionar de manera rigurosa los casos de maltrato, crueldad y abandono animal, así como las omisiones o falta de tutores responsables conforme los reglamentos municipales y la normatividad estatal.</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Yo les decía en el caso de Neza hace un mes compañeros, fue agredida una señora y llamó de inmediato a la policía municipal y entonces el can no tenía ni placa, ni dueño, ni referente, entonces lo que hacen los policías es llevarlo en este caso de Neza que se llama zoonosis y entonces yo me pregunto qué va a pasar con ese animal, si nadie lo va ir a reclamar, tiene el antecedente de haber agredido al ciudadano y entonces en ese contexto yo quisiera implementar programas de adopción responsable, que permita reubicar a los animales de compañía en situación de abandono en lugar de recurrir a métodos de control poblacional crueles e ineficientes que existen en nuestros municipios.</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La efectiva gestión y control de la fauna canina y felina no es sólo una cuestión de salubridad y de seguridad, sino un reflejo del nivel de civilidad y respeto por la vida de nuestra comunidad, el esfuerzo coordinado de los 125 municipios es indispensable para mejorar la calidad de vida de todos los mexiquenses.</w:t>
      </w:r>
    </w:p>
    <w:p w:rsidR="000C639D" w:rsidRPr="0095594B" w:rsidRDefault="000C639D" w:rsidP="000C639D">
      <w:pPr>
        <w:spacing w:after="0" w:line="240" w:lineRule="auto"/>
        <w:jc w:val="both"/>
        <w:rPr>
          <w:rFonts w:ascii="Times New Roman" w:hAnsi="Times New Roman" w:cs="Times New Roman"/>
          <w:sz w:val="24"/>
          <w:szCs w:val="24"/>
        </w:rPr>
      </w:pPr>
      <w:r w:rsidRPr="0095594B">
        <w:rPr>
          <w:rFonts w:ascii="Times New Roman" w:hAnsi="Times New Roman" w:cs="Times New Roman"/>
          <w:sz w:val="24"/>
          <w:szCs w:val="24"/>
        </w:rPr>
        <w:tab/>
        <w:t>Derivado de lo anterior, el objetivo fundamental de este exhorto es garantizar el bienestar, la protección y la seguridad de la población mexiquense, reduciendo riesgos sanitarios, así como reafirmar el compromiso de los gobiernos municipales con una gestión ambiental, la fauna de compañía y la salud pública basada en la ética y el humanitarismo.</w:t>
      </w:r>
    </w:p>
    <w:p w:rsidR="000C639D" w:rsidRPr="0095594B" w:rsidRDefault="000C639D" w:rsidP="000C639D">
      <w:pPr>
        <w:spacing w:after="0" w:line="240" w:lineRule="auto"/>
        <w:jc w:val="both"/>
        <w:rPr>
          <w:rFonts w:ascii="Times New Roman" w:eastAsia="Times New Roman" w:hAnsi="Times New Roman" w:cs="Times New Roman"/>
          <w:sz w:val="24"/>
          <w:szCs w:val="24"/>
          <w:lang w:eastAsia="es-MX"/>
        </w:rPr>
      </w:pPr>
      <w:r w:rsidRPr="0095594B">
        <w:rPr>
          <w:rFonts w:ascii="Times New Roman" w:hAnsi="Times New Roman" w:cs="Times New Roman"/>
          <w:sz w:val="24"/>
          <w:szCs w:val="24"/>
        </w:rPr>
        <w:tab/>
        <w:t>Por lo anterior expuesto,</w:t>
      </w:r>
      <w:r w:rsidRPr="0095594B">
        <w:rPr>
          <w:rFonts w:ascii="Times New Roman" w:eastAsia="Times New Roman" w:hAnsi="Times New Roman" w:cs="Times New Roman"/>
          <w:sz w:val="24"/>
          <w:szCs w:val="24"/>
          <w:lang w:eastAsia="es-MX"/>
        </w:rPr>
        <w:t xml:space="preserve"> pongo a consideración de este Honorable Congreso del Estado de México, este presente punto de acuerdo de urgente y obvia resolución, para que de considerarlo procedente se aprueben sus términos y se exhorte respetuosamente a los 125 municipios del Estado de México a tomar medidas urgentes en beneficio de los seres humanos y su convivencia con los seres sintientes, derivado de los constantes ataques que ha ocasionado y que han terminado con la vida de las personas.</w:t>
      </w:r>
    </w:p>
    <w:p w:rsidR="000C639D" w:rsidRPr="0095594B" w:rsidRDefault="000C639D" w:rsidP="000C639D">
      <w:pPr>
        <w:pStyle w:val="Sinespaciado"/>
        <w:ind w:firstLine="708"/>
        <w:rPr>
          <w:rFonts w:eastAsia="Times New Roman"/>
          <w:lang w:eastAsia="es-MX"/>
        </w:rPr>
      </w:pPr>
      <w:r w:rsidRPr="0095594B">
        <w:rPr>
          <w:rFonts w:eastAsia="Times New Roman"/>
          <w:lang w:eastAsia="es-MX"/>
        </w:rPr>
        <w:t>Es cuanto Presidenta.</w:t>
      </w:r>
    </w:p>
    <w:p w:rsidR="0081683B" w:rsidRPr="0095594B" w:rsidRDefault="0081683B" w:rsidP="00E56B7B">
      <w:pPr>
        <w:pStyle w:val="Sinespaciado"/>
      </w:pPr>
    </w:p>
    <w:p w:rsidR="0081683B" w:rsidRPr="0095594B" w:rsidRDefault="0081683B" w:rsidP="00E56B7B">
      <w:pPr>
        <w:spacing w:after="0" w:line="240" w:lineRule="auto"/>
        <w:jc w:val="center"/>
        <w:rPr>
          <w:rFonts w:ascii="Times New Roman" w:hAnsi="Times New Roman"/>
          <w:i/>
          <w:sz w:val="24"/>
          <w:szCs w:val="24"/>
        </w:rPr>
      </w:pPr>
      <w:r w:rsidRPr="0095594B">
        <w:rPr>
          <w:rFonts w:ascii="Times New Roman" w:hAnsi="Times New Roman"/>
          <w:i/>
          <w:sz w:val="24"/>
          <w:szCs w:val="24"/>
        </w:rPr>
        <w:t>(Se inserta documento)</w:t>
      </w:r>
    </w:p>
    <w:p w:rsidR="0081683B" w:rsidRPr="0095594B" w:rsidRDefault="0081683B" w:rsidP="00E56B7B">
      <w:pPr>
        <w:spacing w:after="0" w:line="240" w:lineRule="auto"/>
        <w:jc w:val="center"/>
        <w:rPr>
          <w:rFonts w:ascii="Times New Roman" w:hAnsi="Times New Roman"/>
          <w:sz w:val="24"/>
          <w:szCs w:val="24"/>
        </w:rPr>
      </w:pPr>
    </w:p>
    <w:p w:rsidR="0081683B" w:rsidRPr="0095594B" w:rsidRDefault="0081683B" w:rsidP="0081683B">
      <w:pPr>
        <w:spacing w:after="0" w:line="240" w:lineRule="auto"/>
        <w:jc w:val="center"/>
        <w:rPr>
          <w:rFonts w:ascii="Times New Roman" w:eastAsia="Calibri" w:hAnsi="Times New Roman" w:cs="Times New Roman"/>
          <w:sz w:val="24"/>
          <w:szCs w:val="24"/>
        </w:rPr>
      </w:pPr>
      <w:r w:rsidRPr="0095594B">
        <w:rPr>
          <w:rFonts w:ascii="Times New Roman" w:eastAsia="Calibri" w:hAnsi="Times New Roman" w:cs="Times New Roman"/>
          <w:b/>
          <w:sz w:val="24"/>
          <w:szCs w:val="24"/>
        </w:rPr>
        <w:t>“2025. Bicentenario de la Vida Municipal en el Estado de México”.</w:t>
      </w:r>
    </w:p>
    <w:p w:rsidR="0081683B" w:rsidRPr="0095594B"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right"/>
        <w:rPr>
          <w:rFonts w:ascii="Times New Roman" w:eastAsia="Calibri" w:hAnsi="Times New Roman" w:cs="Times New Roman"/>
          <w:sz w:val="24"/>
          <w:szCs w:val="24"/>
        </w:rPr>
      </w:pPr>
      <w:r w:rsidRPr="007A27A5">
        <w:rPr>
          <w:rFonts w:ascii="Times New Roman" w:eastAsia="Calibri" w:hAnsi="Times New Roman" w:cs="Times New Roman"/>
          <w:b/>
          <w:sz w:val="24"/>
          <w:szCs w:val="24"/>
        </w:rPr>
        <w:t>Toluca de Lerdo, Méx., a 19 de noviembre de 2025.</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CC. DIPUTADAS Y DIPUTADOS INTEGRANTES DE LA MESA DIRECTIVA</w:t>
      </w:r>
    </w:p>
    <w:p w:rsidR="0081683B" w:rsidRPr="007A27A5" w:rsidRDefault="0081683B" w:rsidP="0081683B">
      <w:pPr>
        <w:spacing w:after="0" w:line="240" w:lineRule="auto"/>
        <w:rPr>
          <w:rFonts w:ascii="Times New Roman" w:eastAsia="Calibri" w:hAnsi="Times New Roman" w:cs="Times New Roman"/>
          <w:b/>
          <w:sz w:val="24"/>
          <w:szCs w:val="24"/>
        </w:rPr>
      </w:pPr>
      <w:r w:rsidRPr="007A27A5">
        <w:rPr>
          <w:rFonts w:ascii="Times New Roman" w:eastAsia="Calibri" w:hAnsi="Times New Roman" w:cs="Times New Roman"/>
          <w:b/>
          <w:sz w:val="24"/>
          <w:szCs w:val="24"/>
        </w:rPr>
        <w:t>DE LA H. LXII LEGISLATURA DEL ESTADO LIBRE Y SOBERANO DE MÉXICO.</w:t>
      </w:r>
    </w:p>
    <w:p w:rsidR="0081683B" w:rsidRPr="007A27A5" w:rsidRDefault="0081683B" w:rsidP="0081683B">
      <w:pPr>
        <w:spacing w:after="0" w:line="240" w:lineRule="auto"/>
        <w:rPr>
          <w:rFonts w:ascii="Times New Roman" w:eastAsia="Calibri" w:hAnsi="Times New Roman" w:cs="Times New Roman"/>
          <w:sz w:val="24"/>
          <w:szCs w:val="24"/>
        </w:rPr>
      </w:pPr>
      <w:r w:rsidRPr="007A27A5">
        <w:rPr>
          <w:rFonts w:ascii="Times New Roman" w:eastAsia="Calibri" w:hAnsi="Times New Roman" w:cs="Times New Roman"/>
          <w:b/>
          <w:sz w:val="24"/>
          <w:szCs w:val="24"/>
        </w:rPr>
        <w:t>P R E S E N T E 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7A27A5">
        <w:rPr>
          <w:rFonts w:ascii="Times New Roman" w:eastAsia="Calibri" w:hAnsi="Times New Roman" w:cs="Times New Roman"/>
          <w:b/>
          <w:sz w:val="24"/>
          <w:szCs w:val="24"/>
        </w:rPr>
        <w:t>Diputada Araceli Casasola Salazar y Diputado Omar Ortega Álvarez</w:t>
      </w:r>
      <w:r w:rsidRPr="007A27A5">
        <w:rPr>
          <w:rFonts w:ascii="Times New Roman" w:eastAsia="Calibri" w:hAnsi="Times New Roman" w:cs="Times New Roman"/>
          <w:sz w:val="24"/>
          <w:szCs w:val="24"/>
        </w:rPr>
        <w:t xml:space="preserve">, en representación del Grupo Parlamentario del Partido de la Revolución Democrática, sometemos a consideración de esta Honorable Asamblea la presente </w:t>
      </w:r>
      <w:r w:rsidRPr="007A27A5">
        <w:rPr>
          <w:rFonts w:ascii="Times New Roman" w:eastAsia="Calibri" w:hAnsi="Times New Roman" w:cs="Times New Roman"/>
          <w:b/>
          <w:sz w:val="24"/>
          <w:szCs w:val="24"/>
        </w:rPr>
        <w:t xml:space="preserve">Proposición con Punto de Acuerdo de Urgente y Obvia Resolución para </w:t>
      </w:r>
      <w:r w:rsidRPr="007A27A5">
        <w:rPr>
          <w:rFonts w:ascii="Times New Roman" w:eastAsia="Calibri" w:hAnsi="Times New Roman" w:cs="Times New Roman"/>
          <w:b/>
          <w:sz w:val="24"/>
          <w:szCs w:val="24"/>
        </w:rPr>
        <w:lastRenderedPageBreak/>
        <w:t>exhortar respetuosamente a los 125 municipios del Estado de México, a implementar y fortalecer las políticas públicas y acciones afirmativas para el control de la fauna canina y felina en beneficio de la salud pública, la seguridad y el bienestar ciudadano</w:t>
      </w:r>
      <w:r w:rsidRPr="007A27A5">
        <w:rPr>
          <w:rFonts w:ascii="Times New Roman" w:eastAsia="Calibri" w:hAnsi="Times New Roman" w:cs="Times New Roman"/>
          <w:sz w:val="24"/>
          <w:szCs w:val="24"/>
        </w:rPr>
        <w:t>, al tenor de la siguiente:</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EXPOSICIÓN DE MOTIVOS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La problemática de la fauna canina y felina en situación de calle y el manejo inadecuado de las mascotas domésticas representan un reto constante para la salud pública, la seguridad de los ciudadanos y el bienestar animal en nuestros municipios. Por ello, en el marco de las atribuciones conferidas a los gobiernos locales por la legislación estatal, y en atención a las legítimas demandas de la sociedad mexiquense, se les exhorta de manera enfática y urgente a implementar y reforzar las siguientes acciones: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Fortalecer los Centros de Control y Bienestar Animal o Unidades Equivalentes a fin de asegurar su operación digna y eficiente, proveyendo los recursos humanos, materiales y financieros necesarios para su correcto funcionamiento, en estricto apego a la Ley Protectora de Animales del Estado de México y el Reglamento del Libro Sexto del Código para la Biodiversidad del Estado de México.</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Garantizar el cumplimiento de las obligaciones de establecer el Consejo Municipal de Protección y Bienestar Animal y la Unidad de Control y Bienestar Animal, dotando a esta última con personal capacitado y con el perfil profesional requerido.</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Esta acción es vital, ya que estas unidades operativas son la herramienta fundamental para implementar los programas que eviten la proliferación de perros en la vía pública y su consecuente conversión en jaurías.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Con la finalidad de promover una tenencia responsable y el control poblacional de los caninos, se deben intensificar las campañas permanentes, gratuitas y masivas de esterilización canina y felina, como la medida más efectiva y ética para el control de la sobrepoblación, con metas claras de reducción conforme a lo que estipula la ley,</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Así mismo, se tienen que impulsar campañas de concientización y educación ciudadana sobre la tenencia responsable de mascotas, que incluyan la obligatoriedad del uso de correa y, en su caso, bozal en la vía pública, la recolección de heces y la identificación de los animales.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Y para garantizar la salud pública y la seguridad ciudadana, se necesitan reforzar las campañas de vacunación antirrábica y desparasitación, asegurando una alta cobertura en todo el territorio municipal.</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También se debe atender y sancionar de manera rigurosa los casos de maltrato, crueldad y abandono animal, así como las omisiones o faltas de tutores responsables, conforme a los reglamentos municipales y a la normativa estatal.</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Y dentro de este mismo contexto, se tienen que implementar programas de adopción responsables que permitan reubicar a los animales de compañía en situación de abandono, en lugar de recurrir a métodos de control poblacional crueles o ineficaces.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lastRenderedPageBreak/>
        <w:t>La efectiva gestión y control de la fauna canina y felina no es solo una cuestión de salubridad y seguridad, sino un reflejo del nivel de civilidad y respeto por la vida en nuestra comunidad. El esfuerzo coordinado de los 125 municipios es indispensable para mejorar la calidad de vida de todos los mexiquenses.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Recalcamos, que el objetivo fundamental de este EXHORTO es garantizar el bienestar, la protección y la seguridad de la población mexiquense reduciendo riesgos sanitarios. Así como, reafirmar el compromiso de los gobiernos municipales con una gestión ambiental, la fauna de compañía y la salud pública basada en la ética y el humanitarismo.</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Por lo anteriormente expuesto, ponemos a consideración de este H. Congreso del Estado de México, el presente punto de acuerdo de urgente y obvia resolución para que, de considerarlo procedente se apruebe en sus términos y se exhorte respetuosamente a los 125 municipios del Estado de México a tomar medidas urgentes en beneficio de los seres humanos y su convivencia con los seres sintientes, derivado de los constantes ataques que en ocasiones han terminado con la vida de las personas.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A T E N T A M E N T E</w:t>
      </w:r>
    </w:p>
    <w:p w:rsidR="0081683B" w:rsidRPr="007A27A5" w:rsidRDefault="0081683B" w:rsidP="0081683B">
      <w:pPr>
        <w:spacing w:after="0" w:line="240" w:lineRule="auto"/>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GRUPO PARLAMENTARIO DEL PARTIDO DE LA REVOLUCIÓN DEMOCRÁTICA</w:t>
      </w:r>
    </w:p>
    <w:tbl>
      <w:tblPr>
        <w:tblStyle w:val="Tablaconcuadrcul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635"/>
      </w:tblGrid>
      <w:tr w:rsidR="0081683B" w:rsidRPr="007A27A5" w:rsidTr="00E56B7B">
        <w:tc>
          <w:tcPr>
            <w:tcW w:w="4635" w:type="dxa"/>
          </w:tcPr>
          <w:p w:rsidR="0081683B" w:rsidRPr="007A27A5" w:rsidRDefault="0081683B" w:rsidP="0081683B">
            <w:pPr>
              <w:spacing w:line="240" w:lineRule="auto"/>
              <w:jc w:val="center"/>
              <w:rPr>
                <w:b/>
                <w:sz w:val="24"/>
                <w:szCs w:val="24"/>
                <w:lang w:val="es-MX"/>
              </w:rPr>
            </w:pPr>
            <w:r w:rsidRPr="007A27A5">
              <w:rPr>
                <w:b/>
                <w:sz w:val="24"/>
                <w:szCs w:val="24"/>
                <w:lang w:val="es-MX"/>
              </w:rPr>
              <w:t>DIP. ARACELI CASASOLA SALAZAR</w:t>
            </w:r>
          </w:p>
        </w:tc>
        <w:tc>
          <w:tcPr>
            <w:tcW w:w="4635" w:type="dxa"/>
          </w:tcPr>
          <w:p w:rsidR="0081683B" w:rsidRPr="007A27A5" w:rsidRDefault="0081683B" w:rsidP="0081683B">
            <w:pPr>
              <w:spacing w:line="240" w:lineRule="auto"/>
              <w:jc w:val="center"/>
              <w:rPr>
                <w:b/>
                <w:sz w:val="24"/>
                <w:szCs w:val="24"/>
                <w:lang w:val="es-MX"/>
              </w:rPr>
            </w:pPr>
            <w:r w:rsidRPr="007A27A5">
              <w:rPr>
                <w:rFonts w:eastAsia="Calibri"/>
                <w:b/>
                <w:sz w:val="24"/>
                <w:szCs w:val="24"/>
                <w:lang w:val="es-MX"/>
              </w:rPr>
              <w:t>DIP. OMAR ORTEGA ÁLVAREZ</w:t>
            </w:r>
          </w:p>
        </w:tc>
      </w:tr>
    </w:tbl>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rPr>
          <w:rFonts w:ascii="Times New Roman" w:eastAsia="Calibri" w:hAnsi="Times New Roman" w:cs="Times New Roman"/>
          <w:sz w:val="24"/>
          <w:szCs w:val="24"/>
        </w:rPr>
      </w:pPr>
      <w:r w:rsidRPr="007A27A5">
        <w:rPr>
          <w:rFonts w:ascii="Times New Roman" w:eastAsia="Calibri" w:hAnsi="Times New Roman" w:cs="Times New Roman"/>
          <w:b/>
          <w:sz w:val="24"/>
          <w:szCs w:val="24"/>
        </w:rPr>
        <w:t xml:space="preserve">DECRETO NÚMERO: </w:t>
      </w:r>
      <w:r w:rsidRPr="007A27A5">
        <w:rPr>
          <w:rFonts w:ascii="Times New Roman" w:eastAsia="Calibri" w:hAnsi="Times New Roman" w:cs="Times New Roman"/>
          <w:b/>
          <w:sz w:val="24"/>
          <w:szCs w:val="24"/>
          <w:u w:val="single" w:color="000000"/>
        </w:rPr>
        <w:t xml:space="preserve"> </w:t>
      </w:r>
      <w:r w:rsidRPr="007A27A5">
        <w:rPr>
          <w:rFonts w:ascii="Times New Roman" w:eastAsia="Calibri" w:hAnsi="Times New Roman" w:cs="Times New Roman"/>
          <w:b/>
          <w:sz w:val="24"/>
          <w:szCs w:val="24"/>
          <w:u w:val="single" w:color="000000"/>
        </w:rPr>
        <w:tab/>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LA H. "LXII" LEGISLATURA DEL CONGRESO DEL ESTADO LIBRE Y SOBERANO DE MÉXICO, EN EJERCICIO DE LAS FACULTADES QUE LE CONFIEREN LOS ARTÍCULOS 57 Y 61 DE LA CONSTITUCIÓN POLÍTICA DEL ESTADO LIBRE Y SOBERANO DE MÉXICO Y 38, FRACCIÓN IV, DE LA LEY ORGÁNICA DEL PODER LEGISLATIVO DEL ESTADO LIBRE Y SOBERANO DE MÉXICO, HA TENIDO A BIEN EMITIR EL SIGUIENTE:</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PUNTO DE ACUERDO DE URGENTE Y OBVIA RESOLUCIÓN</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ARTICULO UNICO. Se exhorta respetuosamente a los 125 municipios del Estado de México, a implementar y fortalecer las políticas públicas y acciones afirmativas para el control de la fauna canina y felina en beneficio de la salud pública, la seguridad y el bienestar ciudadano.</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center"/>
        <w:rPr>
          <w:rFonts w:ascii="Times New Roman" w:eastAsia="Calibri" w:hAnsi="Times New Roman" w:cs="Times New Roman"/>
          <w:sz w:val="24"/>
          <w:szCs w:val="24"/>
        </w:rPr>
      </w:pPr>
      <w:r w:rsidRPr="007A27A5">
        <w:rPr>
          <w:rFonts w:ascii="Times New Roman" w:eastAsia="Calibri" w:hAnsi="Times New Roman" w:cs="Times New Roman"/>
          <w:b/>
          <w:sz w:val="24"/>
          <w:szCs w:val="24"/>
        </w:rPr>
        <w:t>T R A N S I T O R I O S</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 xml:space="preserve">ARTÍCULO PRIMERO. </w:t>
      </w:r>
      <w:r w:rsidRPr="007A27A5">
        <w:rPr>
          <w:rFonts w:ascii="Times New Roman" w:eastAsia="Calibri" w:hAnsi="Times New Roman" w:cs="Times New Roman"/>
          <w:sz w:val="24"/>
          <w:szCs w:val="24"/>
        </w:rPr>
        <w:t>Publíquese el presente Punto de Acuerdo de urgente y obvia resolución en el Periódico Oficial “Gaceta del Gobierno” del Estado de México.</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7A27A5"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b/>
          <w:sz w:val="24"/>
          <w:szCs w:val="24"/>
        </w:rPr>
        <w:t xml:space="preserve">ARTÍCULO SEGUNDO. </w:t>
      </w:r>
      <w:r w:rsidRPr="007A27A5">
        <w:rPr>
          <w:rFonts w:ascii="Times New Roman" w:eastAsia="Calibri" w:hAnsi="Times New Roman" w:cs="Times New Roman"/>
          <w:sz w:val="24"/>
          <w:szCs w:val="24"/>
        </w:rPr>
        <w:t>El presente Punto de Acuerdo de urgente y obvia resolución entrará en vigor el día siguiente al de su publicación en el Periódico Oficial “Gaceta del Gobierno” del Estado de México.</w:t>
      </w:r>
    </w:p>
    <w:p w:rsidR="0081683B" w:rsidRPr="007A27A5" w:rsidRDefault="0081683B" w:rsidP="0081683B">
      <w:pPr>
        <w:spacing w:after="0" w:line="240" w:lineRule="auto"/>
        <w:rPr>
          <w:rFonts w:ascii="Times New Roman" w:eastAsia="Times New Roman" w:hAnsi="Times New Roman" w:cs="Times New Roman"/>
          <w:sz w:val="24"/>
          <w:szCs w:val="24"/>
        </w:rPr>
      </w:pPr>
    </w:p>
    <w:p w:rsidR="0081683B" w:rsidRPr="003918AB" w:rsidRDefault="0081683B" w:rsidP="0081683B">
      <w:pPr>
        <w:spacing w:after="0" w:line="240" w:lineRule="auto"/>
        <w:jc w:val="both"/>
        <w:rPr>
          <w:rFonts w:ascii="Times New Roman" w:eastAsia="Calibri" w:hAnsi="Times New Roman" w:cs="Times New Roman"/>
          <w:sz w:val="24"/>
          <w:szCs w:val="24"/>
        </w:rPr>
      </w:pPr>
      <w:r w:rsidRPr="007A27A5">
        <w:rPr>
          <w:rFonts w:ascii="Times New Roman" w:eastAsia="Calibri" w:hAnsi="Times New Roman" w:cs="Times New Roman"/>
          <w:sz w:val="24"/>
          <w:szCs w:val="24"/>
        </w:rPr>
        <w:t xml:space="preserve">La persona </w:t>
      </w:r>
      <w:r w:rsidRPr="003918AB">
        <w:rPr>
          <w:rFonts w:ascii="Times New Roman" w:eastAsia="Calibri" w:hAnsi="Times New Roman" w:cs="Times New Roman"/>
          <w:sz w:val="24"/>
          <w:szCs w:val="24"/>
        </w:rPr>
        <w:t>titular del Poder Ejecutivo lo tendrá por entendido, haciendo que se publique y se cumpla.</w:t>
      </w:r>
    </w:p>
    <w:p w:rsidR="0081683B" w:rsidRPr="003918AB" w:rsidRDefault="0081683B" w:rsidP="0081683B">
      <w:pPr>
        <w:spacing w:after="0" w:line="240" w:lineRule="auto"/>
        <w:rPr>
          <w:rFonts w:ascii="Times New Roman" w:eastAsia="Times New Roman" w:hAnsi="Times New Roman" w:cs="Times New Roman"/>
          <w:sz w:val="24"/>
          <w:szCs w:val="24"/>
        </w:rPr>
      </w:pPr>
    </w:p>
    <w:p w:rsidR="0081683B" w:rsidRPr="003918AB" w:rsidRDefault="0081683B" w:rsidP="0081683B">
      <w:pPr>
        <w:spacing w:after="0" w:line="240" w:lineRule="auto"/>
        <w:jc w:val="both"/>
        <w:rPr>
          <w:rFonts w:ascii="Times New Roman" w:eastAsia="Calibri" w:hAnsi="Times New Roman" w:cs="Times New Roman"/>
          <w:sz w:val="24"/>
          <w:szCs w:val="24"/>
        </w:rPr>
      </w:pPr>
      <w:r w:rsidRPr="003918AB">
        <w:rPr>
          <w:rFonts w:ascii="Times New Roman" w:eastAsia="Calibri" w:hAnsi="Times New Roman" w:cs="Times New Roman"/>
          <w:sz w:val="24"/>
          <w:szCs w:val="24"/>
        </w:rPr>
        <w:lastRenderedPageBreak/>
        <w:t xml:space="preserve">Dado en el Palacio del Poder Legislativo en la Ciudad de Toluca, Capital del Estado de México, a los días </w:t>
      </w:r>
      <w:r w:rsidRPr="003918AB">
        <w:rPr>
          <w:rFonts w:ascii="Times New Roman" w:eastAsia="Calibri" w:hAnsi="Times New Roman" w:cs="Times New Roman"/>
          <w:sz w:val="24"/>
          <w:szCs w:val="24"/>
          <w:u w:val="single" w:color="000000"/>
        </w:rPr>
        <w:t xml:space="preserve">    </w:t>
      </w:r>
      <w:r w:rsidRPr="003918AB">
        <w:rPr>
          <w:rFonts w:ascii="Times New Roman" w:eastAsia="Calibri" w:hAnsi="Times New Roman" w:cs="Times New Roman"/>
          <w:sz w:val="24"/>
          <w:szCs w:val="24"/>
        </w:rPr>
        <w:t xml:space="preserve"> del mes de </w:t>
      </w:r>
      <w:r w:rsidRPr="003918AB">
        <w:rPr>
          <w:rFonts w:ascii="Times New Roman" w:eastAsia="Calibri" w:hAnsi="Times New Roman" w:cs="Times New Roman"/>
          <w:sz w:val="24"/>
          <w:szCs w:val="24"/>
          <w:u w:val="single" w:color="000000"/>
        </w:rPr>
        <w:t xml:space="preserve">      </w:t>
      </w:r>
      <w:r w:rsidRPr="003918AB">
        <w:rPr>
          <w:rFonts w:ascii="Times New Roman" w:eastAsia="Calibri" w:hAnsi="Times New Roman" w:cs="Times New Roman"/>
          <w:sz w:val="24"/>
          <w:szCs w:val="24"/>
        </w:rPr>
        <w:t xml:space="preserve"> </w:t>
      </w:r>
      <w:proofErr w:type="spellStart"/>
      <w:r w:rsidRPr="003918AB">
        <w:rPr>
          <w:rFonts w:ascii="Times New Roman" w:eastAsia="Calibri" w:hAnsi="Times New Roman" w:cs="Times New Roman"/>
          <w:sz w:val="24"/>
          <w:szCs w:val="24"/>
        </w:rPr>
        <w:t>de</w:t>
      </w:r>
      <w:proofErr w:type="spellEnd"/>
      <w:r w:rsidRPr="003918AB">
        <w:rPr>
          <w:rFonts w:ascii="Times New Roman" w:eastAsia="Calibri" w:hAnsi="Times New Roman" w:cs="Times New Roman"/>
          <w:sz w:val="24"/>
          <w:szCs w:val="24"/>
        </w:rPr>
        <w:t xml:space="preserve"> dos mil veinticinco.</w:t>
      </w:r>
    </w:p>
    <w:p w:rsidR="0081683B" w:rsidRPr="003918AB" w:rsidRDefault="0081683B" w:rsidP="00E56B7B">
      <w:pPr>
        <w:spacing w:after="0" w:line="240" w:lineRule="auto"/>
        <w:jc w:val="center"/>
        <w:rPr>
          <w:rFonts w:ascii="Times New Roman" w:hAnsi="Times New Roman"/>
          <w:sz w:val="24"/>
          <w:szCs w:val="24"/>
        </w:rPr>
      </w:pPr>
    </w:p>
    <w:p w:rsidR="0081683B" w:rsidRPr="003918AB" w:rsidRDefault="0081683B" w:rsidP="00E56B7B">
      <w:pPr>
        <w:spacing w:after="0" w:line="240" w:lineRule="auto"/>
        <w:jc w:val="center"/>
        <w:rPr>
          <w:rFonts w:ascii="Times New Roman" w:hAnsi="Times New Roman"/>
          <w:i/>
          <w:sz w:val="24"/>
          <w:szCs w:val="24"/>
        </w:rPr>
      </w:pPr>
      <w:r w:rsidRPr="003918AB">
        <w:rPr>
          <w:rFonts w:ascii="Times New Roman" w:hAnsi="Times New Roman"/>
          <w:i/>
          <w:sz w:val="24"/>
          <w:szCs w:val="24"/>
        </w:rPr>
        <w:t>(Fin del documento)</w:t>
      </w:r>
    </w:p>
    <w:p w:rsidR="0081683B" w:rsidRPr="003918AB" w:rsidRDefault="0081683B" w:rsidP="00E56B7B">
      <w:pPr>
        <w:spacing w:after="0" w:line="240" w:lineRule="auto"/>
        <w:jc w:val="center"/>
        <w:rPr>
          <w:rFonts w:ascii="Times New Roman" w:hAnsi="Times New Roman"/>
          <w:sz w:val="24"/>
          <w:szCs w:val="24"/>
        </w:rPr>
      </w:pPr>
    </w:p>
    <w:p w:rsidR="000C639D" w:rsidRPr="003918AB" w:rsidRDefault="000C639D" w:rsidP="000C639D">
      <w:pPr>
        <w:pStyle w:val="Sinespaciado"/>
        <w:rPr>
          <w:rFonts w:eastAsia="Times New Roman"/>
          <w:lang w:eastAsia="es-MX"/>
        </w:rPr>
      </w:pPr>
      <w:r w:rsidRPr="003918AB">
        <w:rPr>
          <w:rFonts w:eastAsia="Times New Roman"/>
          <w:lang w:eastAsia="es-MX"/>
        </w:rPr>
        <w:t>PRESIDENTA DIP. MARTHA AZUCENA CAMACHO REYNOSO. Gracias diputada Araceli Casasola Salazar.</w:t>
      </w:r>
    </w:p>
    <w:p w:rsidR="000C639D" w:rsidRPr="003918AB" w:rsidRDefault="000C639D" w:rsidP="000C639D">
      <w:pPr>
        <w:pStyle w:val="Sinespaciado"/>
        <w:ind w:firstLine="708"/>
        <w:rPr>
          <w:rFonts w:eastAsia="Times New Roman"/>
          <w:lang w:eastAsia="es-MX"/>
        </w:rPr>
      </w:pPr>
      <w:r w:rsidRPr="003918AB">
        <w:rPr>
          <w:rFonts w:eastAsia="Times New Roman"/>
          <w:lang w:eastAsia="es-MX"/>
        </w:rPr>
        <w:t>Con sustento en el artículo 55 de la Constitución Política del Estado Libre y Soberano de México, someto a la aprobación de esta Legislatura la propuesta de dispensa de trámite del punto de acuerdo y consulto si alguien desea hacer uso de la palabra.</w:t>
      </w:r>
    </w:p>
    <w:p w:rsidR="000C639D" w:rsidRPr="003918AB" w:rsidRDefault="000C639D" w:rsidP="000C639D">
      <w:pPr>
        <w:pStyle w:val="Sinespaciado"/>
        <w:ind w:firstLine="708"/>
        <w:rPr>
          <w:rFonts w:eastAsia="Times New Roman"/>
          <w:lang w:eastAsia="es-MX"/>
        </w:rPr>
      </w:pPr>
      <w:r w:rsidRPr="003918AB">
        <w:rPr>
          <w:rFonts w:eastAsia="Times New Roman"/>
          <w:lang w:eastAsia="es-MX"/>
        </w:rPr>
        <w:t>Pido a quienes estén por la dispensa del trámite de dictamen, se sirva levantar la mano. ¿En contra? ¿En abstención?</w:t>
      </w:r>
    </w:p>
    <w:p w:rsidR="000C639D" w:rsidRPr="003918AB" w:rsidRDefault="000C639D" w:rsidP="000C639D">
      <w:pPr>
        <w:pStyle w:val="Sinespaciado"/>
        <w:rPr>
          <w:rFonts w:eastAsia="Times New Roman"/>
          <w:lang w:eastAsia="es-MX"/>
        </w:rPr>
      </w:pPr>
      <w:r w:rsidRPr="003918AB">
        <w:rPr>
          <w:rFonts w:eastAsia="Times New Roman"/>
          <w:lang w:eastAsia="es-MX"/>
        </w:rPr>
        <w:t xml:space="preserve">SECRETARIA DIP. MARICELA BELTRÁN SÁNCHEZ. La propuesta ha sido aprobada por Unanimidad de votos. </w:t>
      </w:r>
    </w:p>
    <w:p w:rsidR="000C639D" w:rsidRPr="003918AB" w:rsidRDefault="000C639D" w:rsidP="000C639D">
      <w:pPr>
        <w:pStyle w:val="Sinespaciado"/>
        <w:rPr>
          <w:rFonts w:eastAsia="Times New Roman"/>
          <w:lang w:eastAsia="es-MX"/>
        </w:rPr>
      </w:pPr>
      <w:r w:rsidRPr="003918AB">
        <w:rPr>
          <w:rFonts w:eastAsia="Times New Roman"/>
          <w:lang w:eastAsia="es-MX"/>
        </w:rPr>
        <w:t>PRESIDENTA DIP. MARTHA AZUCENA CAMACHO REYNOSO. Gracias.</w:t>
      </w:r>
    </w:p>
    <w:p w:rsidR="000C639D" w:rsidRPr="003918AB" w:rsidRDefault="000C639D" w:rsidP="000C639D">
      <w:pPr>
        <w:pStyle w:val="Sinespaciado"/>
        <w:ind w:firstLine="708"/>
        <w:rPr>
          <w:rFonts w:eastAsia="Times New Roman"/>
          <w:lang w:eastAsia="es-MX"/>
        </w:rPr>
      </w:pPr>
      <w:r w:rsidRPr="003918AB">
        <w:rPr>
          <w:rFonts w:eastAsia="Times New Roman"/>
          <w:lang w:eastAsia="es-MX"/>
        </w:rPr>
        <w:t>Abro la discusión en lo general y pregunto si desean hacer uso de la palabra.</w:t>
      </w:r>
    </w:p>
    <w:p w:rsidR="000C639D" w:rsidRPr="003918AB" w:rsidRDefault="000C639D" w:rsidP="000C639D">
      <w:pPr>
        <w:pStyle w:val="Sinespaciado"/>
        <w:ind w:firstLine="708"/>
        <w:rPr>
          <w:rFonts w:eastAsia="Times New Roman"/>
          <w:lang w:eastAsia="es-MX"/>
        </w:rPr>
      </w:pPr>
      <w:r w:rsidRPr="003918AB">
        <w:rPr>
          <w:rFonts w:eastAsia="Times New Roman"/>
          <w:lang w:eastAsia="es-MX"/>
        </w:rPr>
        <w:t>Para la votación de lo general pido la Secretaría, abra el sistema de votación hasta por dos minutos, si alguien desea separar algún artículo, sírvase comentarlo.</w:t>
      </w:r>
    </w:p>
    <w:p w:rsidR="000C639D" w:rsidRPr="003918AB" w:rsidRDefault="000C639D" w:rsidP="000C639D">
      <w:pPr>
        <w:pStyle w:val="Sinespaciado"/>
        <w:rPr>
          <w:rFonts w:eastAsia="Times New Roman"/>
          <w:lang w:eastAsia="es-MX"/>
        </w:rPr>
      </w:pPr>
      <w:r w:rsidRPr="003918AB">
        <w:rPr>
          <w:rFonts w:eastAsia="Times New Roman"/>
          <w:lang w:eastAsia="es-MX"/>
        </w:rPr>
        <w:t>SECRETARIA DIP. MARICELA BELTRÁN SÁNCHEZ. Ábrase el sistema de votación hasta por dos minutos.</w:t>
      </w:r>
    </w:p>
    <w:p w:rsidR="000C639D" w:rsidRPr="003918AB" w:rsidRDefault="000C639D" w:rsidP="000C639D">
      <w:pPr>
        <w:pStyle w:val="Sinespaciado"/>
        <w:jc w:val="center"/>
        <w:rPr>
          <w:rFonts w:eastAsia="Times New Roman"/>
          <w:i/>
          <w:lang w:eastAsia="es-MX"/>
        </w:rPr>
      </w:pPr>
      <w:r w:rsidRPr="003918AB">
        <w:rPr>
          <w:rFonts w:eastAsia="Times New Roman"/>
          <w:i/>
          <w:lang w:eastAsia="es-MX"/>
        </w:rPr>
        <w:t>(Votación nominal)</w:t>
      </w:r>
    </w:p>
    <w:p w:rsidR="000C639D" w:rsidRPr="003918AB" w:rsidRDefault="000C639D" w:rsidP="000C639D">
      <w:pPr>
        <w:pStyle w:val="Sinespaciado"/>
        <w:rPr>
          <w:rFonts w:eastAsia="Times New Roman"/>
          <w:lang w:eastAsia="es-MX"/>
        </w:rPr>
      </w:pPr>
      <w:r w:rsidRPr="003918AB">
        <w:rPr>
          <w:rFonts w:eastAsia="Times New Roman"/>
          <w:lang w:eastAsia="es-MX"/>
        </w:rPr>
        <w:t>SECRETARIA DIP. MARICELA BELTRÁN SÁNCHEZ. ¿Alguien falta emitir su voto?</w:t>
      </w:r>
    </w:p>
    <w:p w:rsidR="000C639D" w:rsidRPr="003918AB" w:rsidRDefault="000C639D" w:rsidP="000C639D">
      <w:pPr>
        <w:pStyle w:val="Sinespaciado"/>
        <w:ind w:firstLine="708"/>
        <w:rPr>
          <w:rFonts w:eastAsia="Times New Roman"/>
          <w:lang w:eastAsia="es-MX"/>
        </w:rPr>
      </w:pPr>
      <w:r w:rsidRPr="003918AB">
        <w:rPr>
          <w:rFonts w:eastAsia="Times New Roman"/>
          <w:lang w:eastAsia="es-MX"/>
        </w:rPr>
        <w:t>El punto de acuerdo ha sido aprobado, en lo general, por unanimidad de votos.</w:t>
      </w:r>
    </w:p>
    <w:p w:rsidR="000C639D" w:rsidRPr="003918AB" w:rsidRDefault="000C639D" w:rsidP="000C639D">
      <w:pPr>
        <w:pStyle w:val="Sinespaciado"/>
        <w:rPr>
          <w:rFonts w:eastAsia="Times New Roman"/>
          <w:lang w:eastAsia="es-MX"/>
        </w:rPr>
      </w:pPr>
      <w:r w:rsidRPr="003918AB">
        <w:rPr>
          <w:rFonts w:eastAsia="Times New Roman"/>
          <w:lang w:eastAsia="es-MX"/>
        </w:rPr>
        <w:t>PRESIDENTA DIP. MARTHA AZUCENA CAMACHO REYNOSO. Se tienen por aprobado en lo general el punto de acuerdo, se declara también su aprobación en lo particular.</w:t>
      </w:r>
    </w:p>
    <w:p w:rsidR="000C639D" w:rsidRPr="003918AB" w:rsidRDefault="000C639D" w:rsidP="000C639D">
      <w:pPr>
        <w:pStyle w:val="Sinespaciado"/>
        <w:ind w:firstLine="708"/>
        <w:rPr>
          <w:rFonts w:eastAsia="Times New Roman"/>
          <w:lang w:eastAsia="es-MX"/>
        </w:rPr>
      </w:pPr>
      <w:r w:rsidRPr="003918AB">
        <w:rPr>
          <w:rFonts w:eastAsia="Times New Roman"/>
          <w:lang w:eastAsia="es-MX"/>
        </w:rPr>
        <w:t>A petición del proponente, el punto 22 se omite.</w:t>
      </w:r>
    </w:p>
    <w:p w:rsidR="000C639D" w:rsidRPr="003918AB" w:rsidRDefault="000C639D" w:rsidP="000C639D">
      <w:pPr>
        <w:pStyle w:val="Sinespaciado"/>
        <w:ind w:firstLine="708"/>
        <w:rPr>
          <w:rFonts w:eastAsia="Times New Roman"/>
          <w:lang w:eastAsia="es-MX"/>
        </w:rPr>
      </w:pPr>
      <w:r w:rsidRPr="003918AB">
        <w:rPr>
          <w:rFonts w:eastAsia="Times New Roman"/>
          <w:lang w:eastAsia="es-MX"/>
        </w:rPr>
        <w:t>Para desahogar el punto 24, la diputada Graciela Argueta Bello formula en nombre del Grupo Parlamentario del Partido morena, pronunciamiento en el marco del “41 Aniversario Luctuoso de la explosión de un complejo de Pemex en San Juan Ixhuatepec, Municipio de Tlalnepantla de Baz, México”.</w:t>
      </w:r>
    </w:p>
    <w:p w:rsidR="000C639D" w:rsidRPr="003918AB" w:rsidRDefault="000C639D" w:rsidP="000C639D">
      <w:pPr>
        <w:pStyle w:val="Sinespaciado"/>
        <w:rPr>
          <w:rFonts w:eastAsia="Times New Roman"/>
          <w:lang w:eastAsia="es-MX"/>
        </w:rPr>
      </w:pPr>
      <w:r w:rsidRPr="003918AB">
        <w:rPr>
          <w:rFonts w:eastAsia="Times New Roman"/>
          <w:lang w:eastAsia="es-MX"/>
        </w:rPr>
        <w:t>DIP. GRACIELA ARGUETA BELLO. Con su venia Presidenta.</w:t>
      </w:r>
    </w:p>
    <w:p w:rsidR="000C639D" w:rsidRPr="003918AB" w:rsidRDefault="000C639D" w:rsidP="000C639D">
      <w:pPr>
        <w:pStyle w:val="Sinespaciado"/>
        <w:ind w:firstLine="708"/>
        <w:rPr>
          <w:rFonts w:eastAsia="Times New Roman"/>
          <w:lang w:eastAsia="es-MX"/>
        </w:rPr>
      </w:pPr>
      <w:r w:rsidRPr="003918AB">
        <w:rPr>
          <w:rFonts w:eastAsia="Times New Roman"/>
          <w:lang w:eastAsia="es-MX"/>
        </w:rPr>
        <w:t>Saludo con aprecio a los medios de comunicación y a quien nos siguen a través de las redes sociales.</w:t>
      </w:r>
    </w:p>
    <w:p w:rsidR="000C639D" w:rsidRPr="003918AB" w:rsidRDefault="000C639D" w:rsidP="000C639D">
      <w:pPr>
        <w:pStyle w:val="Sinespaciado"/>
        <w:ind w:firstLine="708"/>
      </w:pPr>
      <w:r w:rsidRPr="003918AB">
        <w:rPr>
          <w:rFonts w:eastAsia="Times New Roman"/>
          <w:lang w:eastAsia="es-MX"/>
        </w:rPr>
        <w:t xml:space="preserve">En este caso, en esta ocasión quisiera comenzar de otra manera, preguntándoles a todos mis compañeros quienes se encuentran aquí y bueno, nos nuestros medios de comunicación también, todos si conocen a un artista, un cantante que se llama Alejandro Lora es un, es un artista </w:t>
      </w:r>
      <w:r w:rsidRPr="003918AB">
        <w:t>que compone música, rock mexicano ¿Lo conocen? Mi intervención tiene que ver con ello, este artista, compuso una canción muy bonita que me gusta bastante, que marcó parte de mi infancia y en algunas otras personas no solamente marcó en la mente; sino en el corazón, en sus vidas, en sus rostros y aún en con todo esto, nos trae muy bellos recuerdos, por los cuales no podemos olvidar, por qué dedicó esta canción a una comunidad de donde yo soy nativa, es una colonia llamada San Juan Ixhuatepec y en ello va el tema que voy ahorita a comentar; pero antes de mi participación quisiera que me dieran la oportunidad de que se transmitiera un video.</w:t>
      </w:r>
    </w:p>
    <w:p w:rsidR="000C639D" w:rsidRPr="003918AB" w:rsidRDefault="000C639D" w:rsidP="000C639D">
      <w:pPr>
        <w:pStyle w:val="Sinespaciado"/>
        <w:ind w:firstLine="708"/>
        <w:rPr>
          <w:rFonts w:eastAsia="Times New Roman"/>
          <w:lang w:eastAsia="es-MX"/>
        </w:rPr>
      </w:pPr>
      <w:r w:rsidRPr="003918AB">
        <w:t>Gracias.</w:t>
      </w:r>
    </w:p>
    <w:p w:rsidR="000C639D" w:rsidRPr="003918AB" w:rsidRDefault="000C639D" w:rsidP="000C639D">
      <w:pPr>
        <w:spacing w:after="0" w:line="240" w:lineRule="auto"/>
        <w:rPr>
          <w:rFonts w:ascii="Times New Roman" w:hAnsi="Times New Roman" w:cs="Times New Roman"/>
          <w:sz w:val="24"/>
          <w:szCs w:val="24"/>
        </w:rPr>
      </w:pPr>
      <w:r w:rsidRPr="003918AB">
        <w:rPr>
          <w:rFonts w:ascii="Times New Roman" w:hAnsi="Times New Roman" w:cs="Times New Roman"/>
          <w:sz w:val="24"/>
          <w:szCs w:val="24"/>
        </w:rPr>
        <w:t>PRESIDENTA DIP. MARTHA AZUCENA CAMACHO REYNOSO. Adelante.</w:t>
      </w:r>
    </w:p>
    <w:p w:rsidR="000C639D" w:rsidRPr="003918AB" w:rsidRDefault="000C639D" w:rsidP="000C639D">
      <w:pPr>
        <w:spacing w:after="0" w:line="240" w:lineRule="auto"/>
        <w:jc w:val="center"/>
        <w:rPr>
          <w:rFonts w:ascii="Times New Roman" w:hAnsi="Times New Roman" w:cs="Times New Roman"/>
          <w:i/>
          <w:sz w:val="24"/>
          <w:szCs w:val="24"/>
        </w:rPr>
      </w:pPr>
      <w:r w:rsidRPr="003918AB">
        <w:rPr>
          <w:rFonts w:ascii="Times New Roman" w:hAnsi="Times New Roman" w:cs="Times New Roman"/>
          <w:i/>
          <w:sz w:val="24"/>
          <w:szCs w:val="24"/>
        </w:rPr>
        <w:t>(Se reproduce video)</w:t>
      </w:r>
    </w:p>
    <w:p w:rsidR="000C639D" w:rsidRPr="003918AB" w:rsidRDefault="000C639D" w:rsidP="000C639D">
      <w:pPr>
        <w:spacing w:after="0" w:line="240" w:lineRule="auto"/>
        <w:rPr>
          <w:rFonts w:ascii="Times New Roman" w:hAnsi="Times New Roman" w:cs="Times New Roman"/>
          <w:sz w:val="24"/>
          <w:szCs w:val="24"/>
        </w:rPr>
      </w:pPr>
      <w:r w:rsidRPr="003918AB">
        <w:rPr>
          <w:rFonts w:ascii="Times New Roman" w:hAnsi="Times New Roman" w:cs="Times New Roman"/>
          <w:sz w:val="24"/>
          <w:szCs w:val="24"/>
        </w:rPr>
        <w:t>DIP. GRACIELA ARGUETA BELLO. Ese es el corto video que les quería poner.</w:t>
      </w:r>
    </w:p>
    <w:p w:rsidR="000C639D" w:rsidRPr="003918AB" w:rsidRDefault="000C639D" w:rsidP="000C639D">
      <w:pPr>
        <w:spacing w:after="0" w:line="240" w:lineRule="auto"/>
        <w:jc w:val="both"/>
        <w:rPr>
          <w:rFonts w:ascii="Times New Roman" w:hAnsi="Times New Roman" w:cs="Times New Roman"/>
          <w:sz w:val="24"/>
          <w:szCs w:val="24"/>
        </w:rPr>
      </w:pPr>
      <w:r w:rsidRPr="003918AB">
        <w:rPr>
          <w:rFonts w:ascii="Times New Roman" w:hAnsi="Times New Roman" w:cs="Times New Roman"/>
          <w:sz w:val="24"/>
          <w:szCs w:val="24"/>
        </w:rPr>
        <w:tab/>
        <w:t xml:space="preserve">La verdad es que </w:t>
      </w:r>
      <w:proofErr w:type="spellStart"/>
      <w:r w:rsidRPr="003918AB">
        <w:rPr>
          <w:rFonts w:ascii="Times New Roman" w:hAnsi="Times New Roman" w:cs="Times New Roman"/>
          <w:sz w:val="24"/>
          <w:szCs w:val="24"/>
        </w:rPr>
        <w:t>aún</w:t>
      </w:r>
      <w:proofErr w:type="spellEnd"/>
      <w:r w:rsidRPr="003918AB">
        <w:rPr>
          <w:rFonts w:ascii="Times New Roman" w:hAnsi="Times New Roman" w:cs="Times New Roman"/>
          <w:sz w:val="24"/>
          <w:szCs w:val="24"/>
        </w:rPr>
        <w:t xml:space="preserve"> cuando lo veo me estremece, me llena de mucho sentimiento, porque yo fui parte de esa historia y comienzo.</w:t>
      </w:r>
    </w:p>
    <w:p w:rsidR="000C639D" w:rsidRPr="003918AB" w:rsidRDefault="000C639D" w:rsidP="000C639D">
      <w:pPr>
        <w:pStyle w:val="Sinespaciado"/>
      </w:pPr>
      <w:r w:rsidRPr="003918AB">
        <w:lastRenderedPageBreak/>
        <w:tab/>
        <w:t>La de la voz, diputada Graciela Argueta Bello, integrante del Grupo Parlamentario de morena, en su nombre y con fundamento en el artículo 32 del Reglamento del Poder Legislativo del Estado Libre y Soberano de México, presento ante esta Honorable Soberanía, pronunciamiento en el marco del “41 Aniversario Luctuoso de la explosión en un complejo de PEMEX en San Juan Ixhuatepec, en el Municipio de Tlalnepantla de Baz”, el Grupo Parlamentario de morena se suma a este acto con el fin de ratificar su compromiso con la memoria, la justicia y la reparación histórica al tenor de la siguiente:</w:t>
      </w:r>
    </w:p>
    <w:p w:rsidR="000C639D" w:rsidRPr="003918AB" w:rsidRDefault="000C639D" w:rsidP="000C639D">
      <w:pPr>
        <w:pStyle w:val="Sinespaciado"/>
        <w:jc w:val="center"/>
      </w:pPr>
      <w:r w:rsidRPr="003918AB">
        <w:t>EXPOSICIÓN DE MOTIVOS</w:t>
      </w:r>
    </w:p>
    <w:p w:rsidR="000C639D" w:rsidRPr="003918AB" w:rsidRDefault="000C639D" w:rsidP="000C639D">
      <w:pPr>
        <w:pStyle w:val="Sinespaciado"/>
        <w:ind w:firstLine="708"/>
      </w:pPr>
      <w:r w:rsidRPr="003918AB">
        <w:t>Me presento hoy con luto y con un propósito claro; exponer un recuerdo que nos persigue desde hace más de 4 décadas, el 19 de noviembre de 1984. siendo aproximadamente las 5:40 de la mañana, mientras la mayoría de México dormía, una fuga en el complejo de PEMEX en San Juan Ixhuatepec desencadenó una tragedia que tenemos prohibido olvidar.</w:t>
      </w:r>
    </w:p>
    <w:p w:rsidR="000C639D" w:rsidRPr="003918AB" w:rsidRDefault="000C639D" w:rsidP="000C639D">
      <w:pPr>
        <w:pStyle w:val="Sinespaciado"/>
        <w:ind w:firstLine="708"/>
      </w:pPr>
      <w:r w:rsidRPr="003918AB">
        <w:t>Ese trágico día, una nube de gas inflamable, resultado de fugas de gas en ductos y válvulas, se encontró con una chispa, lo que desencadenó no fue una simple explosión; sino un infierno de más de 40 explosiones en cadena que duraron casi 2 horas, llamas de hasta 100 metros de altura, una bola de fuego masiva y ondas de choque que se sintieron a kilómetros de distancia, arrasaron con todo a su paso.</w:t>
      </w:r>
    </w:p>
    <w:p w:rsidR="000C639D" w:rsidRPr="003918AB" w:rsidRDefault="000C639D" w:rsidP="000C639D">
      <w:pPr>
        <w:pStyle w:val="Sinespaciado"/>
        <w:ind w:firstLine="708"/>
      </w:pPr>
      <w:r w:rsidRPr="003918AB">
        <w:t xml:space="preserve">El calor de más de mil grados </w:t>
      </w:r>
      <w:r w:rsidR="00623986" w:rsidRPr="003918AB">
        <w:t xml:space="preserve">Celsius </w:t>
      </w:r>
      <w:r w:rsidRPr="003918AB">
        <w:t>no solo destruyó casas, sino que dejó víctimas carbonizadas y desintegradas, un escenario inimaginable y aterrador.</w:t>
      </w:r>
    </w:p>
    <w:p w:rsidR="000C639D" w:rsidRPr="003918AB" w:rsidRDefault="000C639D" w:rsidP="000C639D">
      <w:pPr>
        <w:pStyle w:val="Sinespaciado"/>
        <w:ind w:firstLine="708"/>
      </w:pPr>
      <w:r w:rsidRPr="003918AB">
        <w:t>Los servicios de emergencia colapsados por la magnitud del desastre no pudieron contener la tragedia, las cifras oficiales hablaban de 500 decesos y 5 mil heridos, pero la realidad corría por la población y apuntalaba a que eran más de mil vidas perdidas.</w:t>
      </w:r>
    </w:p>
    <w:p w:rsidR="000C639D" w:rsidRPr="003918AB" w:rsidRDefault="000C639D" w:rsidP="000C639D">
      <w:pPr>
        <w:pStyle w:val="Sinespaciado"/>
        <w:ind w:firstLine="708"/>
      </w:pPr>
      <w:r w:rsidRPr="003918AB">
        <w:t>No hablo de San Juanico como una legisladora hoy, sino como un testigo de aquella tragedia, yo era apenas una niña de siete años cuando el cielo se incendió, recuerdos de gritos desesperado, las casas ardiendo, gente corriendo sin zapatos, algunos incluso sin ropa, intentando escapar de las llamas.</w:t>
      </w:r>
    </w:p>
    <w:p w:rsidR="000C639D" w:rsidRPr="003918AB" w:rsidRDefault="000C639D" w:rsidP="000C639D">
      <w:pPr>
        <w:pStyle w:val="Sinespaciado"/>
        <w:ind w:firstLine="708"/>
      </w:pPr>
      <w:r w:rsidRPr="003918AB">
        <w:t>Mi madre embarazada de mi hermano menor corría por la vereda, mi padre con mi hermanito el pequeño en brazos igual corriendo desesperado y una servidora que apenas se podía poner los zapatos para salvar su vida fue lo que marcó ese escenario y esa escalofriante escena, una imagen de terror, la del abandono, la del dolor colectivo, nunca se ha borrado de mi memoria.</w:t>
      </w:r>
    </w:p>
    <w:p w:rsidR="000C639D" w:rsidRPr="003918AB" w:rsidRDefault="000C639D" w:rsidP="000C639D">
      <w:pPr>
        <w:pStyle w:val="Sinespaciado"/>
        <w:ind w:firstLine="708"/>
      </w:pPr>
      <w:r w:rsidRPr="003918AB">
        <w:t>Por eso hoy, desde esta tribuna, con el digno honor de ser originaria de esta comunidad y sobreviviente de ese hecho trágico, alzo la voz con fuerza de una comunidad que jamás debe ser olvidada, debemos destacar que lo ocurrido en San Juanico no fue accidente del resultado directo, fue accidente, fue resultado de la negligencia industrial y falta de previsión.</w:t>
      </w:r>
    </w:p>
    <w:p w:rsidR="000C639D" w:rsidRPr="003918AB" w:rsidRDefault="000C639D" w:rsidP="000C639D">
      <w:pPr>
        <w:pStyle w:val="Sinespaciado"/>
        <w:ind w:firstLine="708"/>
      </w:pPr>
      <w:r w:rsidRPr="003918AB">
        <w:t xml:space="preserve">Las investigaciones revelaron lo que ya era evidente falta de mantenimiento, detecciones de fuga, ausencia de sistema de alerta temprana, lo más grande la ubicación irresponsable de un complejo en una zona densamente poblada. </w:t>
      </w:r>
    </w:p>
    <w:p w:rsidR="000C639D" w:rsidRPr="003918AB" w:rsidRDefault="000C639D" w:rsidP="000C639D">
      <w:pPr>
        <w:pStyle w:val="Sinespaciado"/>
        <w:ind w:firstLine="708"/>
      </w:pPr>
      <w:r w:rsidRPr="003918AB">
        <w:t>Esa tragedia se convirtió en un símbolo de lo que sucede cuando el lucro y la falta de regulación se antepone ante la seguridad de la vida humana; hoy 41 años después, hoy es el aniversario.</w:t>
      </w:r>
    </w:p>
    <w:p w:rsidR="000C639D" w:rsidRPr="003918AB" w:rsidRDefault="000C639D" w:rsidP="000C639D">
      <w:pPr>
        <w:pStyle w:val="Sinespaciado"/>
        <w:ind w:firstLine="708"/>
      </w:pPr>
      <w:r w:rsidRPr="003918AB">
        <w:t>Quiero comentarles que hoy es 19 de noviembre, hoy es el aniversario luctuoso; a 41 años después, San Juanico sigue siendo un recordatorio que nos sigue rondando, aún realizamos actos conmemorativos, pero no basta con recordar las víctimas, debemos honrar su memoria con acciones; aquí, desde esta tribuna donde se debaten temas tan importantes de nuestro Estado, no podemos limitarnos a la frialdad de los datos.</w:t>
      </w:r>
    </w:p>
    <w:p w:rsidR="000C639D" w:rsidRPr="003918AB" w:rsidRDefault="000C639D" w:rsidP="000C639D">
      <w:pPr>
        <w:pStyle w:val="Sinespaciado"/>
        <w:ind w:firstLine="708"/>
      </w:pPr>
      <w:r w:rsidRPr="003918AB">
        <w:t>Hay de por medio el lamento de las familias que perdieron todo, el dolor de una comunidad que quedó marcada para siempre, hacer caso omiso es olvidar y es cerrar los ojos; el pueblo mexiquense espera que el legado de San Juanico no sea una fecha sólo en un calendario, sino una fuerza motriz para una reparación real y profunda.</w:t>
      </w:r>
    </w:p>
    <w:p w:rsidR="000C639D" w:rsidRPr="003918AB" w:rsidRDefault="000C639D" w:rsidP="000C639D">
      <w:pPr>
        <w:pStyle w:val="Sinespaciado"/>
        <w:ind w:firstLine="708"/>
      </w:pPr>
      <w:r w:rsidRPr="003918AB">
        <w:lastRenderedPageBreak/>
        <w:t>El pasado 10 de septiembre, una pipa que transportaba gas LP volcó y explotó causando una desgracia de decenas de personas fallecidas y varios heridos; sin duda alguna, no podemos permitir que las medidas de seguridad sean sobrepasadas o que la evasión de ellas cobre vidas humanas.</w:t>
      </w:r>
    </w:p>
    <w:p w:rsidR="000C639D" w:rsidRPr="003918AB" w:rsidRDefault="000C639D" w:rsidP="000C639D">
      <w:pPr>
        <w:pStyle w:val="Sinespaciado"/>
        <w:ind w:firstLine="708"/>
      </w:pPr>
      <w:r w:rsidRPr="003918AB">
        <w:t>La seguridad de nuestras comunidades no es negociable, el pueblo mexiquense espera que actuemos con responsabilidad, que demostremos que hemos aprendido de las lecciones del pasado.</w:t>
      </w:r>
    </w:p>
    <w:p w:rsidR="00623986" w:rsidRPr="003918AB" w:rsidRDefault="000C639D" w:rsidP="000C639D">
      <w:pPr>
        <w:pStyle w:val="Sinespaciado"/>
        <w:ind w:firstLine="708"/>
      </w:pPr>
      <w:r w:rsidRPr="003918AB">
        <w:t>Es cuanto Presidenta.</w:t>
      </w:r>
    </w:p>
    <w:p w:rsidR="000C639D" w:rsidRPr="003918AB" w:rsidRDefault="000C639D" w:rsidP="000C639D">
      <w:pPr>
        <w:pStyle w:val="Sinespaciado"/>
        <w:ind w:firstLine="708"/>
      </w:pPr>
      <w:r w:rsidRPr="003918AB">
        <w:t>Solicito que este pronunciamiento se inserte íntegro en la Gaceta Parlamentaria y en el Diario de los Debates.</w:t>
      </w:r>
    </w:p>
    <w:p w:rsidR="000C639D" w:rsidRPr="003918AB" w:rsidRDefault="000C639D" w:rsidP="000C639D">
      <w:pPr>
        <w:pStyle w:val="Sinespaciado"/>
        <w:ind w:firstLine="708"/>
      </w:pPr>
      <w:r w:rsidRPr="003918AB">
        <w:t>Muchas gracias a todos por su atención.</w:t>
      </w:r>
    </w:p>
    <w:p w:rsidR="00D97FFC" w:rsidRPr="003918AB" w:rsidRDefault="00D97FFC" w:rsidP="00E56B7B">
      <w:pPr>
        <w:pStyle w:val="Sinespaciado"/>
      </w:pPr>
    </w:p>
    <w:p w:rsidR="00D97FFC" w:rsidRPr="003918AB" w:rsidRDefault="00D97FFC" w:rsidP="00E56B7B">
      <w:pPr>
        <w:spacing w:after="0" w:line="240" w:lineRule="auto"/>
        <w:jc w:val="center"/>
        <w:rPr>
          <w:rFonts w:ascii="Times New Roman" w:hAnsi="Times New Roman"/>
          <w:i/>
          <w:sz w:val="24"/>
          <w:szCs w:val="24"/>
        </w:rPr>
      </w:pPr>
      <w:r w:rsidRPr="003918AB">
        <w:rPr>
          <w:rFonts w:ascii="Times New Roman" w:hAnsi="Times New Roman"/>
          <w:i/>
          <w:sz w:val="24"/>
          <w:szCs w:val="24"/>
        </w:rPr>
        <w:t>(Se inserta documento)</w:t>
      </w:r>
    </w:p>
    <w:p w:rsidR="00D97FFC" w:rsidRPr="003918AB" w:rsidRDefault="00D97FFC" w:rsidP="00E56B7B">
      <w:pPr>
        <w:spacing w:after="0" w:line="240" w:lineRule="auto"/>
        <w:jc w:val="center"/>
        <w:rPr>
          <w:rFonts w:ascii="Times New Roman" w:hAnsi="Times New Roman"/>
          <w:sz w:val="24"/>
          <w:szCs w:val="24"/>
        </w:rPr>
      </w:pPr>
    </w:p>
    <w:p w:rsidR="00BD5C26" w:rsidRPr="003918AB" w:rsidRDefault="00BD5C26" w:rsidP="00BD5C26">
      <w:pPr>
        <w:spacing w:after="0" w:line="240" w:lineRule="auto"/>
        <w:jc w:val="center"/>
        <w:rPr>
          <w:rFonts w:ascii="Times New Roman" w:eastAsia="Times New Roman" w:hAnsi="Times New Roman" w:cs="Times New Roman"/>
          <w:b/>
          <w:sz w:val="24"/>
          <w:szCs w:val="24"/>
        </w:rPr>
      </w:pPr>
      <w:r w:rsidRPr="003918AB">
        <w:rPr>
          <w:rFonts w:ascii="Times New Roman" w:eastAsia="Times New Roman" w:hAnsi="Times New Roman" w:cs="Times New Roman"/>
          <w:b/>
          <w:sz w:val="24"/>
          <w:szCs w:val="24"/>
        </w:rPr>
        <w:t>Dip. Graciela Argueta Bello</w:t>
      </w:r>
    </w:p>
    <w:p w:rsidR="00BD5C26" w:rsidRPr="003918AB" w:rsidRDefault="00BD5C26" w:rsidP="00BD5C26">
      <w:pPr>
        <w:spacing w:after="0" w:line="240" w:lineRule="auto"/>
        <w:jc w:val="center"/>
        <w:rPr>
          <w:rFonts w:ascii="Times New Roman" w:eastAsia="Times New Roman" w:hAnsi="Times New Roman" w:cs="Times New Roman"/>
          <w:b/>
          <w:sz w:val="24"/>
          <w:szCs w:val="24"/>
        </w:rPr>
      </w:pPr>
    </w:p>
    <w:p w:rsidR="00BD5C26" w:rsidRPr="003918AB" w:rsidRDefault="00BD5C26" w:rsidP="00BD5C26">
      <w:pPr>
        <w:spacing w:after="0" w:line="240" w:lineRule="auto"/>
        <w:jc w:val="center"/>
        <w:rPr>
          <w:rFonts w:ascii="Times New Roman" w:eastAsia="Arial" w:hAnsi="Times New Roman" w:cs="Times New Roman"/>
          <w:sz w:val="24"/>
          <w:szCs w:val="24"/>
        </w:rPr>
      </w:pPr>
      <w:r w:rsidRPr="003918AB">
        <w:rPr>
          <w:rFonts w:ascii="Times New Roman" w:eastAsia="Arial" w:hAnsi="Times New Roman" w:cs="Times New Roman"/>
          <w:sz w:val="24"/>
          <w:szCs w:val="24"/>
        </w:rPr>
        <w:t>“2025. Bicentenario de la vida municipal en el Estado de México”.</w:t>
      </w:r>
    </w:p>
    <w:p w:rsidR="00BD5C26" w:rsidRPr="003918AB" w:rsidRDefault="00BD5C26" w:rsidP="00BD5C26">
      <w:pPr>
        <w:spacing w:after="0" w:line="240" w:lineRule="auto"/>
        <w:rPr>
          <w:rFonts w:ascii="Times New Roman" w:eastAsia="Times New Roman" w:hAnsi="Times New Roman" w:cs="Times New Roman"/>
          <w:sz w:val="24"/>
          <w:szCs w:val="24"/>
        </w:rPr>
      </w:pPr>
    </w:p>
    <w:p w:rsidR="00BD5C26" w:rsidRPr="003918AB" w:rsidRDefault="00BD5C26" w:rsidP="00BD5C26">
      <w:pPr>
        <w:spacing w:after="0" w:line="240" w:lineRule="auto"/>
        <w:rPr>
          <w:rFonts w:ascii="Times New Roman" w:eastAsia="Arial" w:hAnsi="Times New Roman" w:cs="Times New Roman"/>
          <w:b/>
          <w:sz w:val="24"/>
          <w:szCs w:val="24"/>
        </w:rPr>
      </w:pPr>
      <w:r w:rsidRPr="003918AB">
        <w:rPr>
          <w:rFonts w:ascii="Times New Roman" w:eastAsia="Arial" w:hAnsi="Times New Roman" w:cs="Times New Roman"/>
          <w:b/>
          <w:sz w:val="24"/>
          <w:szCs w:val="24"/>
        </w:rPr>
        <w:t>DIPUTADA MARTHA AZUCENA CAMACHO REYNOSO</w:t>
      </w:r>
    </w:p>
    <w:p w:rsidR="00BD5C26" w:rsidRPr="003918AB" w:rsidRDefault="00BD5C26" w:rsidP="00BD5C26">
      <w:pPr>
        <w:spacing w:after="0" w:line="240" w:lineRule="auto"/>
        <w:rPr>
          <w:rFonts w:ascii="Times New Roman" w:eastAsia="Arial" w:hAnsi="Times New Roman" w:cs="Times New Roman"/>
          <w:b/>
          <w:sz w:val="24"/>
          <w:szCs w:val="24"/>
        </w:rPr>
      </w:pPr>
      <w:r w:rsidRPr="003918AB">
        <w:rPr>
          <w:rFonts w:ascii="Times New Roman" w:eastAsia="Arial" w:hAnsi="Times New Roman" w:cs="Times New Roman"/>
          <w:b/>
          <w:sz w:val="24"/>
          <w:szCs w:val="24"/>
        </w:rPr>
        <w:t>PRESIDENTA DE LA DIRECTIVA</w:t>
      </w:r>
    </w:p>
    <w:p w:rsidR="00BD5C26" w:rsidRPr="003918AB" w:rsidRDefault="00BD5C26" w:rsidP="00BD5C26">
      <w:pPr>
        <w:spacing w:after="0" w:line="240" w:lineRule="auto"/>
        <w:rPr>
          <w:rFonts w:ascii="Times New Roman" w:eastAsia="Arial" w:hAnsi="Times New Roman" w:cs="Times New Roman"/>
          <w:sz w:val="24"/>
          <w:szCs w:val="24"/>
        </w:rPr>
      </w:pPr>
      <w:r w:rsidRPr="003918AB">
        <w:rPr>
          <w:rFonts w:ascii="Times New Roman" w:eastAsia="Arial" w:hAnsi="Times New Roman" w:cs="Times New Roman"/>
          <w:b/>
          <w:sz w:val="24"/>
          <w:szCs w:val="24"/>
        </w:rPr>
        <w:t>DE LA LXII LEGISLATURA DEL ESTADO DE MÉXICO</w:t>
      </w:r>
    </w:p>
    <w:p w:rsidR="00BD5C26" w:rsidRPr="003918AB" w:rsidRDefault="00BD5C26" w:rsidP="00BD5C26">
      <w:pPr>
        <w:spacing w:after="0" w:line="240" w:lineRule="auto"/>
        <w:jc w:val="both"/>
        <w:rPr>
          <w:rFonts w:ascii="Times New Roman" w:eastAsia="Arial" w:hAnsi="Times New Roman" w:cs="Times New Roman"/>
          <w:sz w:val="24"/>
          <w:szCs w:val="24"/>
        </w:rPr>
      </w:pPr>
      <w:r w:rsidRPr="003918AB">
        <w:rPr>
          <w:rFonts w:ascii="Times New Roman" w:eastAsia="Arial" w:hAnsi="Times New Roman" w:cs="Times New Roman"/>
          <w:b/>
          <w:sz w:val="24"/>
          <w:szCs w:val="24"/>
        </w:rPr>
        <w:t>P R E S E N T E.</w:t>
      </w:r>
    </w:p>
    <w:p w:rsidR="00BD5C26" w:rsidRPr="003918AB"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3918AB">
        <w:rPr>
          <w:rFonts w:ascii="Times New Roman" w:eastAsia="Arial" w:hAnsi="Times New Roman" w:cs="Times New Roman"/>
          <w:sz w:val="24"/>
          <w:szCs w:val="24"/>
        </w:rPr>
        <w:t>Diputada Graciela Argueta Bello, integrante del Grupo Parlamentario de morena y en su nombre, con fundamento en el artículo 32 del Reglamento del Poder Legislativo del Estado Libre y Soberano de México, presento ante esta Honorable Soberanía, Pronunciamiento en el marco del “</w:t>
      </w:r>
      <w:r w:rsidRPr="003918AB">
        <w:rPr>
          <w:rFonts w:ascii="Times New Roman" w:eastAsia="Arial" w:hAnsi="Times New Roman" w:cs="Times New Roman"/>
          <w:b/>
          <w:sz w:val="24"/>
          <w:szCs w:val="24"/>
        </w:rPr>
        <w:t>41 Aniversario Luctuoso de la explosión en un complejo de PEMEX en San Juan Ixhuatepec, municipio de Tlalnepantla de Baz, México</w:t>
      </w:r>
      <w:r w:rsidRPr="003918AB">
        <w:rPr>
          <w:rFonts w:ascii="Times New Roman" w:eastAsia="Arial" w:hAnsi="Times New Roman" w:cs="Times New Roman"/>
          <w:sz w:val="24"/>
          <w:szCs w:val="24"/>
        </w:rPr>
        <w:t>”, el Grupo Parlamentario de Morena se suma a</w:t>
      </w:r>
      <w:r w:rsidRPr="007A27A5">
        <w:rPr>
          <w:rFonts w:ascii="Times New Roman" w:eastAsia="Arial" w:hAnsi="Times New Roman" w:cs="Times New Roman"/>
          <w:sz w:val="24"/>
          <w:szCs w:val="24"/>
        </w:rPr>
        <w:t xml:space="preserve"> este acto con el fin de ratificar su compromiso con la memoria, la justicia y la reparación histórica al tenor de la siguiente:</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center"/>
        <w:rPr>
          <w:rFonts w:ascii="Times New Roman" w:eastAsia="Arial" w:hAnsi="Times New Roman" w:cs="Times New Roman"/>
          <w:sz w:val="24"/>
          <w:szCs w:val="24"/>
        </w:rPr>
      </w:pPr>
      <w:r w:rsidRPr="007A27A5">
        <w:rPr>
          <w:rFonts w:ascii="Times New Roman" w:eastAsia="Arial" w:hAnsi="Times New Roman" w:cs="Times New Roman"/>
          <w:b/>
          <w:sz w:val="24"/>
          <w:szCs w:val="24"/>
        </w:rPr>
        <w:t>Exposición de motivos</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Me presento hoy con luto y con un propósito claro; exponer un recuerdo que nos persigue desde hace más de cuatro décadas: el </w:t>
      </w:r>
      <w:r w:rsidRPr="007A27A5">
        <w:rPr>
          <w:rFonts w:ascii="Times New Roman" w:eastAsia="Arial" w:hAnsi="Times New Roman" w:cs="Times New Roman"/>
          <w:b/>
          <w:sz w:val="24"/>
          <w:szCs w:val="24"/>
        </w:rPr>
        <w:t>19 de noviembre de 1984</w:t>
      </w:r>
      <w:r w:rsidRPr="007A27A5">
        <w:rPr>
          <w:rFonts w:ascii="Times New Roman" w:eastAsia="Arial" w:hAnsi="Times New Roman" w:cs="Times New Roman"/>
          <w:sz w:val="24"/>
          <w:szCs w:val="24"/>
        </w:rPr>
        <w:t>. Cuando siendo las 5:40 horas de la mañana, mientras la mayoría de México dormía, una fuga en un complejo de PEMEX en San Juan Ixhuatepec desencadenó una tragedia que tenemos prohibido olvidar.</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Ese fatídico día, una nube de gas inflamable, resultado de fugas en ductos y válvulas, se encontró con una chispa. Lo que siguió no fue una simple explosión, sino un infierno de más de 40 explosiones en cadena que duraron casi dos horas. Llamas de hasta 100 metros de altura, una bola de fuego masiva y ondas de choque que se sintieron a kilómetros de distancia arrasaron con todo a su paso. El calor, de más de 1,000 grados </w:t>
      </w:r>
      <w:proofErr w:type="spellStart"/>
      <w:r w:rsidRPr="007A27A5">
        <w:rPr>
          <w:rFonts w:ascii="Times New Roman" w:eastAsia="Arial" w:hAnsi="Times New Roman" w:cs="Times New Roman"/>
          <w:sz w:val="24"/>
          <w:szCs w:val="24"/>
        </w:rPr>
        <w:t>celsius</w:t>
      </w:r>
      <w:proofErr w:type="spellEnd"/>
      <w:r w:rsidRPr="007A27A5">
        <w:rPr>
          <w:rFonts w:ascii="Times New Roman" w:eastAsia="Arial" w:hAnsi="Times New Roman" w:cs="Times New Roman"/>
          <w:sz w:val="24"/>
          <w:szCs w:val="24"/>
        </w:rPr>
        <w:t>, no solo destruyó casas, sino que dejó víctimas carbonizadas y desintegradas, un escenario inimaginable.</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Los servicios de emergencia, colapsados por la magnitud del desastre, no pudieron contener la tragedia. Las cifras oficiales hablan de más de 500 decesos y 5,000 heridos, pero la realidad que se corría entre la población apuntaba a más de 1,000 vidas perdidas.</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lastRenderedPageBreak/>
        <w:t>No hablo de San Juanico solo como legisladora, sino como testigo de aquella tragedia. Yo era una niña de apenas cinco o seis años cuando el cielo se encendió con fuego y miedo. Recuerdo los gritos desesperados, las casas ardiendo, la gente corriendo sin zapatos, algunos incluso sin ropa, intentando escapar de las llamas. Mi madre, embarazada, corría con el corazón en la garganta; mi padre cargaba a mi hermano menor, mientras yo apenas alcanzaba a ponerme unos zapatos para subir por la vereda. Fue escalofriante. Esa imagen —la del terror, la del abandono, la del dolor colectivo— nunca se ha borrado de mi memoria. Por eso, hoy, desde esta tribuna, no solo exijo justicia: la reclamo con la voz de una sobreviviente, con la fuerza de una comunidad que jamás debió ser olvidada.</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Hoy debemos apuntar que San Juanico no fue un accidente, fue el resultado directo de la negligencia industrial y de falta de previsión. Las investigaciones revelaron lo que ya era evidente:</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Falta de mantenimiento y detección de fugas.</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Times New Roman" w:hAnsi="Times New Roman" w:cs="Times New Roman"/>
          <w:sz w:val="24"/>
          <w:szCs w:val="24"/>
        </w:rPr>
      </w:pPr>
      <w:r w:rsidRPr="007A27A5">
        <w:rPr>
          <w:rFonts w:ascii="Times New Roman" w:eastAsia="Arial" w:hAnsi="Times New Roman" w:cs="Times New Roman"/>
          <w:sz w:val="24"/>
          <w:szCs w:val="24"/>
        </w:rPr>
        <w:t>● Ausencia de sistemas de alerta temprana.</w:t>
      </w:r>
    </w:p>
    <w:p w:rsidR="00BD5C26" w:rsidRPr="007A27A5" w:rsidRDefault="00BD5C26" w:rsidP="00BD5C26">
      <w:pPr>
        <w:spacing w:after="0" w:line="240" w:lineRule="auto"/>
        <w:jc w:val="both"/>
        <w:rPr>
          <w:rFonts w:ascii="Times New Roman" w:eastAsia="Arial"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Lo más grave: la ubicación irresponsable del complejo en una zona densamente poblada.</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Esa tragedia se convirtió en un símbolo de lo que sucede cuando el lucro y la falta de regulación se anteponen a la seguridad de la vida humana.</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 xml:space="preserve">Hoy, 41 años después, San Juanico sigue siendo un recordatorio de los peligros latentes que nos siguen rondando. Aún realizamos actos conmemorativos, pero </w:t>
      </w:r>
      <w:r w:rsidRPr="007A27A5">
        <w:rPr>
          <w:rFonts w:ascii="Times New Roman" w:eastAsia="Arial" w:hAnsi="Times New Roman" w:cs="Times New Roman"/>
          <w:b/>
          <w:sz w:val="24"/>
          <w:szCs w:val="24"/>
        </w:rPr>
        <w:t>¡no basta con recordar a las víctimas; debemos honrar su memoria con acciones!</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Aquí, desde esta tribuna, donde se debaten temas muy importantes de nuestro estado, no podemos limitarnos a la frialdad de los datos. Hay de por medio el lamento de las familias que perdieron todo, el dolor de una comunidad que quedó marcada para siempre. Hacer caso omiso y olvidar es cerrar los ojos. El pueblo mexiquense espera que el legado de San Juanico no sea solo una fecha en un calendario, sino una fuerza motriz para un cambio real y profundo.</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El pasado 10 de septiembre una pipa que transportaba gas LP volcó y explotó causando una desgracia de decenas de personas fallecidas y varias más heridas. Sin duda alguna no podemos permitir que las medidas de seguridad sean sobrepasadas o que la evasión de ellas cobre vidas humanas.</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Arial" w:hAnsi="Times New Roman" w:cs="Times New Roman"/>
          <w:sz w:val="24"/>
          <w:szCs w:val="24"/>
        </w:rPr>
      </w:pPr>
      <w:r w:rsidRPr="007A27A5">
        <w:rPr>
          <w:rFonts w:ascii="Times New Roman" w:eastAsia="Arial" w:hAnsi="Times New Roman" w:cs="Times New Roman"/>
          <w:sz w:val="24"/>
          <w:szCs w:val="24"/>
        </w:rPr>
        <w:t>La seguridad de nuestras comunidades no es negociable. El pueblo mexiquense espera que actuemos con responsabilidad, que demostremos que hemos aprendido de las lecciones del pasado.</w:t>
      </w:r>
    </w:p>
    <w:p w:rsidR="00BD5C26" w:rsidRPr="007A27A5" w:rsidRDefault="00BD5C26" w:rsidP="00BD5C26">
      <w:pPr>
        <w:spacing w:after="0" w:line="240" w:lineRule="auto"/>
        <w:rPr>
          <w:rFonts w:ascii="Times New Roman" w:eastAsia="Times New Roman" w:hAnsi="Times New Roman" w:cs="Times New Roman"/>
          <w:sz w:val="24"/>
          <w:szCs w:val="24"/>
        </w:rPr>
      </w:pPr>
    </w:p>
    <w:p w:rsidR="00BD5C26" w:rsidRPr="007A27A5" w:rsidRDefault="00BD5C26" w:rsidP="00BD5C26">
      <w:pPr>
        <w:spacing w:after="0" w:line="240" w:lineRule="auto"/>
        <w:jc w:val="both"/>
        <w:rPr>
          <w:rFonts w:ascii="Times New Roman" w:eastAsia="Times New Roman" w:hAnsi="Times New Roman" w:cs="Times New Roman"/>
          <w:sz w:val="24"/>
          <w:szCs w:val="24"/>
        </w:rPr>
      </w:pPr>
      <w:r w:rsidRPr="007A27A5">
        <w:rPr>
          <w:rFonts w:ascii="Times New Roman" w:eastAsia="Arial" w:hAnsi="Times New Roman" w:cs="Times New Roman"/>
          <w:sz w:val="24"/>
          <w:szCs w:val="24"/>
        </w:rPr>
        <w:t>Muchas gracias, Presidenta.</w:t>
      </w:r>
    </w:p>
    <w:p w:rsidR="00BD5C26" w:rsidRPr="003918AB" w:rsidRDefault="00BD5C26" w:rsidP="00BD5C26">
      <w:pPr>
        <w:spacing w:after="0" w:line="240" w:lineRule="auto"/>
        <w:rPr>
          <w:rFonts w:ascii="Times New Roman" w:eastAsia="Times New Roman" w:hAnsi="Times New Roman" w:cs="Times New Roman"/>
          <w:sz w:val="24"/>
          <w:szCs w:val="24"/>
        </w:rPr>
      </w:pPr>
    </w:p>
    <w:p w:rsidR="00BD5C26" w:rsidRPr="003918AB" w:rsidRDefault="00BD5C26" w:rsidP="00BD5C26">
      <w:pPr>
        <w:spacing w:after="0" w:line="240" w:lineRule="auto"/>
        <w:jc w:val="center"/>
        <w:rPr>
          <w:rFonts w:ascii="Times New Roman" w:eastAsia="Arial" w:hAnsi="Times New Roman" w:cs="Times New Roman"/>
          <w:sz w:val="24"/>
          <w:szCs w:val="24"/>
        </w:rPr>
      </w:pPr>
      <w:r w:rsidRPr="003918AB">
        <w:rPr>
          <w:rFonts w:ascii="Times New Roman" w:eastAsia="Arial" w:hAnsi="Times New Roman" w:cs="Times New Roman"/>
          <w:b/>
          <w:sz w:val="24"/>
          <w:szCs w:val="24"/>
        </w:rPr>
        <w:t>ATENTAMENTE</w:t>
      </w:r>
    </w:p>
    <w:p w:rsidR="00BD5C26" w:rsidRPr="003918AB" w:rsidRDefault="00BD5C26" w:rsidP="00BD5C26">
      <w:pPr>
        <w:spacing w:after="0" w:line="240" w:lineRule="auto"/>
        <w:jc w:val="center"/>
        <w:rPr>
          <w:rFonts w:ascii="Times New Roman" w:eastAsia="Arial" w:hAnsi="Times New Roman" w:cs="Times New Roman"/>
          <w:b/>
          <w:sz w:val="24"/>
          <w:szCs w:val="24"/>
        </w:rPr>
      </w:pPr>
      <w:r w:rsidRPr="003918AB">
        <w:rPr>
          <w:rFonts w:ascii="Times New Roman" w:eastAsia="Arial" w:hAnsi="Times New Roman" w:cs="Times New Roman"/>
          <w:b/>
          <w:sz w:val="24"/>
          <w:szCs w:val="24"/>
        </w:rPr>
        <w:t>DIP. GRACIELA ARGUETA BELLO,</w:t>
      </w:r>
    </w:p>
    <w:p w:rsidR="00BD5C26" w:rsidRPr="003918AB" w:rsidRDefault="00BD5C26" w:rsidP="00BD5C26">
      <w:pPr>
        <w:spacing w:after="0" w:line="240" w:lineRule="auto"/>
        <w:jc w:val="center"/>
        <w:rPr>
          <w:rFonts w:ascii="Times New Roman" w:eastAsia="Arial" w:hAnsi="Times New Roman" w:cs="Times New Roman"/>
          <w:b/>
          <w:sz w:val="24"/>
          <w:szCs w:val="24"/>
        </w:rPr>
      </w:pPr>
      <w:r w:rsidRPr="003918AB">
        <w:rPr>
          <w:rFonts w:ascii="Times New Roman" w:eastAsia="Arial" w:hAnsi="Times New Roman" w:cs="Times New Roman"/>
          <w:b/>
          <w:sz w:val="24"/>
          <w:szCs w:val="24"/>
        </w:rPr>
        <w:t>INTEGRANTE DEL GRUPO PARLAMENTARIO MORENA</w:t>
      </w:r>
    </w:p>
    <w:p w:rsidR="00D97FFC" w:rsidRPr="003918AB" w:rsidRDefault="00D97FFC" w:rsidP="00E56B7B">
      <w:pPr>
        <w:spacing w:after="0" w:line="240" w:lineRule="auto"/>
        <w:jc w:val="center"/>
        <w:rPr>
          <w:rFonts w:ascii="Times New Roman" w:hAnsi="Times New Roman"/>
          <w:sz w:val="24"/>
          <w:szCs w:val="24"/>
        </w:rPr>
      </w:pPr>
    </w:p>
    <w:p w:rsidR="00D97FFC" w:rsidRPr="003918AB" w:rsidRDefault="00D97FFC" w:rsidP="00E56B7B">
      <w:pPr>
        <w:spacing w:after="0" w:line="240" w:lineRule="auto"/>
        <w:jc w:val="center"/>
        <w:rPr>
          <w:rFonts w:ascii="Times New Roman" w:hAnsi="Times New Roman"/>
          <w:i/>
          <w:sz w:val="24"/>
          <w:szCs w:val="24"/>
        </w:rPr>
      </w:pPr>
      <w:r w:rsidRPr="003918AB">
        <w:rPr>
          <w:rFonts w:ascii="Times New Roman" w:hAnsi="Times New Roman"/>
          <w:i/>
          <w:sz w:val="24"/>
          <w:szCs w:val="24"/>
        </w:rPr>
        <w:t>(Fin del documento)</w:t>
      </w:r>
    </w:p>
    <w:p w:rsidR="00D97FFC" w:rsidRPr="003918AB" w:rsidRDefault="00D97FFC" w:rsidP="00E56B7B">
      <w:pPr>
        <w:spacing w:after="0" w:line="240" w:lineRule="auto"/>
        <w:jc w:val="center"/>
        <w:rPr>
          <w:rFonts w:ascii="Times New Roman" w:hAnsi="Times New Roman"/>
          <w:sz w:val="24"/>
          <w:szCs w:val="24"/>
        </w:rPr>
      </w:pPr>
    </w:p>
    <w:p w:rsidR="000C639D" w:rsidRPr="003918AB" w:rsidRDefault="000C639D" w:rsidP="000C639D">
      <w:pPr>
        <w:pStyle w:val="Sinespaciado"/>
      </w:pPr>
      <w:r w:rsidRPr="003918AB">
        <w:lastRenderedPageBreak/>
        <w:t>PRESIDENTA DIP. MARTHA AZUCENA CAMACHO REYNOSO. Gracias diputada Graciela Argueta Bello.</w:t>
      </w:r>
    </w:p>
    <w:p w:rsidR="000C639D" w:rsidRPr="003918AB" w:rsidRDefault="000C639D" w:rsidP="000C639D">
      <w:pPr>
        <w:pStyle w:val="Sinespaciado"/>
        <w:ind w:firstLine="708"/>
      </w:pPr>
      <w:r w:rsidRPr="003918AB">
        <w:t>Se registra lo expresado por la diputada y se registra.</w:t>
      </w:r>
    </w:p>
    <w:p w:rsidR="000C639D" w:rsidRPr="003918AB" w:rsidRDefault="000C639D" w:rsidP="000C639D">
      <w:pPr>
        <w:pStyle w:val="Sinespaciado"/>
      </w:pPr>
      <w:r w:rsidRPr="003918AB">
        <w:t>SECRETARIA DIP. MARICELA BELTRÁN SÁNCHEZ. Ha sido registrada la asistencia. PRESIDENTA DIP. MARTHA AZUCENA CAMACHO REYNOSO. Han concluido los puntos del orden del día, procede la Vicepresidenta y la Secretaria Graciela a leer los comunicados.</w:t>
      </w:r>
    </w:p>
    <w:p w:rsidR="000C639D" w:rsidRPr="003918AB" w:rsidRDefault="000C639D" w:rsidP="000C639D">
      <w:pPr>
        <w:pStyle w:val="Sinespaciado"/>
      </w:pPr>
      <w:r w:rsidRPr="003918AB">
        <w:t>SECRETARIA DIP. MARICELA BELTRÁN SÁNCHEZ. Citación a comisiones legislativas:</w:t>
      </w:r>
    </w:p>
    <w:p w:rsidR="000C639D" w:rsidRPr="003918AB" w:rsidRDefault="000C639D" w:rsidP="000C639D">
      <w:pPr>
        <w:pStyle w:val="Sinespaciado"/>
      </w:pPr>
      <w:r w:rsidRPr="003918AB">
        <w:tab/>
        <w:t>Autoría diputada Yesica Yanet Rojas Hernández y diputado Edmundo Luis Valdeña Bastida, tema: Iniciativa con Proyecto de Decreto por el que se reforma diversas disposiciones de la Ley de Acceso a las Mujeres a una Vida Libre de Violencia del Estado de México y la Ley de Desarrollo Social del Estado de México, programada para el día jueves 20 de noviembre de 2025 a las 11:00 horas, Salón Benito Juárez y en modalidad mixta, Comisión, Comité de Desarrollo y Bienestar Social, Procuración y Administración de Justicia, tipo de reunión: reunión de trabajo.</w:t>
      </w:r>
    </w:p>
    <w:p w:rsidR="000C639D" w:rsidRPr="003918AB" w:rsidRDefault="000C639D" w:rsidP="000C639D">
      <w:pPr>
        <w:pStyle w:val="Sinespaciado"/>
        <w:ind w:firstLine="709"/>
      </w:pPr>
      <w:r w:rsidRPr="003918AB">
        <w:t>Autoría diversos ayuntamientos, tema: Iniciativas de Tarifas de Agua diferentes a las del Código Financiero del Estado de México y Municipios. Nota: Se contará con la presencia de personas servidoras públicas, programación para el día jueves 20 de noviembre de 2024, a las 12:00 horas, Salón Benito Juárez y en modalidad mixta, Comisión, Comité de Legislación y Administración Municipal, Finanzas Públicas, Recursos Hidráulicos, tipo de reunión: reunión de trabajo.</w:t>
      </w:r>
    </w:p>
    <w:p w:rsidR="000C639D" w:rsidRPr="003918AB" w:rsidRDefault="000C639D" w:rsidP="000C639D">
      <w:pPr>
        <w:pStyle w:val="Sinespaciado"/>
      </w:pPr>
      <w:r w:rsidRPr="003918AB">
        <w:tab/>
        <w:t>Siguiente: diputado Israel Espíndola López, tema: Iniciativa con Proyecto de Decreto por el que se adiciona el artículo 3.79 Bis del Código para la Biodiversidad del Estado de México, programación para el lunes 24 de noviembre de 2025, a las 12:00 horas, en el Salón Benito Juárez y en modalidad mixta, Comisión o Comité de Procuración y Administración de Justicia, Protección Ambiental y Cambio Climático, tipo de reunión: reunión de trabajo y en su caso, dictaminación.</w:t>
      </w:r>
    </w:p>
    <w:p w:rsidR="000C639D" w:rsidRPr="003918AB" w:rsidRDefault="000C639D" w:rsidP="000C639D">
      <w:pPr>
        <w:pStyle w:val="Sinespaciado"/>
      </w:pPr>
      <w:r w:rsidRPr="003918AB">
        <w:tab/>
        <w:t>Siguiente, autoría diversos ayuntamientos, tema: Iniciativas de Tarifas de Agua diferentes a las del Código Financiero del Estado de México y Municipios. Nota: se contará con la presencia de personas servidoras públicas, programación lunes 24 de noviembre de 2025, a las 13:00 horas, en el Salón Benito Juárez y en modalidad mixta, Comisión, Comité de Legislación y Administración Municipal, Finanzas Públicas, Recursos Hidráulicos, tipo de reunión: reunión de trabajo y en su caso, dictaminación.</w:t>
      </w:r>
    </w:p>
    <w:p w:rsidR="000C639D" w:rsidRPr="003918AB" w:rsidRDefault="000C639D" w:rsidP="000C639D">
      <w:pPr>
        <w:pStyle w:val="Sinespaciado"/>
      </w:pPr>
      <w:r w:rsidRPr="003918AB">
        <w:tab/>
        <w:t xml:space="preserve">Siguiente, diputada Yareli Anai Esparza Acevedo, Iniciativa con Proyecto de Decreto por el que se reforma las fracciones XVI, XXX, XXXI del artículo 13, inciso e) y se adiciona el inciso f) de la fracción IV e inciso a) de la fracción V del artículo 31 de la Ley de Juventud del Estado de México, se reforma la fracción XXVII y adiciona la fracción XXVIII del artículo 33 de la Ley Orgánica de Administración Pública del Estado de México, programada para el martes 25 de noviembre de 2025, a las 11:00 horas, Salón Narciso Bassols y en modalidad mixta, Comisión, Comité de Gobernación y Puntos Constitucionales y la Juventud y el Deporte, tipo de reunión: reunión de trabajo y en su caso, dictaminación; asimismo, Iniciativa con Proyecto de Decreto por el que se reforma la Ley de Juventud del Estado de México. </w:t>
      </w:r>
    </w:p>
    <w:p w:rsidR="000C639D" w:rsidRPr="003918AB" w:rsidRDefault="000C639D" w:rsidP="000C639D">
      <w:pPr>
        <w:pStyle w:val="Sinespaciado"/>
      </w:pPr>
      <w:r w:rsidRPr="003918AB">
        <w:tab/>
        <w:t>Siguiente diputada Joanna Alejandra Felipe Torres, diputado Pablo Fernández de Cevallos González, tema: Iniciativa con Proyecto de Decreto por el que se reforman los artículos 6 y 30 de la Ley de Igualdad de Trato y Oportunidades entre Mujeres y hombres del Estado de México y 33 de la Ley Orgánica de la Administración Pública del Estado de México, programada para el día martes 25 de noviembre de 2025, a las 12:00 horas, en el Salón Narciso Bassols y en modalidad mixta, Comisión, Comité Gobernación y Puntos Constitucionales, Para la Igualdad de Género. Tipo de reunión: reunión de trabajo y, en su caso, dictaminación.</w:t>
      </w:r>
    </w:p>
    <w:p w:rsidR="000C639D" w:rsidRPr="003918AB" w:rsidRDefault="000C639D" w:rsidP="000C639D">
      <w:pPr>
        <w:pStyle w:val="Sinespaciado"/>
      </w:pPr>
      <w:r w:rsidRPr="003918AB">
        <w:tab/>
        <w:t xml:space="preserve">Siguiente. Autoría diputada Sandra Patricia Santos Rodríguez, tema: Iniciativa con Proyecto de Decreto por el que se adiciona la fracción VII del artículo 9 de la Ley de Educación del Estado de México, programación para el día martes 25 de noviembre de 2025, a las 13:00 horas </w:t>
      </w:r>
      <w:r w:rsidRPr="003918AB">
        <w:lastRenderedPageBreak/>
        <w:t>en el Salón Protocolo y modalidad mixta, Comisión Educación, Cultura, Ciencia, Tecnología e Innovación; Salud, Asistencia y Bienestar Social; tipo de reunión: reunión de trabajo y, en su caso, dictaminación.</w:t>
      </w:r>
    </w:p>
    <w:p w:rsidR="000C639D" w:rsidRPr="003918AB" w:rsidRDefault="000C639D" w:rsidP="000C639D">
      <w:pPr>
        <w:pStyle w:val="Sinespaciado"/>
      </w:pPr>
      <w:r w:rsidRPr="003918AB">
        <w:tab/>
        <w:t>Siguiente Autoría Comisión Especial de Innovación Gobierno Digital e Inteligencia Artificial; tema: reunión de la Comisión Especial de Innovación, Gobierno Digital e Inteligencia Artificial, programada para el miércoles 26 de noviembre, a las10:00 horas en el Salón Benito Juárez y en modalidad mixta; Comisión, Comité Especial de Innovación, Gobierno Digital e Inteligencia Artificial, reunión de trabajo.</w:t>
      </w:r>
    </w:p>
    <w:p w:rsidR="000C639D" w:rsidRPr="003918AB" w:rsidRDefault="000C639D" w:rsidP="000C639D">
      <w:pPr>
        <w:pStyle w:val="Sinespaciado"/>
      </w:pPr>
      <w:r w:rsidRPr="003918AB">
        <w:tab/>
        <w:t>Y la última, Comisión Legislativa de Límites Territoriales del Estado de México y sus Municipios; tema: reunión de la Comisión Legislativa de Límites Territoriales del Estado de México, programada para el miércoles 26 de noviembre de 2025, a las 10:00 horas en el Salón Protocolo y modalidad mixta; Comisión Límites Territoriales del Estado de México y sus Municipios; tipo de reunión: reunión de trabajo.</w:t>
      </w:r>
    </w:p>
    <w:p w:rsidR="000C639D" w:rsidRPr="003918AB" w:rsidRDefault="000C639D" w:rsidP="000C639D">
      <w:pPr>
        <w:pStyle w:val="Sinespaciado"/>
      </w:pPr>
      <w:r w:rsidRPr="003918AB">
        <w:rPr>
          <w:kern w:val="2"/>
          <w:lang w:eastAsia="es-MX"/>
        </w:rPr>
        <w:t xml:space="preserve">PRESIDENTA DIP. MARTHA AZUCENA CAMACHO REYNOSO. </w:t>
      </w:r>
      <w:r w:rsidRPr="003918AB">
        <w:t>Gracias diputada Secretaria Maricela Beltrán Sánchez.</w:t>
      </w:r>
    </w:p>
    <w:p w:rsidR="000C639D" w:rsidRPr="003918AB" w:rsidRDefault="000C639D" w:rsidP="000C639D">
      <w:pPr>
        <w:pStyle w:val="Sinespaciado"/>
      </w:pPr>
      <w:r w:rsidRPr="003918AB">
        <w:tab/>
        <w:t xml:space="preserve">Registre la </w:t>
      </w:r>
      <w:r w:rsidR="00F02664" w:rsidRPr="003918AB">
        <w:t>Secretaría</w:t>
      </w:r>
      <w:r w:rsidRPr="003918AB">
        <w:t xml:space="preserve"> la asistencia a la sesión.</w:t>
      </w:r>
    </w:p>
    <w:p w:rsidR="000C639D" w:rsidRPr="003918AB" w:rsidRDefault="000C639D" w:rsidP="000C639D">
      <w:pPr>
        <w:pStyle w:val="Sinespaciado"/>
      </w:pPr>
      <w:r w:rsidRPr="003918AB">
        <w:rPr>
          <w:kern w:val="2"/>
          <w:lang w:eastAsia="es-MX"/>
        </w:rPr>
        <w:t xml:space="preserve">SECRETARIA DIP. MARICELA BELTRÁN SÁNCHEZ. </w:t>
      </w:r>
      <w:r w:rsidRPr="003918AB">
        <w:t>Ha sido registrada la asistencia.</w:t>
      </w:r>
    </w:p>
    <w:p w:rsidR="000C639D" w:rsidRPr="003918AB" w:rsidRDefault="000C639D" w:rsidP="000C639D">
      <w:pPr>
        <w:pStyle w:val="Sinespaciado"/>
      </w:pPr>
      <w:r w:rsidRPr="003918AB">
        <w:rPr>
          <w:kern w:val="2"/>
          <w:lang w:eastAsia="es-MX"/>
        </w:rPr>
        <w:t xml:space="preserve">PRESIDENTA DIP. MARTHA AZUCENA CAMACHO REYNOSO. </w:t>
      </w:r>
      <w:r w:rsidRPr="003918AB">
        <w:t>Habiendo agotado los puntos en cartera, se levanta la Sesión Deliberante, siendo diecisiete horas con cuarenta y siete minutos del día miércoles diecinueve de noviembre del año en curso y se cita a esta Legislatura a la sesión que celebraremos el día veintiséis de noviembre del presente año, a las doce horas en este recinto.</w:t>
      </w:r>
    </w:p>
    <w:p w:rsidR="000C639D" w:rsidRPr="003918AB" w:rsidRDefault="000C639D" w:rsidP="000C639D">
      <w:pPr>
        <w:pStyle w:val="Sinespaciado"/>
      </w:pPr>
      <w:r w:rsidRPr="003918AB">
        <w:rPr>
          <w:kern w:val="2"/>
          <w:lang w:eastAsia="es-MX"/>
        </w:rPr>
        <w:t xml:space="preserve">SECRETARIA DIP. MARICELA BELTRÁN SÁNCHEZ. </w:t>
      </w:r>
      <w:r w:rsidRPr="003918AB">
        <w:t>Esta sesión ha quedado grabada en la cinta marcada con la clave número 087-A-LXII.</w:t>
      </w:r>
    </w:p>
    <w:p w:rsidR="000C639D" w:rsidRPr="003918AB" w:rsidRDefault="000C639D" w:rsidP="000C639D">
      <w:pPr>
        <w:pStyle w:val="Sinespaciado"/>
        <w:ind w:firstLine="709"/>
      </w:pPr>
      <w:r w:rsidRPr="003918AB">
        <w:t>Gracias.</w:t>
      </w:r>
    </w:p>
    <w:sectPr w:rsidR="000C639D" w:rsidRPr="003918AB" w:rsidSect="00F94F0E">
      <w:headerReference w:type="even" r:id="rId77"/>
      <w:headerReference w:type="default" r:id="rId78"/>
      <w:footerReference w:type="even" r:id="rId79"/>
      <w:footerReference w:type="default" r:id="rId80"/>
      <w:headerReference w:type="first" r:id="rId81"/>
      <w:footerReference w:type="first" r:id="rId82"/>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4F55" w:rsidRDefault="00844F55" w:rsidP="001105DF">
      <w:pPr>
        <w:spacing w:after="0" w:line="240" w:lineRule="auto"/>
      </w:pPr>
      <w:r>
        <w:separator/>
      </w:r>
    </w:p>
  </w:endnote>
  <w:endnote w:type="continuationSeparator" w:id="0">
    <w:p w:rsidR="00844F55" w:rsidRDefault="00844F55"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 w:name="Gotham Book">
    <w:altName w:val="Calibri"/>
    <w:charset w:val="00"/>
    <w:family w:val="auto"/>
    <w:pitch w:val="variable"/>
    <w:sig w:usb0="A00000AF" w:usb1="40000048" w:usb2="00000000" w:usb3="00000000" w:csb0="00000111" w:csb1="00000000"/>
  </w:font>
  <w:font w:name="HelveticaNeueLT Std Med Cn">
    <w:panose1 w:val="00000000000000000000"/>
    <w:charset w:val="00"/>
    <w:family w:val="swiss"/>
    <w:notTrueType/>
    <w:pitch w:val="variable"/>
    <w:sig w:usb0="800000AF" w:usb1="4000204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HelveticaNeueLT Std">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NeueLT Std Blk">
    <w:panose1 w:val="00000000000000000000"/>
    <w:charset w:val="00"/>
    <w:family w:val="swiss"/>
    <w:notTrueType/>
    <w:pitch w:val="variable"/>
    <w:sig w:usb0="800000AF" w:usb1="4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old">
    <w:altName w:val="Times New Roman"/>
    <w:charset w:val="00"/>
    <w:family w:val="auto"/>
    <w:pitch w:val="variable"/>
    <w:sig w:usb0="00000003" w:usb1="00000000" w:usb2="00000000" w:usb3="00000000" w:csb0="00000001" w:csb1="00000000"/>
  </w:font>
  <w:font w:name="HelveticaNeueLT Std Med">
    <w:panose1 w:val="00000000000000000000"/>
    <w:charset w:val="00"/>
    <w:family w:val="swiss"/>
    <w:notTrueType/>
    <w:pitch w:val="variable"/>
    <w:sig w:usb0="800000AF" w:usb1="4000204A" w:usb2="00000000" w:usb3="00000000" w:csb0="00000001" w:csb1="00000000"/>
  </w:font>
  <w:font w:name="Sylfaen">
    <w:panose1 w:val="010A0502050306030303"/>
    <w:charset w:val="00"/>
    <w:family w:val="roman"/>
    <w:pitch w:val="variable"/>
    <w:sig w:usb0="04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Trebuchet MS Bold">
    <w:altName w:val="Trebuchet MS"/>
    <w:charset w:val="00"/>
    <w:family w:val="auto"/>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Montserrat ExtraBold">
    <w:altName w:val="Calibri"/>
    <w:charset w:val="00"/>
    <w:family w:val="auto"/>
    <w:pitch w:val="variable"/>
    <w:sig w:usb0="A00002FF" w:usb1="4000207B" w:usb2="00000000" w:usb3="00000000" w:csb0="00000197" w:csb1="00000000"/>
  </w:font>
  <w:font w:name="Montserrat Light">
    <w:altName w:val="Calibri"/>
    <w:charset w:val="00"/>
    <w:family w:val="auto"/>
    <w:pitch w:val="variable"/>
    <w:sig w:usb0="A00002FF" w:usb1="4000207B" w:usb2="00000000" w:usb3="00000000" w:csb0="00000197" w:csb1="00000000"/>
  </w:font>
  <w:font w:name="Montserrat">
    <w:altName w:val="Calibri"/>
    <w:charset w:val="00"/>
    <w:family w:val="auto"/>
    <w:pitch w:val="variable"/>
    <w:sig w:usb0="A00002FF" w:usb1="4000207B" w:usb2="00000000" w:usb3="00000000" w:csb0="00000197" w:csb1="00000000"/>
  </w:font>
  <w:font w:name="Adobe Garamond Pro">
    <w:charset w:val="00"/>
    <w:family w:val="roman"/>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ill Sans">
    <w:altName w:val="Arial"/>
    <w:charset w:val="B1"/>
    <w:family w:val="swiss"/>
    <w:pitch w:val="variable"/>
    <w:sig w:usb0="80000A67" w:usb1="00000000" w:usb2="00000000" w:usb3="00000000" w:csb0="000001F7" w:csb1="00000000"/>
  </w:font>
  <w:font w:name="Futura Bk BT">
    <w:altName w:val="Lucida Sans Unicode"/>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 w:name="Avant Garde">
    <w:altName w:val="Gill Sans MT"/>
    <w:panose1 w:val="00000000000000000000"/>
    <w:charset w:val="00"/>
    <w:family w:val="roman"/>
    <w:notTrueType/>
    <w:pitch w:val="default"/>
  </w:font>
  <w:font w:name="Droid Sans Fallback">
    <w:altName w:val="MS Gothic"/>
    <w:charset w:val="80"/>
    <w:family w:val="auto"/>
    <w:pitch w:val="variable"/>
  </w:font>
  <w:font w:name="font279">
    <w:altName w:val="MS Gothic"/>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Liberation Sans">
    <w:altName w:val="Arial"/>
    <w:charset w:val="00"/>
    <w:family w:val="swiss"/>
    <w:pitch w:val="variable"/>
  </w:font>
  <w:font w:name="Noto Sans SC Regular">
    <w:charset w:val="01"/>
    <w:family w:val="auto"/>
    <w:pitch w:val="variable"/>
  </w:font>
  <w:font w:name="Noto Sans Devanagari">
    <w:charset w:val="00"/>
    <w:family w:val="swiss"/>
    <w:pitch w:val="variable"/>
    <w:sig w:usb0="80008023" w:usb1="00002046" w:usb2="00000000" w:usb3="00000000" w:csb0="00000001" w:csb1="00000000"/>
  </w:font>
  <w:font w:name="Verdana">
    <w:panose1 w:val="020B0604030504040204"/>
    <w:charset w:val="00"/>
    <w:family w:val="swiss"/>
    <w:pitch w:val="variable"/>
    <w:sig w:usb0="A00006FF" w:usb1="4000205B" w:usb2="00000010" w:usb3="00000000" w:csb0="0000019F" w:csb1="00000000"/>
  </w:font>
  <w:font w:name="New York">
    <w:panose1 w:val="02040503060506020304"/>
    <w:charset w:val="00"/>
    <w:family w:val="roman"/>
    <w:notTrueType/>
    <w:pitch w:val="variable"/>
    <w:sig w:usb0="00000003" w:usb1="00000000" w:usb2="00000000" w:usb3="00000000" w:csb0="00000001" w:csb1="00000000"/>
  </w:font>
  <w:font w:name="SimSun, 宋体">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horndale">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Eureka Sans">
    <w:altName w:val="Calibri"/>
    <w:panose1 w:val="00000000000000000000"/>
    <w:charset w:val="00"/>
    <w:family w:val="swiss"/>
    <w:notTrueType/>
    <w:pitch w:val="default"/>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Soberana Texto">
    <w:altName w:val="Cambria"/>
    <w:panose1 w:val="00000000000000000000"/>
    <w:charset w:val="00"/>
    <w:family w:val="roman"/>
    <w:notTrueType/>
    <w:pitch w:val="default"/>
    <w:sig w:usb0="00000003" w:usb1="00000000" w:usb2="00000000" w:usb3="00000000" w:csb0="00000001" w:csb1="00000000"/>
  </w:font>
  <w:font w:name="Noto Serif CJK SC">
    <w:charset w:val="80"/>
    <w:family w:val="roman"/>
    <w:pitch w:val="variable"/>
    <w:sig w:usb0="30000083" w:usb1="2BDF3C10" w:usb2="00000016" w:usb3="00000000" w:csb0="002E0107" w:csb1="00000000"/>
  </w:font>
  <w:font w:name="Lohit Devanagari">
    <w:altName w:val="Calibri"/>
    <w:charset w:val="00"/>
    <w:family w:val="auto"/>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Times New R཯ऀ値대">
    <w:altName w:val="Times New Roman"/>
    <w:charset w:val="00"/>
    <w:family w:val="roman"/>
    <w:pitch w:val="variable"/>
  </w:font>
  <w:font w:name="Times">
    <w:panose1 w:val="02020603050405020304"/>
    <w:charset w:val="00"/>
    <w:family w:val="roman"/>
    <w:pitch w:val="variable"/>
    <w:sig w:usb0="E0002EFF" w:usb1="C000785B" w:usb2="00000009" w:usb3="00000000" w:csb0="000001FF" w:csb1="00000000"/>
  </w:font>
  <w:font w:name="Liberation Mono">
    <w:altName w:val="Courier New"/>
    <w:charset w:val="01"/>
    <w:family w:val="modern"/>
    <w:pitch w:val="fixed"/>
  </w:font>
  <w:font w:name="HG Mincho Light J">
    <w:altName w:val="msmincho"/>
    <w:charset w:val="00"/>
    <w:family w:val="auto"/>
    <w:pitch w:val="variable"/>
  </w:font>
  <w:font w:name="Linotype Syntax Com Regular">
    <w:altName w:val="Calibri"/>
    <w:panose1 w:val="00000000000000000000"/>
    <w:charset w:val="00"/>
    <w:family w:val="swiss"/>
    <w:notTrueType/>
    <w:pitch w:val="default"/>
    <w:sig w:usb0="00000003" w:usb1="00000000" w:usb2="00000000" w:usb3="00000000" w:csb0="00000001" w:csb1="00000000"/>
  </w:font>
  <w:font w:name="CG Palacio (WN)">
    <w:panose1 w:val="00000000000000000000"/>
    <w:charset w:val="00"/>
    <w:family w:val="roman"/>
    <w:notTrueType/>
    <w:pitch w:val="default"/>
    <w:sig w:usb0="00000003" w:usb1="00000000" w:usb2="00000000" w:usb3="00000000" w:csb0="00000001" w:csb1="00000000"/>
  </w:font>
  <w:font w:name="HelveticaNeueLT Std Lt">
    <w:panose1 w:val="00000000000000000000"/>
    <w:charset w:val="00"/>
    <w:family w:val="swiss"/>
    <w:notTrueType/>
    <w:pitch w:val="variable"/>
    <w:sig w:usb0="800000AF" w:usb1="4000204A" w:usb2="00000000" w:usb3="00000000" w:csb0="00000001" w:csb1="00000000"/>
  </w:font>
  <w:font w:name="Raleway">
    <w:charset w:val="00"/>
    <w:family w:val="auto"/>
    <w:pitch w:val="variable"/>
    <w:sig w:usb0="A00002FF" w:usb1="5000205B" w:usb2="00000000" w:usb3="00000000" w:csb0="00000197" w:csb1="00000000"/>
  </w:font>
  <w:font w:name="Meiryo">
    <w:charset w:val="80"/>
    <w:family w:val="swiss"/>
    <w:pitch w:val="variable"/>
    <w:sig w:usb0="E00002FF" w:usb1="6AC7FFFF" w:usb2="08000012" w:usb3="00000000" w:csb0="0002009F" w:csb1="00000000"/>
  </w:font>
  <w:font w:name="Avenir LT Std 35 Light">
    <w:altName w:val="Calibri"/>
    <w:panose1 w:val="00000000000000000000"/>
    <w:charset w:val="00"/>
    <w:family w:val="swiss"/>
    <w:notTrueType/>
    <w:pitch w:val="variable"/>
    <w:sig w:usb0="00000003" w:usb1="00000000" w:usb2="00000000" w:usb3="00000000" w:csb0="00000001" w:csb1="00000000"/>
  </w:font>
  <w:font w:name="Fira Sans">
    <w:charset w:val="00"/>
    <w:family w:val="swiss"/>
    <w:pitch w:val="variable"/>
    <w:sig w:usb0="600002FF" w:usb1="00000001" w:usb2="00000000" w:usb3="00000000" w:csb0="0000019F" w:csb1="00000000"/>
  </w:font>
  <w:font w:name="Optima">
    <w:charset w:val="00"/>
    <w:family w:val="swiss"/>
    <w:pitch w:val="variable"/>
    <w:sig w:usb0="00000007" w:usb1="00000000" w:usb2="00000000" w:usb3="00000000" w:csb0="00000093" w:csb1="00000000"/>
  </w:font>
  <w:font w:name="Frutiger LT Std 45 Light">
    <w:panose1 w:val="00000000000000000000"/>
    <w:charset w:val="00"/>
    <w:family w:val="swiss"/>
    <w:notTrueType/>
    <w:pitch w:val="variable"/>
    <w:sig w:usb0="800000AF" w:usb1="4000204A" w:usb2="00000000" w:usb3="00000000" w:csb0="00000001" w:csb1="00000000"/>
  </w:font>
  <w:font w:name="ONLKPP+CenturyGothic">
    <w:altName w:val="Century Gothic"/>
    <w:panose1 w:val="00000000000000000000"/>
    <w:charset w:val="00"/>
    <w:family w:val="swiss"/>
    <w:notTrueType/>
    <w:pitch w:val="default"/>
    <w:sig w:usb0="00000003" w:usb1="00000000" w:usb2="00000000" w:usb3="00000000" w:csb0="00000001" w:csb1="00000000"/>
  </w:font>
  <w:font w:name="Open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MS Sans Serif">
    <w:panose1 w:val="00000000000000000000"/>
    <w:charset w:val="00"/>
    <w:family w:val="swiss"/>
    <w:notTrueType/>
    <w:pitch w:val="variable"/>
    <w:sig w:usb0="00000003" w:usb1="00000000" w:usb2="00000000" w:usb3="00000000" w:csb0="00000001" w:csb1="00000000"/>
  </w:font>
  <w:font w:name="Open Sans Light">
    <w:charset w:val="00"/>
    <w:family w:val="swiss"/>
    <w:pitch w:val="variable"/>
    <w:sig w:usb0="E00002EF" w:usb1="4000205B" w:usb2="00000028" w:usb3="00000000" w:csb0="0000019F" w:csb1="00000000"/>
  </w:font>
  <w:font w:name="Soberana Sans">
    <w:altName w:val="Calibri"/>
    <w:panose1 w:val="00000000000000000000"/>
    <w:charset w:val="00"/>
    <w:family w:val="modern"/>
    <w:notTrueType/>
    <w:pitch w:val="variable"/>
    <w:sig w:usb0="800000AF" w:usb1="4000204B" w:usb2="00000000" w:usb3="00000000" w:csb0="00000001" w:csb1="00000000"/>
  </w:font>
  <w:font w:name="HelveticaNeueLT Std Lt Cn">
    <w:panose1 w:val="00000000000000000000"/>
    <w:charset w:val="00"/>
    <w:family w:val="swiss"/>
    <w:notTrueType/>
    <w:pitch w:val="variable"/>
    <w:sig w:usb0="800000AF" w:usb1="4000204A" w:usb2="00000000" w:usb3="00000000" w:csb0="00000001" w:csb1="00000000"/>
  </w:font>
  <w:font w:name="ArialMT">
    <w:altName w:val="Arial"/>
    <w:charset w:val="00"/>
    <w:family w:val="auto"/>
    <w:pitch w:val="variable"/>
    <w:sig w:usb0="E0002AFF" w:usb1="C0007843"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badi MT Condensed Light">
    <w:charset w:val="00"/>
    <w:family w:val="swiss"/>
    <w:pitch w:val="variable"/>
  </w:font>
  <w:font w:name="Tms Rmn">
    <w:panose1 w:val="02020603040505020304"/>
    <w:charset w:val="00"/>
    <w:family w:val="roman"/>
    <w:notTrueType/>
    <w:pitch w:val="variable"/>
    <w:sig w:usb0="00000003" w:usb1="00000000" w:usb2="00000000" w:usb3="00000000" w:csb0="00000001" w:csb1="00000000"/>
  </w:font>
  <w:font w:name="MS Minngs">
    <w:altName w:val="Arial Unicode MS"/>
    <w:panose1 w:val="00000000000000000000"/>
    <w:charset w:val="80"/>
    <w:family w:val="roman"/>
    <w:notTrueType/>
    <w:pitch w:val="fixed"/>
    <w:sig w:usb0="00000000" w:usb1="08070000" w:usb2="00000010" w:usb3="00000000" w:csb0="00020000" w:csb1="00000000"/>
  </w:font>
  <w:font w:name="Lucida Sans Typewriter">
    <w:panose1 w:val="020B0509030504030204"/>
    <w:charset w:val="00"/>
    <w:family w:val="modern"/>
    <w:pitch w:val="fixed"/>
    <w:sig w:usb0="00000003" w:usb1="00000000" w:usb2="00000000" w:usb3="00000000" w:csb0="00000001" w:csb1="00000000"/>
  </w:font>
  <w:font w:name="Gotham Medium">
    <w:charset w:val="00"/>
    <w:family w:val="auto"/>
    <w:pitch w:val="variable"/>
    <w:sig w:usb0="A00000AF" w:usb1="40000048" w:usb2="00000000" w:usb3="00000000" w:csb0="00000111" w:csb1="00000000"/>
  </w:font>
  <w:font w:name="DengXian">
    <w:altName w:val="等线"/>
    <w:panose1 w:val="02010600030101010101"/>
    <w:charset w:val="86"/>
    <w:family w:val="auto"/>
    <w:pitch w:val="variable"/>
    <w:sig w:usb0="A00002BF" w:usb1="38CF7CFA" w:usb2="00000016" w:usb3="00000000" w:csb0="0004000F" w:csb1="00000000"/>
  </w:font>
  <w:font w:name="HelveticaNeueLT Std Ext">
    <w:panose1 w:val="00000000000000000000"/>
    <w:charset w:val="00"/>
    <w:family w:val="swiss"/>
    <w:notTrueType/>
    <w:pitch w:val="variable"/>
    <w:sig w:usb0="800000AF" w:usb1="40002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G Times">
    <w:charset w:val="00"/>
    <w:family w:val="roman"/>
    <w:pitch w:val="variable"/>
    <w:sig w:usb0="00000287" w:usb1="00000000" w:usb2="00000000" w:usb3="00000000" w:csb0="0000009F" w:csb1="00000000"/>
  </w:font>
  <w:font w:name="Gotham">
    <w:charset w:val="00"/>
    <w:family w:val="auto"/>
    <w:pitch w:val="variable"/>
    <w:sig w:usb0="800000A7" w:usb1="00000000" w:usb2="00000000" w:usb3="00000000" w:csb0="00000009" w:csb1="00000000"/>
  </w:font>
  <w:font w:name="Gotham Bold">
    <w:altName w:val="Segoe UI Semibold"/>
    <w:charset w:val="00"/>
    <w:family w:val="auto"/>
    <w:pitch w:val="variable"/>
    <w:sig w:usb0="A00000FF" w:usb1="4000004A" w:usb2="00000000" w:usb3="00000000" w:csb0="0000011B" w:csb1="00000000"/>
  </w:font>
  <w:font w:name="GaAamond">
    <w:panose1 w:val="00000000000000000000"/>
    <w:charset w:val="00"/>
    <w:family w:val="roman"/>
    <w:notTrueType/>
    <w:pitch w:val="default"/>
    <w:sig w:usb0="00000003" w:usb1="00000000" w:usb2="00000000" w:usb3="00000000" w:csb0="00000001" w:csb1="00000000"/>
  </w:font>
  <w:font w:name="ArAal">
    <w:altName w:val="Cambria"/>
    <w:panose1 w:val="00000000000000000000"/>
    <w:charset w:val="00"/>
    <w:family w:val="roman"/>
    <w:notTrueType/>
    <w:pitch w:val="default"/>
  </w:font>
  <w:font w:name="SeAoe UI">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Antique Olive">
    <w:charset w:val="00"/>
    <w:family w:val="swiss"/>
    <w:pitch w:val="variable"/>
    <w:sig w:usb0="00000007" w:usb1="00000000" w:usb2="00000000" w:usb3="00000000" w:csb0="00000093" w:csb1="00000000"/>
  </w:font>
  <w:font w:name="GillSans">
    <w:altName w:val="Lucida Sans Unicode"/>
    <w:panose1 w:val="00000000000000000000"/>
    <w:charset w:val="00"/>
    <w:family w:val="swiss"/>
    <w:notTrueType/>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Segoe MDL2 Assets">
    <w:panose1 w:val="050A0102010101010101"/>
    <w:charset w:val="00"/>
    <w:family w:val="roman"/>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7F2" w:rsidRDefault="00BD17F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392080"/>
      <w:docPartObj>
        <w:docPartGallery w:val="Page Numbers (Bottom of Page)"/>
        <w:docPartUnique/>
      </w:docPartObj>
    </w:sdtPr>
    <w:sdtContent>
      <w:p w:rsidR="00BD17F2" w:rsidRDefault="00BD17F2" w:rsidP="00202E02">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7F2" w:rsidRDefault="00BD17F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4F55" w:rsidRDefault="00844F55" w:rsidP="001105DF">
      <w:pPr>
        <w:spacing w:after="0" w:line="240" w:lineRule="auto"/>
      </w:pPr>
      <w:r>
        <w:separator/>
      </w:r>
    </w:p>
  </w:footnote>
  <w:footnote w:type="continuationSeparator" w:id="0">
    <w:p w:rsidR="00844F55" w:rsidRDefault="00844F55" w:rsidP="001105DF">
      <w:pPr>
        <w:spacing w:after="0" w:line="240" w:lineRule="auto"/>
      </w:pPr>
      <w:r>
        <w:continuationSeparator/>
      </w:r>
    </w:p>
  </w:footnote>
  <w:footnote w:id="1">
    <w:p w:rsidR="00BD17F2" w:rsidRPr="0031163C" w:rsidRDefault="00BD17F2" w:rsidP="00DE3CD9">
      <w:pPr>
        <w:pStyle w:val="Textonotapie1"/>
        <w:rPr>
          <w:rFonts w:ascii="Gotham Book" w:hAnsi="Gotham Book"/>
        </w:rPr>
      </w:pPr>
      <w:r w:rsidRPr="0031163C">
        <w:rPr>
          <w:rStyle w:val="Refdenotaalpie"/>
          <w:rFonts w:ascii="Gotham Book" w:hAnsi="Gotham Book"/>
          <w:sz w:val="16"/>
          <w:szCs w:val="16"/>
        </w:rPr>
        <w:footnoteRef/>
      </w:r>
      <w:r w:rsidRPr="0031163C">
        <w:rPr>
          <w:rFonts w:ascii="Gotham Book" w:hAnsi="Gotham Book"/>
          <w:sz w:val="16"/>
          <w:szCs w:val="16"/>
        </w:rPr>
        <w:t xml:space="preserve"> Secretaría de Economía,</w:t>
      </w:r>
      <w:r w:rsidRPr="0031163C">
        <w:rPr>
          <w:rFonts w:ascii="Gotham Book" w:hAnsi="Gotham Book"/>
          <w:i/>
          <w:iCs/>
          <w:sz w:val="16"/>
          <w:szCs w:val="16"/>
        </w:rPr>
        <w:t xml:space="preserve"> Inversión Extranjera Directa por entidad federativa.</w:t>
      </w:r>
    </w:p>
  </w:footnote>
  <w:footnote w:id="2">
    <w:p w:rsidR="00BD17F2" w:rsidRDefault="00BD17F2" w:rsidP="00DE3CD9">
      <w:pPr>
        <w:pStyle w:val="Textonotapie1"/>
      </w:pPr>
      <w:r w:rsidRPr="0031163C">
        <w:rPr>
          <w:rStyle w:val="Refdenotaalpie"/>
          <w:rFonts w:ascii="Gotham Book" w:hAnsi="Gotham Book"/>
          <w:sz w:val="16"/>
          <w:szCs w:val="16"/>
        </w:rPr>
        <w:footnoteRef/>
      </w:r>
      <w:r w:rsidRPr="0031163C">
        <w:rPr>
          <w:rFonts w:ascii="Gotham Book" w:hAnsi="Gotham Book"/>
          <w:sz w:val="16"/>
          <w:szCs w:val="16"/>
        </w:rPr>
        <w:t xml:space="preserve"> Instituto Mexicano del Seguro Social, </w:t>
      </w:r>
      <w:r w:rsidRPr="0031163C">
        <w:rPr>
          <w:rFonts w:ascii="Gotham Book" w:hAnsi="Gotham Book"/>
          <w:i/>
          <w:iCs/>
          <w:sz w:val="16"/>
          <w:szCs w:val="16"/>
        </w:rPr>
        <w:t>Puestos de trabajo afiliados.</w:t>
      </w:r>
    </w:p>
  </w:footnote>
  <w:footnote w:id="3">
    <w:p w:rsidR="00BD17F2" w:rsidRPr="0031163C" w:rsidRDefault="00BD17F2" w:rsidP="00DE3CD9">
      <w:pPr>
        <w:pStyle w:val="Textonotapie1"/>
        <w:rPr>
          <w:rFonts w:ascii="Gotham Book" w:hAnsi="Gotham Book"/>
        </w:rPr>
      </w:pPr>
      <w:r w:rsidRPr="0031163C">
        <w:rPr>
          <w:rStyle w:val="Refdenotaalpie"/>
          <w:rFonts w:ascii="Gotham Book" w:hAnsi="Gotham Book"/>
          <w:sz w:val="16"/>
          <w:szCs w:val="16"/>
        </w:rPr>
        <w:footnoteRef/>
      </w:r>
      <w:r w:rsidRPr="0031163C">
        <w:rPr>
          <w:rFonts w:ascii="Gotham Book" w:hAnsi="Gotham Book"/>
          <w:sz w:val="16"/>
          <w:szCs w:val="16"/>
        </w:rPr>
        <w:t xml:space="preserve"> Banco de México, </w:t>
      </w:r>
      <w:r w:rsidRPr="0031163C">
        <w:rPr>
          <w:rFonts w:ascii="Gotham Book" w:hAnsi="Gotham Book"/>
          <w:i/>
          <w:iCs/>
          <w:sz w:val="16"/>
          <w:szCs w:val="16"/>
        </w:rPr>
        <w:t>Informe Trimestral abril-junio 2025.</w:t>
      </w:r>
    </w:p>
  </w:footnote>
  <w:footnote w:id="4">
    <w:p w:rsidR="00BD17F2" w:rsidRPr="007C2942" w:rsidRDefault="00BD17F2" w:rsidP="00DE3CD9">
      <w:pPr>
        <w:pStyle w:val="Textonotapie1"/>
        <w:rPr>
          <w:i/>
          <w:iCs/>
        </w:rPr>
      </w:pPr>
      <w:r w:rsidRPr="00E93716">
        <w:rPr>
          <w:rStyle w:val="Refdenotaalpie"/>
          <w:sz w:val="16"/>
          <w:szCs w:val="16"/>
        </w:rPr>
        <w:footnoteRef/>
      </w:r>
      <w:r w:rsidRPr="00E93716">
        <w:rPr>
          <w:sz w:val="16"/>
          <w:szCs w:val="16"/>
        </w:rPr>
        <w:t xml:space="preserve"> Fondo Monetario Internacional, </w:t>
      </w:r>
      <w:r w:rsidRPr="007C2942">
        <w:rPr>
          <w:i/>
          <w:iCs/>
          <w:sz w:val="16"/>
          <w:szCs w:val="16"/>
        </w:rPr>
        <w:t>Perspectivas Económicas Regionales: Las Américas</w:t>
      </w:r>
      <w:r>
        <w:rPr>
          <w:i/>
          <w:iCs/>
          <w:sz w:val="16"/>
          <w:szCs w:val="16"/>
        </w:rPr>
        <w:t>,</w:t>
      </w:r>
      <w:r w:rsidRPr="007C2942">
        <w:rPr>
          <w:i/>
          <w:iCs/>
          <w:sz w:val="16"/>
          <w:szCs w:val="16"/>
        </w:rPr>
        <w:t xml:space="preserve"> </w:t>
      </w:r>
      <w:r>
        <w:rPr>
          <w:i/>
          <w:iCs/>
          <w:sz w:val="16"/>
          <w:szCs w:val="16"/>
        </w:rPr>
        <w:t>a</w:t>
      </w:r>
      <w:r w:rsidRPr="007C2942">
        <w:rPr>
          <w:i/>
          <w:iCs/>
          <w:sz w:val="16"/>
          <w:szCs w:val="16"/>
        </w:rPr>
        <w:t>bril de 2025</w:t>
      </w:r>
      <w:r>
        <w:rPr>
          <w:i/>
          <w:iCs/>
          <w:sz w:val="16"/>
          <w:szCs w:val="16"/>
        </w:rPr>
        <w:t>.</w:t>
      </w:r>
    </w:p>
  </w:footnote>
  <w:footnote w:id="5">
    <w:p w:rsidR="00BD17F2" w:rsidRPr="0031163C" w:rsidRDefault="00BD17F2" w:rsidP="00DE3CD9">
      <w:pPr>
        <w:pStyle w:val="Textonotapie1"/>
        <w:rPr>
          <w:rFonts w:ascii="Gotham Book" w:hAnsi="Gotham Book"/>
        </w:rPr>
      </w:pPr>
      <w:r w:rsidRPr="0031163C">
        <w:rPr>
          <w:rStyle w:val="Refdenotaalpie"/>
          <w:rFonts w:ascii="Gotham Book" w:hAnsi="Gotham Book"/>
          <w:sz w:val="16"/>
          <w:szCs w:val="16"/>
        </w:rPr>
        <w:footnoteRef/>
      </w:r>
      <w:r w:rsidRPr="0031163C">
        <w:rPr>
          <w:rFonts w:ascii="Gotham Book" w:hAnsi="Gotham Book"/>
          <w:sz w:val="16"/>
          <w:szCs w:val="16"/>
        </w:rPr>
        <w:t xml:space="preserve"> OCDE, </w:t>
      </w:r>
      <w:r w:rsidRPr="0031163C">
        <w:rPr>
          <w:rFonts w:ascii="Gotham Book" w:hAnsi="Gotham Book"/>
          <w:i/>
          <w:iCs/>
          <w:sz w:val="16"/>
          <w:szCs w:val="16"/>
        </w:rPr>
        <w:t>Perspectivas económicas de la OCDE, Informe provisional: Encontrar el equilibrio adecuado en tiempos de incertidumbre, septiembre 2025.</w:t>
      </w:r>
    </w:p>
  </w:footnote>
  <w:footnote w:id="6">
    <w:p w:rsidR="00BD17F2" w:rsidRPr="00297A23" w:rsidRDefault="00BD17F2" w:rsidP="00DE3CD9">
      <w:pPr>
        <w:pStyle w:val="Textonotapie1"/>
        <w:rPr>
          <w:rFonts w:ascii="Gotham Book" w:hAnsi="Gotham Book"/>
        </w:rPr>
      </w:pPr>
      <w:r w:rsidRPr="00297A23">
        <w:rPr>
          <w:rStyle w:val="Refdenotaalpie"/>
          <w:rFonts w:ascii="Gotham Book" w:hAnsi="Gotham Book"/>
        </w:rPr>
        <w:footnoteRef/>
      </w:r>
      <w:r w:rsidRPr="00297A23">
        <w:rPr>
          <w:rFonts w:ascii="Gotham Book" w:hAnsi="Gotham Book"/>
        </w:rPr>
        <w:t xml:space="preserve"> </w:t>
      </w:r>
      <w:r w:rsidRPr="00297A23">
        <w:rPr>
          <w:rFonts w:ascii="Gotham Book" w:hAnsi="Gotham Book"/>
          <w:sz w:val="16"/>
          <w:szCs w:val="16"/>
        </w:rPr>
        <w:t xml:space="preserve">Banco de México, </w:t>
      </w:r>
      <w:r w:rsidRPr="00297A23">
        <w:rPr>
          <w:rFonts w:ascii="Gotham Book" w:hAnsi="Gotham Book"/>
          <w:i/>
          <w:iCs/>
          <w:sz w:val="16"/>
          <w:szCs w:val="16"/>
        </w:rPr>
        <w:t>Informe Trimestral abril-junio 2025.</w:t>
      </w:r>
    </w:p>
  </w:footnote>
  <w:footnote w:id="7">
    <w:p w:rsidR="00BD17F2" w:rsidRPr="00297A23" w:rsidRDefault="00BD17F2" w:rsidP="00DE3CD9">
      <w:pPr>
        <w:pStyle w:val="Textonotapie1"/>
        <w:rPr>
          <w:rFonts w:ascii="Gotham Book" w:hAnsi="Gotham Book"/>
        </w:rPr>
      </w:pPr>
      <w:r w:rsidRPr="00297A23">
        <w:rPr>
          <w:rStyle w:val="Refdenotaalpie"/>
          <w:rFonts w:ascii="Gotham Book" w:hAnsi="Gotham Book"/>
          <w:sz w:val="16"/>
          <w:szCs w:val="16"/>
        </w:rPr>
        <w:footnoteRef/>
      </w:r>
      <w:r w:rsidRPr="00297A23">
        <w:rPr>
          <w:rFonts w:ascii="Gotham Book" w:hAnsi="Gotham Book"/>
          <w:sz w:val="16"/>
          <w:szCs w:val="16"/>
        </w:rPr>
        <w:t xml:space="preserve"> Secretaría de Hacienda y Crédito Público, </w:t>
      </w:r>
      <w:r w:rsidRPr="00297A23">
        <w:rPr>
          <w:rFonts w:ascii="Gotham Book" w:hAnsi="Gotham Book"/>
          <w:i/>
          <w:iCs/>
          <w:sz w:val="16"/>
          <w:szCs w:val="16"/>
        </w:rPr>
        <w:t>Informe sobre la situación económica, las finanzas públicas y la deuda pública, Segundo Trimestre de 2025.</w:t>
      </w:r>
      <w:r w:rsidRPr="00297A23">
        <w:rPr>
          <w:rFonts w:ascii="Gotham Book" w:hAnsi="Gotham Book"/>
          <w:sz w:val="16"/>
          <w:szCs w:val="16"/>
        </w:rPr>
        <w:t xml:space="preserve"> </w:t>
      </w:r>
    </w:p>
  </w:footnote>
  <w:footnote w:id="8">
    <w:p w:rsidR="00BD17F2" w:rsidRPr="0065035C" w:rsidRDefault="00BD17F2" w:rsidP="001634B4">
      <w:pPr>
        <w:pStyle w:val="Textonotapie"/>
        <w:jc w:val="both"/>
        <w:rPr>
          <w:rFonts w:ascii="Gotham Book" w:hAnsi="Gotham Book"/>
          <w:sz w:val="16"/>
          <w:szCs w:val="16"/>
        </w:rPr>
      </w:pPr>
      <w:r w:rsidRPr="00242AE7">
        <w:rPr>
          <w:rStyle w:val="Refdenotaalpie"/>
        </w:rPr>
        <w:footnoteRef/>
      </w:r>
      <w:r w:rsidRPr="00242AE7">
        <w:t xml:space="preserve"> </w:t>
      </w:r>
      <w:r w:rsidRPr="00242AE7">
        <w:rPr>
          <w:rFonts w:ascii="Gotham Book" w:hAnsi="Gotham Book"/>
          <w:sz w:val="16"/>
          <w:szCs w:val="16"/>
        </w:rPr>
        <w:t>Aguascalientes, Coahuila y Estado de México adoptaron un esquema mixto, Guanajuato, Veracruz y Sonora mantuvieron un sistema de beneficio definido, Nuevo León migró hacia cuentas individuales e Hidalgo se afilió al ISSSTE para los trabajadores que ingresan después de 1998. </w:t>
      </w:r>
      <w:r w:rsidRPr="0065035C">
        <w:rPr>
          <w:rFonts w:ascii="Gotham Book" w:hAnsi="Gotham Book"/>
          <w:sz w:val="16"/>
          <w:szCs w:val="16"/>
        </w:rPr>
        <w:t>Idem. https://archivos.diputados.gob.mx/Centros_Estudio/Cesop/Comisiones/8_ssocial.htm</w:t>
      </w:r>
    </w:p>
  </w:footnote>
  <w:footnote w:id="9">
    <w:p w:rsidR="00BD17F2" w:rsidRPr="00A74A45" w:rsidRDefault="00BD17F2" w:rsidP="00736FF7">
      <w:pPr>
        <w:pBdr>
          <w:top w:val="nil"/>
          <w:left w:val="nil"/>
          <w:bottom w:val="nil"/>
          <w:right w:val="nil"/>
          <w:between w:val="nil"/>
        </w:pBdr>
        <w:rPr>
          <w:rFonts w:ascii="Gotham Book" w:eastAsia="Arial" w:hAnsi="Gotham Book" w:cs="Arial"/>
          <w:color w:val="000000"/>
          <w:sz w:val="16"/>
          <w:szCs w:val="16"/>
        </w:rPr>
      </w:pPr>
      <w:r w:rsidRPr="00A74A45">
        <w:rPr>
          <w:rFonts w:ascii="Gotham Book" w:hAnsi="Gotham Book"/>
          <w:vertAlign w:val="superscript"/>
        </w:rPr>
        <w:footnoteRef/>
      </w:r>
      <w:r w:rsidRPr="00A74A45">
        <w:rPr>
          <w:rFonts w:ascii="Gotham Book" w:eastAsia="Arial" w:hAnsi="Gotham Book" w:cs="Arial"/>
          <w:color w:val="000000"/>
          <w:sz w:val="16"/>
          <w:szCs w:val="16"/>
        </w:rPr>
        <w:t xml:space="preserve"> CONEVAL, Índice de rezago social 2020. </w:t>
      </w:r>
      <w:hyperlink r:id="rId1">
        <w:r w:rsidRPr="00A74A45">
          <w:rPr>
            <w:rFonts w:ascii="Gotham Book" w:eastAsia="Arial" w:hAnsi="Gotham Book" w:cs="Arial"/>
            <w:color w:val="0563C1"/>
            <w:sz w:val="16"/>
            <w:szCs w:val="16"/>
            <w:u w:val="single"/>
          </w:rPr>
          <w:t>https://www.coneval.org.mx/Medicion/IRS/Paginas/Indice_de_Rezago_Social_2020_anexos.aspx</w:t>
        </w:r>
      </w:hyperlink>
      <w:r w:rsidRPr="00A74A45">
        <w:rPr>
          <w:rFonts w:ascii="Gotham Book" w:eastAsia="Arial" w:hAnsi="Gotham Book" w:cs="Arial"/>
          <w:color w:val="000000"/>
          <w:sz w:val="16"/>
          <w:szCs w:val="16"/>
        </w:rPr>
        <w:t xml:space="preserve"> </w:t>
      </w:r>
    </w:p>
  </w:footnote>
  <w:footnote w:id="10">
    <w:p w:rsidR="00BD17F2" w:rsidRPr="00A74A45" w:rsidRDefault="00BD17F2" w:rsidP="00736FF7">
      <w:pPr>
        <w:pBdr>
          <w:top w:val="nil"/>
          <w:left w:val="nil"/>
          <w:bottom w:val="nil"/>
          <w:right w:val="nil"/>
          <w:between w:val="nil"/>
        </w:pBdr>
        <w:rPr>
          <w:rFonts w:ascii="Gotham Book" w:eastAsia="Arial" w:hAnsi="Gotham Book" w:cs="Arial"/>
          <w:color w:val="000000"/>
          <w:sz w:val="16"/>
          <w:szCs w:val="16"/>
        </w:rPr>
      </w:pPr>
      <w:r w:rsidRPr="00A74A45">
        <w:rPr>
          <w:rFonts w:ascii="Gotham Book" w:hAnsi="Gotham Book"/>
          <w:vertAlign w:val="superscript"/>
        </w:rPr>
        <w:footnoteRef/>
      </w:r>
      <w:r w:rsidRPr="00A74A45">
        <w:rPr>
          <w:rFonts w:ascii="Gotham Book" w:eastAsia="Arial" w:hAnsi="Gotham Book" w:cs="Arial"/>
          <w:color w:val="000000"/>
          <w:sz w:val="16"/>
          <w:szCs w:val="16"/>
        </w:rPr>
        <w:t xml:space="preserve"> Bienestar, Informe anual sobre la situación de pobreza y rezago social 2024. </w:t>
      </w:r>
      <w:hyperlink r:id="rId2">
        <w:r w:rsidRPr="00A74A45">
          <w:rPr>
            <w:rFonts w:ascii="Gotham Book" w:eastAsia="Arial" w:hAnsi="Gotham Book" w:cs="Arial"/>
            <w:color w:val="0563C1"/>
            <w:sz w:val="16"/>
            <w:szCs w:val="16"/>
            <w:u w:val="single"/>
          </w:rPr>
          <w:t>https://www.gob.mx/cms/uploads/attachment/file/887106/17Mexico2024.pdf</w:t>
        </w:r>
      </w:hyperlink>
    </w:p>
  </w:footnote>
  <w:footnote w:id="11">
    <w:p w:rsidR="00BD17F2" w:rsidRPr="00A74A45" w:rsidRDefault="00BD17F2" w:rsidP="00736FF7">
      <w:pPr>
        <w:pBdr>
          <w:top w:val="nil"/>
          <w:left w:val="nil"/>
          <w:bottom w:val="nil"/>
          <w:right w:val="nil"/>
          <w:between w:val="nil"/>
        </w:pBdr>
        <w:rPr>
          <w:rFonts w:ascii="Gotham Book" w:eastAsia="Arial" w:hAnsi="Gotham Book" w:cs="Arial"/>
          <w:color w:val="000000"/>
          <w:sz w:val="16"/>
          <w:szCs w:val="16"/>
        </w:rPr>
      </w:pPr>
      <w:r w:rsidRPr="00A74A45">
        <w:rPr>
          <w:rFonts w:ascii="Gotham Book" w:hAnsi="Gotham Book"/>
          <w:vertAlign w:val="superscript"/>
        </w:rPr>
        <w:footnoteRef/>
      </w:r>
      <w:r w:rsidRPr="00A74A45">
        <w:rPr>
          <w:rFonts w:ascii="Gotham Book" w:eastAsia="Arial" w:hAnsi="Gotham Book" w:cs="Arial"/>
          <w:color w:val="000000"/>
          <w:sz w:val="16"/>
          <w:szCs w:val="16"/>
        </w:rPr>
        <w:t xml:space="preserve"> Bienestar, Informe anual sobre la situación de pobreza y rezago social 2024, de Bienestar. </w:t>
      </w:r>
      <w:hyperlink r:id="rId3">
        <w:r w:rsidRPr="00A74A45">
          <w:rPr>
            <w:rFonts w:ascii="Gotham Book" w:eastAsia="Arial" w:hAnsi="Gotham Book" w:cs="Arial"/>
            <w:color w:val="0563C1"/>
            <w:sz w:val="16"/>
            <w:szCs w:val="16"/>
            <w:u w:val="single"/>
          </w:rPr>
          <w:t>https://www.gob.mx/cms/uploads/attachment/file/887106/17Mexico2024.pdf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7F2" w:rsidRDefault="00BD17F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7F2" w:rsidRDefault="00BD17F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17F2" w:rsidRDefault="00BD17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103CD8"/>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7FCAD2DA"/>
    <w:lvl w:ilvl="0">
      <w:start w:val="1"/>
      <w:numFmt w:val="decimal"/>
      <w:pStyle w:val="Listaconnmeros4"/>
      <w:lvlText w:val="%1."/>
      <w:lvlJc w:val="left"/>
      <w:pPr>
        <w:tabs>
          <w:tab w:val="num" w:pos="1209"/>
        </w:tabs>
        <w:ind w:left="1209" w:hanging="360"/>
      </w:pPr>
    </w:lvl>
  </w:abstractNum>
  <w:abstractNum w:abstractNumId="2" w15:restartNumberingAfterBreak="0">
    <w:nsid w:val="FFFFFF80"/>
    <w:multiLevelType w:val="singleLevel"/>
    <w:tmpl w:val="AB2C37FC"/>
    <w:lvl w:ilvl="0">
      <w:start w:val="1"/>
      <w:numFmt w:val="bullet"/>
      <w:pStyle w:val="Listaconvietas5"/>
      <w:lvlText w:val=""/>
      <w:lvlJc w:val="left"/>
      <w:pPr>
        <w:tabs>
          <w:tab w:val="num" w:pos="1492"/>
        </w:tabs>
        <w:ind w:left="1492" w:hanging="360"/>
      </w:pPr>
      <w:rPr>
        <w:rFonts w:ascii="Symbol" w:hAnsi="Symbol" w:hint="default"/>
      </w:rPr>
    </w:lvl>
  </w:abstractNum>
  <w:abstractNum w:abstractNumId="3" w15:restartNumberingAfterBreak="0">
    <w:nsid w:val="FFFFFF83"/>
    <w:multiLevelType w:val="singleLevel"/>
    <w:tmpl w:val="6772DEE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0010D076"/>
    <w:lvl w:ilvl="0">
      <w:numFmt w:val="decimal"/>
      <w:pStyle w:val="BASEL1"/>
      <w:lvlText w:val="*"/>
      <w:lvlJc w:val="left"/>
    </w:lvl>
  </w:abstractNum>
  <w:abstractNum w:abstractNumId="5" w15:restartNumberingAfterBreak="0">
    <w:nsid w:val="001C5E2F"/>
    <w:multiLevelType w:val="hybridMultilevel"/>
    <w:tmpl w:val="17C89138"/>
    <w:lvl w:ilvl="0" w:tplc="080A000F">
      <w:start w:val="1"/>
      <w:numFmt w:val="decimal"/>
      <w:pStyle w:val="baseleg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010D0734"/>
    <w:multiLevelType w:val="hybridMultilevel"/>
    <w:tmpl w:val="D8D4DA9C"/>
    <w:lvl w:ilvl="0" w:tplc="4EF8E306">
      <w:start w:val="1"/>
      <w:numFmt w:val="upperRoman"/>
      <w:pStyle w:val="ENCA-TIT"/>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01AD65FB"/>
    <w:multiLevelType w:val="hybridMultilevel"/>
    <w:tmpl w:val="279019B2"/>
    <w:lvl w:ilvl="0" w:tplc="9F9234DC">
      <w:start w:val="1"/>
      <w:numFmt w:val="upperRoman"/>
      <w:lvlText w:val="%1."/>
      <w:lvlJc w:val="left"/>
      <w:pPr>
        <w:ind w:left="720" w:hanging="360"/>
      </w:pPr>
      <w:rPr>
        <w:rFonts w:hint="default"/>
        <w:b/>
        <w:bCs/>
      </w:rPr>
    </w:lvl>
    <w:lvl w:ilvl="1" w:tplc="7E46C130">
      <w:start w:val="1"/>
      <w:numFmt w:val="lowerLetter"/>
      <w:lvlText w:val="%2."/>
      <w:lvlJc w:val="left"/>
      <w:pPr>
        <w:ind w:left="1440" w:hanging="360"/>
      </w:pPr>
    </w:lvl>
    <w:lvl w:ilvl="2" w:tplc="DFD22C8C">
      <w:start w:val="1"/>
      <w:numFmt w:val="lowerRoman"/>
      <w:lvlText w:val="%3."/>
      <w:lvlJc w:val="right"/>
      <w:pPr>
        <w:ind w:left="2160" w:hanging="180"/>
      </w:pPr>
    </w:lvl>
    <w:lvl w:ilvl="3" w:tplc="44FAB5EA">
      <w:start w:val="1"/>
      <w:numFmt w:val="decimal"/>
      <w:lvlText w:val="%4."/>
      <w:lvlJc w:val="left"/>
      <w:pPr>
        <w:ind w:left="2880" w:hanging="360"/>
      </w:pPr>
    </w:lvl>
    <w:lvl w:ilvl="4" w:tplc="7A8254BE">
      <w:start w:val="1"/>
      <w:numFmt w:val="lowerLetter"/>
      <w:lvlText w:val="%5."/>
      <w:lvlJc w:val="left"/>
      <w:pPr>
        <w:ind w:left="3600" w:hanging="360"/>
      </w:pPr>
    </w:lvl>
    <w:lvl w:ilvl="5" w:tplc="957886BC">
      <w:start w:val="1"/>
      <w:numFmt w:val="lowerRoman"/>
      <w:lvlText w:val="%6."/>
      <w:lvlJc w:val="right"/>
      <w:pPr>
        <w:ind w:left="4320" w:hanging="180"/>
      </w:pPr>
    </w:lvl>
    <w:lvl w:ilvl="6" w:tplc="3F70FAB4">
      <w:start w:val="1"/>
      <w:numFmt w:val="decimal"/>
      <w:lvlText w:val="%7."/>
      <w:lvlJc w:val="left"/>
      <w:pPr>
        <w:ind w:left="5040" w:hanging="360"/>
      </w:pPr>
    </w:lvl>
    <w:lvl w:ilvl="7" w:tplc="7B0C0258">
      <w:start w:val="1"/>
      <w:numFmt w:val="lowerLetter"/>
      <w:lvlText w:val="%8."/>
      <w:lvlJc w:val="left"/>
      <w:pPr>
        <w:ind w:left="5760" w:hanging="360"/>
      </w:pPr>
    </w:lvl>
    <w:lvl w:ilvl="8" w:tplc="48ECDF74">
      <w:start w:val="1"/>
      <w:numFmt w:val="lowerRoman"/>
      <w:lvlText w:val="%9."/>
      <w:lvlJc w:val="right"/>
      <w:pPr>
        <w:ind w:left="6480" w:hanging="180"/>
      </w:pPr>
    </w:lvl>
  </w:abstractNum>
  <w:abstractNum w:abstractNumId="8" w15:restartNumberingAfterBreak="0">
    <w:nsid w:val="01C5148F"/>
    <w:multiLevelType w:val="hybridMultilevel"/>
    <w:tmpl w:val="B462B7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02A77217"/>
    <w:multiLevelType w:val="multilevel"/>
    <w:tmpl w:val="AE2AF766"/>
    <w:styleLink w:val="WWNum31"/>
    <w:lvl w:ilvl="0">
      <w:start w:val="1"/>
      <w:numFmt w:val="decimal"/>
      <w:lvlText w:val="%1."/>
      <w:lvlJc w:val="left"/>
      <w:pPr>
        <w:ind w:left="502" w:hanging="360"/>
      </w:pPr>
      <w:rPr>
        <w:rFonts w:ascii="Arial" w:hAnsi="Arial"/>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2E53E1C"/>
    <w:multiLevelType w:val="multilevel"/>
    <w:tmpl w:val="080A001D"/>
    <w:styleLink w:val="Estilo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39B0279"/>
    <w:multiLevelType w:val="hybridMultilevel"/>
    <w:tmpl w:val="4DB8E768"/>
    <w:lvl w:ilvl="0" w:tplc="0546C3F6">
      <w:start w:val="1"/>
      <w:numFmt w:val="upperRoman"/>
      <w:pStyle w:val="ENCANUM"/>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04AF4BF7"/>
    <w:multiLevelType w:val="hybridMultilevel"/>
    <w:tmpl w:val="2E92E420"/>
    <w:styleLink w:val="Estiloimportado1"/>
    <w:lvl w:ilvl="0" w:tplc="3CCE3A5E">
      <w:start w:val="1"/>
      <w:numFmt w:val="upperRoman"/>
      <w:lvlText w:val="%1."/>
      <w:lvlJc w:val="left"/>
      <w:pPr>
        <w:ind w:left="1080" w:hanging="72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D4A9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26926E">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98DFB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7E27F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CD68994">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8EB8A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72DDA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B6B4E6">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65B70E8"/>
    <w:multiLevelType w:val="hybridMultilevel"/>
    <w:tmpl w:val="A0A67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07E75A02"/>
    <w:multiLevelType w:val="hybridMultilevel"/>
    <w:tmpl w:val="716EF154"/>
    <w:lvl w:ilvl="0" w:tplc="992A52CE">
      <w:start w:val="2"/>
      <w:numFmt w:val="upperRoman"/>
      <w:lvlText w:val="%1."/>
      <w:lvlJc w:val="right"/>
      <w:pPr>
        <w:ind w:left="676" w:hanging="360"/>
      </w:pPr>
      <w:rPr>
        <w:rFonts w:hint="default"/>
        <w:b/>
        <w:bCs/>
      </w:rPr>
    </w:lvl>
    <w:lvl w:ilvl="1" w:tplc="080A0019" w:tentative="1">
      <w:start w:val="1"/>
      <w:numFmt w:val="lowerLetter"/>
      <w:lvlText w:val="%2."/>
      <w:lvlJc w:val="left"/>
      <w:pPr>
        <w:ind w:left="1158" w:hanging="360"/>
      </w:pPr>
    </w:lvl>
    <w:lvl w:ilvl="2" w:tplc="080A001B" w:tentative="1">
      <w:start w:val="1"/>
      <w:numFmt w:val="lowerRoman"/>
      <w:lvlText w:val="%3."/>
      <w:lvlJc w:val="right"/>
      <w:pPr>
        <w:ind w:left="1878" w:hanging="180"/>
      </w:pPr>
    </w:lvl>
    <w:lvl w:ilvl="3" w:tplc="080A000F" w:tentative="1">
      <w:start w:val="1"/>
      <w:numFmt w:val="decimal"/>
      <w:lvlText w:val="%4."/>
      <w:lvlJc w:val="left"/>
      <w:pPr>
        <w:ind w:left="2598" w:hanging="360"/>
      </w:pPr>
    </w:lvl>
    <w:lvl w:ilvl="4" w:tplc="080A0019" w:tentative="1">
      <w:start w:val="1"/>
      <w:numFmt w:val="lowerLetter"/>
      <w:lvlText w:val="%5."/>
      <w:lvlJc w:val="left"/>
      <w:pPr>
        <w:ind w:left="3318" w:hanging="360"/>
      </w:pPr>
    </w:lvl>
    <w:lvl w:ilvl="5" w:tplc="080A001B" w:tentative="1">
      <w:start w:val="1"/>
      <w:numFmt w:val="lowerRoman"/>
      <w:lvlText w:val="%6."/>
      <w:lvlJc w:val="right"/>
      <w:pPr>
        <w:ind w:left="4038" w:hanging="180"/>
      </w:pPr>
    </w:lvl>
    <w:lvl w:ilvl="6" w:tplc="080A000F" w:tentative="1">
      <w:start w:val="1"/>
      <w:numFmt w:val="decimal"/>
      <w:lvlText w:val="%7."/>
      <w:lvlJc w:val="left"/>
      <w:pPr>
        <w:ind w:left="4758" w:hanging="360"/>
      </w:pPr>
    </w:lvl>
    <w:lvl w:ilvl="7" w:tplc="080A0019" w:tentative="1">
      <w:start w:val="1"/>
      <w:numFmt w:val="lowerLetter"/>
      <w:lvlText w:val="%8."/>
      <w:lvlJc w:val="left"/>
      <w:pPr>
        <w:ind w:left="5478" w:hanging="360"/>
      </w:pPr>
    </w:lvl>
    <w:lvl w:ilvl="8" w:tplc="080A001B" w:tentative="1">
      <w:start w:val="1"/>
      <w:numFmt w:val="lowerRoman"/>
      <w:lvlText w:val="%9."/>
      <w:lvlJc w:val="right"/>
      <w:pPr>
        <w:ind w:left="6198" w:hanging="180"/>
      </w:pPr>
    </w:lvl>
  </w:abstractNum>
  <w:abstractNum w:abstractNumId="15" w15:restartNumberingAfterBreak="0">
    <w:nsid w:val="07EC2B34"/>
    <w:multiLevelType w:val="hybridMultilevel"/>
    <w:tmpl w:val="6E960A4C"/>
    <w:lvl w:ilvl="0" w:tplc="5998A1FA">
      <w:start w:val="1"/>
      <w:numFmt w:val="decimal"/>
      <w:pStyle w:val="NAUNumNv4"/>
      <w:lvlText w:val="%1."/>
      <w:lvlJc w:val="left"/>
      <w:pPr>
        <w:ind w:left="360" w:hanging="360"/>
      </w:pPr>
      <w:rPr>
        <w:rFonts w:ascii="Arial" w:hAnsi="Arial" w:cs="Arial" w:hint="default"/>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16" w15:restartNumberingAfterBreak="0">
    <w:nsid w:val="083B7D20"/>
    <w:multiLevelType w:val="multilevel"/>
    <w:tmpl w:val="20468C4C"/>
    <w:styleLink w:val="Listaactual2"/>
    <w:lvl w:ilvl="0">
      <w:start w:val="1"/>
      <w:numFmt w:val="upperRoman"/>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91F1D7F"/>
    <w:multiLevelType w:val="multilevel"/>
    <w:tmpl w:val="7DEC3E0E"/>
    <w:styleLink w:val="Estilo5"/>
    <w:lvl w:ilvl="0">
      <w:start w:val="7"/>
      <w:numFmt w:val="decimal"/>
      <w:lvlText w:val="%1"/>
      <w:lvlJc w:val="left"/>
      <w:pPr>
        <w:ind w:left="525" w:hanging="525"/>
      </w:pPr>
    </w:lvl>
    <w:lvl w:ilvl="1">
      <w:start w:val="1"/>
      <w:numFmt w:val="decimal"/>
      <w:lvlText w:val="%1.%2"/>
      <w:lvlJc w:val="left"/>
      <w:pPr>
        <w:ind w:left="695" w:hanging="525"/>
      </w:pPr>
    </w:lvl>
    <w:lvl w:ilvl="2">
      <w:start w:val="2"/>
      <w:numFmt w:val="decimal"/>
      <w:lvlText w:val="%1.%2.%3"/>
      <w:lvlJc w:val="left"/>
      <w:pPr>
        <w:ind w:left="1060" w:hanging="720"/>
      </w:pPr>
    </w:lvl>
    <w:lvl w:ilvl="3">
      <w:start w:val="1"/>
      <w:numFmt w:val="decimal"/>
      <w:lvlText w:val="%1.%2.%3.%4"/>
      <w:lvlJc w:val="left"/>
      <w:pPr>
        <w:ind w:left="1590" w:hanging="1080"/>
      </w:pPr>
    </w:lvl>
    <w:lvl w:ilvl="4">
      <w:start w:val="1"/>
      <w:numFmt w:val="decimal"/>
      <w:lvlText w:val="%1.%2.%3.%4.%5"/>
      <w:lvlJc w:val="left"/>
      <w:pPr>
        <w:ind w:left="1760" w:hanging="1080"/>
      </w:pPr>
    </w:lvl>
    <w:lvl w:ilvl="5">
      <w:start w:val="1"/>
      <w:numFmt w:val="decimal"/>
      <w:lvlText w:val="%1.%2.%3.%4.%5.%6"/>
      <w:lvlJc w:val="left"/>
      <w:pPr>
        <w:ind w:left="2290" w:hanging="1440"/>
      </w:pPr>
    </w:lvl>
    <w:lvl w:ilvl="6">
      <w:start w:val="1"/>
      <w:numFmt w:val="decimal"/>
      <w:lvlText w:val="%1.%2.%3.%4.%5.%6.%7"/>
      <w:lvlJc w:val="left"/>
      <w:pPr>
        <w:ind w:left="2460" w:hanging="1440"/>
      </w:pPr>
    </w:lvl>
    <w:lvl w:ilvl="7">
      <w:start w:val="1"/>
      <w:numFmt w:val="decimal"/>
      <w:lvlText w:val="%1.%2.%3.%4.%5.%6.%7.%8"/>
      <w:lvlJc w:val="left"/>
      <w:pPr>
        <w:ind w:left="2990" w:hanging="1800"/>
      </w:pPr>
    </w:lvl>
    <w:lvl w:ilvl="8">
      <w:start w:val="1"/>
      <w:numFmt w:val="decimal"/>
      <w:lvlText w:val="%1.%2.%3.%4.%5.%6.%7.%8.%9"/>
      <w:lvlJc w:val="left"/>
      <w:pPr>
        <w:ind w:left="3160" w:hanging="1800"/>
      </w:pPr>
    </w:lvl>
  </w:abstractNum>
  <w:abstractNum w:abstractNumId="18" w15:restartNumberingAfterBreak="0">
    <w:nsid w:val="0AC7179F"/>
    <w:multiLevelType w:val="hybridMultilevel"/>
    <w:tmpl w:val="C8D2DA66"/>
    <w:lvl w:ilvl="0" w:tplc="16562FCE">
      <w:start w:val="1"/>
      <w:numFmt w:val="bullet"/>
      <w:pStyle w:val="Funcin"/>
      <w:lvlText w:val=""/>
      <w:lvlJc w:val="left"/>
      <w:pPr>
        <w:ind w:left="720" w:hanging="360"/>
      </w:pPr>
      <w:rPr>
        <w:rFonts w:ascii="Symbol" w:hAnsi="Symbol" w:hint="default"/>
        <w:color w:val="auto"/>
      </w:rPr>
    </w:lvl>
    <w:lvl w:ilvl="1" w:tplc="040A0003">
      <w:start w:val="1"/>
      <w:numFmt w:val="bullet"/>
      <w:lvlText w:val="o"/>
      <w:lvlJc w:val="left"/>
      <w:pPr>
        <w:ind w:left="1080" w:hanging="360"/>
      </w:pPr>
      <w:rPr>
        <w:rFonts w:ascii="Courier New" w:hAnsi="Courier New" w:cs="Courier New" w:hint="default"/>
      </w:rPr>
    </w:lvl>
    <w:lvl w:ilvl="2" w:tplc="040A0005">
      <w:start w:val="1"/>
      <w:numFmt w:val="bullet"/>
      <w:lvlText w:val=""/>
      <w:lvlJc w:val="left"/>
      <w:pPr>
        <w:ind w:left="1800" w:hanging="360"/>
      </w:pPr>
      <w:rPr>
        <w:rFonts w:ascii="Wingdings" w:hAnsi="Wingdings"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New" w:hAnsi="Courier New" w:cs="Courier New" w:hint="default"/>
      </w:rPr>
    </w:lvl>
    <w:lvl w:ilvl="5" w:tplc="040A0005">
      <w:start w:val="1"/>
      <w:numFmt w:val="bullet"/>
      <w:lvlText w:val=""/>
      <w:lvlJc w:val="left"/>
      <w:pPr>
        <w:ind w:left="3960" w:hanging="360"/>
      </w:pPr>
      <w:rPr>
        <w:rFonts w:ascii="Wingdings" w:hAnsi="Wingdings"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New" w:hAnsi="Courier New" w:cs="Courier New" w:hint="default"/>
      </w:rPr>
    </w:lvl>
    <w:lvl w:ilvl="8" w:tplc="040A0005">
      <w:start w:val="1"/>
      <w:numFmt w:val="bullet"/>
      <w:lvlText w:val=""/>
      <w:lvlJc w:val="left"/>
      <w:pPr>
        <w:ind w:left="6120" w:hanging="360"/>
      </w:pPr>
      <w:rPr>
        <w:rFonts w:ascii="Wingdings" w:hAnsi="Wingdings" w:hint="default"/>
      </w:rPr>
    </w:lvl>
  </w:abstractNum>
  <w:abstractNum w:abstractNumId="19" w15:restartNumberingAfterBreak="0">
    <w:nsid w:val="0D61636B"/>
    <w:multiLevelType w:val="hybridMultilevel"/>
    <w:tmpl w:val="C42EBAA6"/>
    <w:lvl w:ilvl="0" w:tplc="FD5A083E">
      <w:start w:val="1"/>
      <w:numFmt w:val="bullet"/>
      <w:pStyle w:val="funcion"/>
      <w:lvlText w:val="–"/>
      <w:lvlJc w:val="left"/>
      <w:pPr>
        <w:tabs>
          <w:tab w:val="num" w:pos="397"/>
        </w:tabs>
        <w:ind w:left="397" w:hanging="397"/>
      </w:pPr>
      <w:rPr>
        <w:rFonts w:ascii="Gill Sans MT" w:hAnsi="Gill Sans MT" w:hint="default"/>
        <w:color w:val="auto"/>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0" w15:restartNumberingAfterBreak="0">
    <w:nsid w:val="0E493470"/>
    <w:multiLevelType w:val="hybridMultilevel"/>
    <w:tmpl w:val="89ACF7CC"/>
    <w:lvl w:ilvl="0" w:tplc="E3C82CB2">
      <w:start w:val="1"/>
      <w:numFmt w:val="decimal"/>
      <w:lvlText w:val="%1."/>
      <w:lvlJc w:val="left"/>
      <w:pPr>
        <w:ind w:left="1068" w:hanging="360"/>
      </w:pPr>
      <w:rPr>
        <w:rFonts w:ascii="Gotham Book" w:hAnsi="Gotham Book" w:hint="default"/>
        <w:b/>
        <w:bCs/>
        <w:sz w:val="20"/>
        <w:szCs w:val="2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1" w15:restartNumberingAfterBreak="0">
    <w:nsid w:val="0EC37914"/>
    <w:multiLevelType w:val="hybridMultilevel"/>
    <w:tmpl w:val="7DF20BA2"/>
    <w:lvl w:ilvl="0" w:tplc="99E441DA">
      <w:start w:val="1"/>
      <w:numFmt w:val="bullet"/>
      <w:pStyle w:val="FUNCION0"/>
      <w:lvlText w:val="–"/>
      <w:lvlJc w:val="left"/>
      <w:pPr>
        <w:ind w:left="720" w:hanging="360"/>
      </w:pPr>
      <w:rPr>
        <w:rFonts w:ascii="HelveticaNeueLT Std Med Cn" w:eastAsia="Arial" w:hAnsi="HelveticaNeueLT Std Med Cn" w:hint="default"/>
        <w:w w:val="197"/>
        <w:sz w:val="13"/>
        <w:szCs w:val="13"/>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2" w15:restartNumberingAfterBreak="0">
    <w:nsid w:val="0EDE7CB6"/>
    <w:multiLevelType w:val="multilevel"/>
    <w:tmpl w:val="654C6D40"/>
    <w:styleLink w:val="Lista21"/>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3" w15:restartNumberingAfterBreak="0">
    <w:nsid w:val="0EF90E16"/>
    <w:multiLevelType w:val="hybridMultilevel"/>
    <w:tmpl w:val="CAF48CB4"/>
    <w:lvl w:ilvl="0" w:tplc="7B087768">
      <w:start w:val="1"/>
      <w:numFmt w:val="bullet"/>
      <w:pStyle w:val="FUNADMVA"/>
      <w:lvlText w:val=""/>
      <w:lvlJc w:val="left"/>
      <w:pPr>
        <w:tabs>
          <w:tab w:val="num" w:pos="397"/>
        </w:tabs>
        <w:ind w:left="397" w:hanging="397"/>
      </w:pPr>
      <w:rPr>
        <w:rFonts w:ascii="Symbol"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Times New Roman" w:hint="default"/>
      </w:rPr>
    </w:lvl>
    <w:lvl w:ilvl="3" w:tplc="0C0A0001">
      <w:start w:val="1"/>
      <w:numFmt w:val="bullet"/>
      <w:lvlText w:val=""/>
      <w:lvlJc w:val="left"/>
      <w:pPr>
        <w:tabs>
          <w:tab w:val="num" w:pos="2880"/>
        </w:tabs>
        <w:ind w:left="2880" w:hanging="360"/>
      </w:pPr>
      <w:rPr>
        <w:rFonts w:ascii="Symbol" w:hAnsi="Symbol" w:cs="Times New Roman"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Times New Roman" w:hint="default"/>
      </w:rPr>
    </w:lvl>
    <w:lvl w:ilvl="6" w:tplc="0C0A0001">
      <w:start w:val="1"/>
      <w:numFmt w:val="bullet"/>
      <w:lvlText w:val=""/>
      <w:lvlJc w:val="left"/>
      <w:pPr>
        <w:tabs>
          <w:tab w:val="num" w:pos="5040"/>
        </w:tabs>
        <w:ind w:left="5040" w:hanging="360"/>
      </w:pPr>
      <w:rPr>
        <w:rFonts w:ascii="Symbol" w:hAnsi="Symbol" w:cs="Times New Roman"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Times New Roman" w:hint="default"/>
      </w:rPr>
    </w:lvl>
  </w:abstractNum>
  <w:abstractNum w:abstractNumId="24" w15:restartNumberingAfterBreak="0">
    <w:nsid w:val="0FCB0540"/>
    <w:multiLevelType w:val="multilevel"/>
    <w:tmpl w:val="080A001F"/>
    <w:styleLink w:val="Estilo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0F06883"/>
    <w:multiLevelType w:val="hybridMultilevel"/>
    <w:tmpl w:val="C61251C0"/>
    <w:styleLink w:val="11111131"/>
    <w:lvl w:ilvl="0" w:tplc="FCD06F04">
      <w:start w:val="1"/>
      <w:numFmt w:val="bullet"/>
      <w:lvlText w:val="-"/>
      <w:lvlJc w:val="left"/>
      <w:pPr>
        <w:ind w:left="1392" w:hanging="360"/>
      </w:pPr>
      <w:rPr>
        <w:rFonts w:ascii="Century Gothic" w:eastAsia="Batang" w:hAnsi="Century Gothic" w:cs="Arial" w:hint="default"/>
      </w:rPr>
    </w:lvl>
    <w:lvl w:ilvl="1" w:tplc="0C0A0003">
      <w:start w:val="1"/>
      <w:numFmt w:val="bullet"/>
      <w:lvlText w:val="o"/>
      <w:lvlJc w:val="left"/>
      <w:pPr>
        <w:ind w:left="2112" w:hanging="360"/>
      </w:pPr>
      <w:rPr>
        <w:rFonts w:ascii="Courier New" w:hAnsi="Courier New" w:cs="Courier New" w:hint="default"/>
      </w:rPr>
    </w:lvl>
    <w:lvl w:ilvl="2" w:tplc="0C0A0005">
      <w:start w:val="1"/>
      <w:numFmt w:val="bullet"/>
      <w:lvlText w:val=""/>
      <w:lvlJc w:val="left"/>
      <w:pPr>
        <w:ind w:left="2832" w:hanging="360"/>
      </w:pPr>
      <w:rPr>
        <w:rFonts w:ascii="Wingdings" w:hAnsi="Wingdings" w:hint="default"/>
      </w:rPr>
    </w:lvl>
    <w:lvl w:ilvl="3" w:tplc="0C0A0001">
      <w:start w:val="1"/>
      <w:numFmt w:val="bullet"/>
      <w:lvlText w:val=""/>
      <w:lvlJc w:val="left"/>
      <w:pPr>
        <w:ind w:left="3552" w:hanging="360"/>
      </w:pPr>
      <w:rPr>
        <w:rFonts w:ascii="Symbol" w:hAnsi="Symbol" w:hint="default"/>
      </w:rPr>
    </w:lvl>
    <w:lvl w:ilvl="4" w:tplc="0C0A0003">
      <w:start w:val="1"/>
      <w:numFmt w:val="bullet"/>
      <w:lvlText w:val="o"/>
      <w:lvlJc w:val="left"/>
      <w:pPr>
        <w:ind w:left="4272" w:hanging="360"/>
      </w:pPr>
      <w:rPr>
        <w:rFonts w:ascii="Courier New" w:hAnsi="Courier New" w:cs="Courier New" w:hint="default"/>
      </w:rPr>
    </w:lvl>
    <w:lvl w:ilvl="5" w:tplc="0C0A0005">
      <w:start w:val="1"/>
      <w:numFmt w:val="bullet"/>
      <w:lvlText w:val=""/>
      <w:lvlJc w:val="left"/>
      <w:pPr>
        <w:ind w:left="4992" w:hanging="360"/>
      </w:pPr>
      <w:rPr>
        <w:rFonts w:ascii="Wingdings" w:hAnsi="Wingdings" w:hint="default"/>
      </w:rPr>
    </w:lvl>
    <w:lvl w:ilvl="6" w:tplc="0C0A0001">
      <w:start w:val="1"/>
      <w:numFmt w:val="bullet"/>
      <w:lvlText w:val=""/>
      <w:lvlJc w:val="left"/>
      <w:pPr>
        <w:ind w:left="5712" w:hanging="360"/>
      </w:pPr>
      <w:rPr>
        <w:rFonts w:ascii="Symbol" w:hAnsi="Symbol" w:hint="default"/>
      </w:rPr>
    </w:lvl>
    <w:lvl w:ilvl="7" w:tplc="0C0A0003">
      <w:start w:val="1"/>
      <w:numFmt w:val="bullet"/>
      <w:lvlText w:val="o"/>
      <w:lvlJc w:val="left"/>
      <w:pPr>
        <w:ind w:left="6432" w:hanging="360"/>
      </w:pPr>
      <w:rPr>
        <w:rFonts w:ascii="Courier New" w:hAnsi="Courier New" w:cs="Courier New" w:hint="default"/>
      </w:rPr>
    </w:lvl>
    <w:lvl w:ilvl="8" w:tplc="0C0A0005">
      <w:start w:val="1"/>
      <w:numFmt w:val="bullet"/>
      <w:lvlText w:val=""/>
      <w:lvlJc w:val="left"/>
      <w:pPr>
        <w:ind w:left="7152" w:hanging="360"/>
      </w:pPr>
      <w:rPr>
        <w:rFonts w:ascii="Wingdings" w:hAnsi="Wingdings" w:hint="default"/>
      </w:rPr>
    </w:lvl>
  </w:abstractNum>
  <w:abstractNum w:abstractNumId="26" w15:restartNumberingAfterBreak="0">
    <w:nsid w:val="114A6B33"/>
    <w:multiLevelType w:val="multilevel"/>
    <w:tmpl w:val="080A001D"/>
    <w:styleLink w:val="1ai"/>
    <w:lvl w:ilvl="0">
      <w:start w:val="1"/>
      <w:numFmt w:val="upp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128B1E54"/>
    <w:multiLevelType w:val="hybridMultilevel"/>
    <w:tmpl w:val="C790827E"/>
    <w:lvl w:ilvl="0" w:tplc="B928E1E8">
      <w:start w:val="1"/>
      <w:numFmt w:val="upperRoman"/>
      <w:pStyle w:val="ATRIB1"/>
      <w:lvlText w:val="%1."/>
      <w:lvlJc w:val="left"/>
      <w:pPr>
        <w:ind w:left="720" w:hanging="360"/>
      </w:pPr>
      <w:rPr>
        <w:rFonts w:ascii="HelveticaNeueLT Std" w:hAnsi="HelveticaNeueLT Std" w:hint="default"/>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8" w15:restartNumberingAfterBreak="0">
    <w:nsid w:val="14C742E0"/>
    <w:multiLevelType w:val="hybridMultilevel"/>
    <w:tmpl w:val="038EB0F8"/>
    <w:lvl w:ilvl="0" w:tplc="080A000F">
      <w:start w:val="1"/>
      <w:numFmt w:val="decimal"/>
      <w:lvlText w:val="%1."/>
      <w:lvlJc w:val="left"/>
      <w:pPr>
        <w:ind w:left="1068" w:hanging="360"/>
      </w:pPr>
      <w:rPr>
        <w:rFonts w:hint="default"/>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9" w15:restartNumberingAfterBreak="0">
    <w:nsid w:val="159223BD"/>
    <w:multiLevelType w:val="multilevel"/>
    <w:tmpl w:val="892AA8EC"/>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6491C98"/>
    <w:multiLevelType w:val="hybridMultilevel"/>
    <w:tmpl w:val="21668B42"/>
    <w:lvl w:ilvl="0" w:tplc="D2F2176A">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741517A"/>
    <w:multiLevelType w:val="hybridMultilevel"/>
    <w:tmpl w:val="499068A2"/>
    <w:lvl w:ilvl="0" w:tplc="93964DC2">
      <w:start w:val="5"/>
      <w:numFmt w:val="upperLetter"/>
      <w:lvlText w:val="%1)"/>
      <w:lvlJc w:val="left"/>
      <w:pPr>
        <w:ind w:left="1068" w:hanging="360"/>
      </w:pPr>
      <w:rPr>
        <w:rFonts w:ascii="Gotham Book" w:hAnsi="Gotham Book" w:hint="default"/>
        <w:b/>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185D5122"/>
    <w:multiLevelType w:val="hybridMultilevel"/>
    <w:tmpl w:val="2336443A"/>
    <w:lvl w:ilvl="0" w:tplc="F7AC1AA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1B1D4EF4"/>
    <w:multiLevelType w:val="hybridMultilevel"/>
    <w:tmpl w:val="438E2E4C"/>
    <w:lvl w:ilvl="0" w:tplc="1720A0F8">
      <w:start w:val="3"/>
      <w:numFmt w:val="upperLetter"/>
      <w:lvlText w:val="%1)"/>
      <w:lvlJc w:val="left"/>
      <w:pPr>
        <w:ind w:left="944" w:hanging="360"/>
      </w:pPr>
      <w:rPr>
        <w:rFonts w:hint="default"/>
        <w:b/>
      </w:rPr>
    </w:lvl>
    <w:lvl w:ilvl="1" w:tplc="080A0019" w:tentative="1">
      <w:start w:val="1"/>
      <w:numFmt w:val="lowerLetter"/>
      <w:lvlText w:val="%2."/>
      <w:lvlJc w:val="left"/>
      <w:pPr>
        <w:ind w:left="1664" w:hanging="360"/>
      </w:pPr>
    </w:lvl>
    <w:lvl w:ilvl="2" w:tplc="080A001B" w:tentative="1">
      <w:start w:val="1"/>
      <w:numFmt w:val="lowerRoman"/>
      <w:lvlText w:val="%3."/>
      <w:lvlJc w:val="right"/>
      <w:pPr>
        <w:ind w:left="2384" w:hanging="180"/>
      </w:pPr>
    </w:lvl>
    <w:lvl w:ilvl="3" w:tplc="080A000F" w:tentative="1">
      <w:start w:val="1"/>
      <w:numFmt w:val="decimal"/>
      <w:lvlText w:val="%4."/>
      <w:lvlJc w:val="left"/>
      <w:pPr>
        <w:ind w:left="3104" w:hanging="360"/>
      </w:pPr>
    </w:lvl>
    <w:lvl w:ilvl="4" w:tplc="080A0019" w:tentative="1">
      <w:start w:val="1"/>
      <w:numFmt w:val="lowerLetter"/>
      <w:lvlText w:val="%5."/>
      <w:lvlJc w:val="left"/>
      <w:pPr>
        <w:ind w:left="3824" w:hanging="360"/>
      </w:pPr>
    </w:lvl>
    <w:lvl w:ilvl="5" w:tplc="080A001B" w:tentative="1">
      <w:start w:val="1"/>
      <w:numFmt w:val="lowerRoman"/>
      <w:lvlText w:val="%6."/>
      <w:lvlJc w:val="right"/>
      <w:pPr>
        <w:ind w:left="4544" w:hanging="180"/>
      </w:pPr>
    </w:lvl>
    <w:lvl w:ilvl="6" w:tplc="080A000F" w:tentative="1">
      <w:start w:val="1"/>
      <w:numFmt w:val="decimal"/>
      <w:lvlText w:val="%7."/>
      <w:lvlJc w:val="left"/>
      <w:pPr>
        <w:ind w:left="5264" w:hanging="360"/>
      </w:pPr>
    </w:lvl>
    <w:lvl w:ilvl="7" w:tplc="080A0019" w:tentative="1">
      <w:start w:val="1"/>
      <w:numFmt w:val="lowerLetter"/>
      <w:lvlText w:val="%8."/>
      <w:lvlJc w:val="left"/>
      <w:pPr>
        <w:ind w:left="5984" w:hanging="360"/>
      </w:pPr>
    </w:lvl>
    <w:lvl w:ilvl="8" w:tplc="080A001B" w:tentative="1">
      <w:start w:val="1"/>
      <w:numFmt w:val="lowerRoman"/>
      <w:lvlText w:val="%9."/>
      <w:lvlJc w:val="right"/>
      <w:pPr>
        <w:ind w:left="6704" w:hanging="180"/>
      </w:pPr>
    </w:lvl>
  </w:abstractNum>
  <w:abstractNum w:abstractNumId="34" w15:restartNumberingAfterBreak="0">
    <w:nsid w:val="1C535427"/>
    <w:multiLevelType w:val="hybridMultilevel"/>
    <w:tmpl w:val="5A48D554"/>
    <w:lvl w:ilvl="0" w:tplc="7E6C99E0">
      <w:start w:val="1"/>
      <w:numFmt w:val="decimal"/>
      <w:pStyle w:val="Numeracion"/>
      <w:lvlText w:val="%1."/>
      <w:lvlJc w:val="left"/>
      <w:pPr>
        <w:ind w:left="927" w:hanging="360"/>
      </w:pPr>
    </w:lvl>
    <w:lvl w:ilvl="1" w:tplc="080A0019">
      <w:start w:val="1"/>
      <w:numFmt w:val="lowerLetter"/>
      <w:lvlText w:val="%2."/>
      <w:lvlJc w:val="left"/>
      <w:pPr>
        <w:ind w:left="1647" w:hanging="360"/>
      </w:pPr>
    </w:lvl>
    <w:lvl w:ilvl="2" w:tplc="080A001B">
      <w:start w:val="1"/>
      <w:numFmt w:val="lowerRoman"/>
      <w:lvlText w:val="%3."/>
      <w:lvlJc w:val="right"/>
      <w:pPr>
        <w:ind w:left="2367" w:hanging="180"/>
      </w:pPr>
    </w:lvl>
    <w:lvl w:ilvl="3" w:tplc="080A000F">
      <w:start w:val="1"/>
      <w:numFmt w:val="decimal"/>
      <w:lvlText w:val="%4."/>
      <w:lvlJc w:val="left"/>
      <w:pPr>
        <w:ind w:left="3087" w:hanging="360"/>
      </w:pPr>
    </w:lvl>
    <w:lvl w:ilvl="4" w:tplc="080A0019">
      <w:start w:val="1"/>
      <w:numFmt w:val="lowerLetter"/>
      <w:lvlText w:val="%5."/>
      <w:lvlJc w:val="left"/>
      <w:pPr>
        <w:ind w:left="3807" w:hanging="360"/>
      </w:pPr>
    </w:lvl>
    <w:lvl w:ilvl="5" w:tplc="080A001B">
      <w:start w:val="1"/>
      <w:numFmt w:val="lowerRoman"/>
      <w:lvlText w:val="%6."/>
      <w:lvlJc w:val="right"/>
      <w:pPr>
        <w:ind w:left="4527" w:hanging="180"/>
      </w:pPr>
    </w:lvl>
    <w:lvl w:ilvl="6" w:tplc="080A000F">
      <w:start w:val="1"/>
      <w:numFmt w:val="decimal"/>
      <w:lvlText w:val="%7."/>
      <w:lvlJc w:val="left"/>
      <w:pPr>
        <w:ind w:left="5247" w:hanging="360"/>
      </w:pPr>
    </w:lvl>
    <w:lvl w:ilvl="7" w:tplc="080A0019">
      <w:start w:val="1"/>
      <w:numFmt w:val="lowerLetter"/>
      <w:lvlText w:val="%8."/>
      <w:lvlJc w:val="left"/>
      <w:pPr>
        <w:ind w:left="5967" w:hanging="360"/>
      </w:pPr>
    </w:lvl>
    <w:lvl w:ilvl="8" w:tplc="080A001B">
      <w:start w:val="1"/>
      <w:numFmt w:val="lowerRoman"/>
      <w:lvlText w:val="%9."/>
      <w:lvlJc w:val="right"/>
      <w:pPr>
        <w:ind w:left="6687" w:hanging="180"/>
      </w:pPr>
    </w:lvl>
  </w:abstractNum>
  <w:abstractNum w:abstractNumId="35" w15:restartNumberingAfterBreak="0">
    <w:nsid w:val="1CD6042C"/>
    <w:multiLevelType w:val="hybridMultilevel"/>
    <w:tmpl w:val="45401734"/>
    <w:lvl w:ilvl="0" w:tplc="8C283D9E">
      <w:start w:val="1"/>
      <w:numFmt w:val="bullet"/>
      <w:pStyle w:val="BASELEG1"/>
      <w:lvlText w:val=""/>
      <w:lvlJc w:val="left"/>
      <w:pPr>
        <w:ind w:left="720" w:hanging="360"/>
      </w:pPr>
      <w:rPr>
        <w:rFonts w:ascii="Symbol" w:hAnsi="Symbol" w:hint="default"/>
        <w:b/>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0">
    <w:nsid w:val="1DAC0E1E"/>
    <w:multiLevelType w:val="hybridMultilevel"/>
    <w:tmpl w:val="7B4A549C"/>
    <w:lvl w:ilvl="0" w:tplc="0C14D966">
      <w:start w:val="1"/>
      <w:numFmt w:val="bullet"/>
      <w:pStyle w:val="APARTADO2"/>
      <w:lvlText w:val=""/>
      <w:lvlJc w:val="left"/>
      <w:pPr>
        <w:ind w:left="1637"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7" w15:restartNumberingAfterBreak="0">
    <w:nsid w:val="1DEB7526"/>
    <w:multiLevelType w:val="hybridMultilevel"/>
    <w:tmpl w:val="EB92045E"/>
    <w:lvl w:ilvl="0" w:tplc="53208498">
      <w:start w:val="1"/>
      <w:numFmt w:val="upperRoman"/>
      <w:pStyle w:val="ATRIB"/>
      <w:lvlText w:val="%1."/>
      <w:legacy w:legacy="1" w:legacySpace="0" w:legacyIndent="567"/>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15:restartNumberingAfterBreak="0">
    <w:nsid w:val="1F7F14F3"/>
    <w:multiLevelType w:val="hybridMultilevel"/>
    <w:tmpl w:val="A6EEA880"/>
    <w:lvl w:ilvl="0" w:tplc="080A0001">
      <w:start w:val="1"/>
      <w:numFmt w:val="bullet"/>
      <w:pStyle w:val="IndiceconN"/>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9" w15:restartNumberingAfterBreak="0">
    <w:nsid w:val="20267E58"/>
    <w:multiLevelType w:val="hybridMultilevel"/>
    <w:tmpl w:val="C3DA3192"/>
    <w:lvl w:ilvl="0" w:tplc="25A20BD0">
      <w:start w:val="1"/>
      <w:numFmt w:val="lowerLetter"/>
      <w:pStyle w:val="Listaletras"/>
      <w:lvlText w:val="%1)"/>
      <w:lvlJc w:val="left"/>
      <w:pPr>
        <w:ind w:left="927" w:hanging="360"/>
      </w:pPr>
    </w:lvl>
    <w:lvl w:ilvl="1" w:tplc="080A0019">
      <w:start w:val="1"/>
      <w:numFmt w:val="lowerLetter"/>
      <w:lvlText w:val="%2."/>
      <w:lvlJc w:val="left"/>
      <w:pPr>
        <w:ind w:left="2083" w:hanging="360"/>
      </w:pPr>
    </w:lvl>
    <w:lvl w:ilvl="2" w:tplc="080A001B">
      <w:start w:val="1"/>
      <w:numFmt w:val="lowerRoman"/>
      <w:lvlText w:val="%3."/>
      <w:lvlJc w:val="right"/>
      <w:pPr>
        <w:ind w:left="2803" w:hanging="180"/>
      </w:pPr>
    </w:lvl>
    <w:lvl w:ilvl="3" w:tplc="080A000F">
      <w:start w:val="1"/>
      <w:numFmt w:val="decimal"/>
      <w:lvlText w:val="%4."/>
      <w:lvlJc w:val="left"/>
      <w:pPr>
        <w:ind w:left="3523" w:hanging="360"/>
      </w:pPr>
    </w:lvl>
    <w:lvl w:ilvl="4" w:tplc="080A0019">
      <w:start w:val="1"/>
      <w:numFmt w:val="lowerLetter"/>
      <w:lvlText w:val="%5."/>
      <w:lvlJc w:val="left"/>
      <w:pPr>
        <w:ind w:left="4243" w:hanging="360"/>
      </w:pPr>
    </w:lvl>
    <w:lvl w:ilvl="5" w:tplc="080A001B">
      <w:start w:val="1"/>
      <w:numFmt w:val="lowerRoman"/>
      <w:lvlText w:val="%6."/>
      <w:lvlJc w:val="right"/>
      <w:pPr>
        <w:ind w:left="4963" w:hanging="180"/>
      </w:pPr>
    </w:lvl>
    <w:lvl w:ilvl="6" w:tplc="080A000F">
      <w:start w:val="1"/>
      <w:numFmt w:val="decimal"/>
      <w:lvlText w:val="%7."/>
      <w:lvlJc w:val="left"/>
      <w:pPr>
        <w:ind w:left="5683" w:hanging="360"/>
      </w:pPr>
    </w:lvl>
    <w:lvl w:ilvl="7" w:tplc="080A0019">
      <w:start w:val="1"/>
      <w:numFmt w:val="lowerLetter"/>
      <w:lvlText w:val="%8."/>
      <w:lvlJc w:val="left"/>
      <w:pPr>
        <w:ind w:left="6403" w:hanging="360"/>
      </w:pPr>
    </w:lvl>
    <w:lvl w:ilvl="8" w:tplc="080A001B">
      <w:start w:val="1"/>
      <w:numFmt w:val="lowerRoman"/>
      <w:lvlText w:val="%9."/>
      <w:lvlJc w:val="right"/>
      <w:pPr>
        <w:ind w:left="7123" w:hanging="180"/>
      </w:pPr>
    </w:lvl>
  </w:abstractNum>
  <w:abstractNum w:abstractNumId="40" w15:restartNumberingAfterBreak="0">
    <w:nsid w:val="213367A3"/>
    <w:multiLevelType w:val="multilevel"/>
    <w:tmpl w:val="080A001F"/>
    <w:styleLink w:val="Estilo9"/>
    <w:lvl w:ilvl="0">
      <w:start w:val="4"/>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2624052"/>
    <w:multiLevelType w:val="multilevel"/>
    <w:tmpl w:val="080A001D"/>
    <w:styleLink w:val="Estilo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26070992"/>
    <w:multiLevelType w:val="hybridMultilevel"/>
    <w:tmpl w:val="07C21C56"/>
    <w:lvl w:ilvl="0" w:tplc="9626C3EE">
      <w:start w:val="1"/>
      <w:numFmt w:val="upperRoman"/>
      <w:pStyle w:val="Estilo1a"/>
      <w:lvlText w:val="%1."/>
      <w:lvlJc w:val="left"/>
      <w:pPr>
        <w:ind w:left="1287" w:hanging="720"/>
      </w:pPr>
      <w:rPr>
        <w:color w:val="3A0000"/>
      </w:rPr>
    </w:lvl>
    <w:lvl w:ilvl="1" w:tplc="0C0A0019">
      <w:start w:val="1"/>
      <w:numFmt w:val="lowerLetter"/>
      <w:pStyle w:val="Estilo1a"/>
      <w:lvlText w:val="%2."/>
      <w:lvlJc w:val="left"/>
      <w:pPr>
        <w:ind w:left="1647" w:hanging="360"/>
      </w:pPr>
    </w:lvl>
    <w:lvl w:ilvl="2" w:tplc="0C0A001B">
      <w:start w:val="1"/>
      <w:numFmt w:val="lowerRoman"/>
      <w:lvlText w:val="%3."/>
      <w:lvlJc w:val="right"/>
      <w:pPr>
        <w:ind w:left="2367" w:hanging="180"/>
      </w:pPr>
    </w:lvl>
    <w:lvl w:ilvl="3" w:tplc="0C0A000F">
      <w:start w:val="1"/>
      <w:numFmt w:val="decimal"/>
      <w:lvlText w:val="%4."/>
      <w:lvlJc w:val="left"/>
      <w:pPr>
        <w:ind w:left="3087" w:hanging="360"/>
      </w:pPr>
    </w:lvl>
    <w:lvl w:ilvl="4" w:tplc="0C0A0019">
      <w:start w:val="1"/>
      <w:numFmt w:val="lowerLetter"/>
      <w:lvlText w:val="%5."/>
      <w:lvlJc w:val="left"/>
      <w:pPr>
        <w:ind w:left="3807" w:hanging="360"/>
      </w:pPr>
    </w:lvl>
    <w:lvl w:ilvl="5" w:tplc="0C0A001B">
      <w:start w:val="1"/>
      <w:numFmt w:val="lowerRoman"/>
      <w:lvlText w:val="%6."/>
      <w:lvlJc w:val="right"/>
      <w:pPr>
        <w:ind w:left="4527" w:hanging="180"/>
      </w:pPr>
    </w:lvl>
    <w:lvl w:ilvl="6" w:tplc="0C0A000F">
      <w:start w:val="1"/>
      <w:numFmt w:val="decimal"/>
      <w:lvlText w:val="%7."/>
      <w:lvlJc w:val="left"/>
      <w:pPr>
        <w:ind w:left="5247" w:hanging="360"/>
      </w:pPr>
    </w:lvl>
    <w:lvl w:ilvl="7" w:tplc="0C0A0019">
      <w:start w:val="1"/>
      <w:numFmt w:val="lowerLetter"/>
      <w:lvlText w:val="%8."/>
      <w:lvlJc w:val="left"/>
      <w:pPr>
        <w:ind w:left="5967" w:hanging="360"/>
      </w:pPr>
    </w:lvl>
    <w:lvl w:ilvl="8" w:tplc="0C0A001B">
      <w:start w:val="1"/>
      <w:numFmt w:val="lowerRoman"/>
      <w:lvlText w:val="%9."/>
      <w:lvlJc w:val="right"/>
      <w:pPr>
        <w:ind w:left="6687" w:hanging="180"/>
      </w:pPr>
    </w:lvl>
  </w:abstractNum>
  <w:abstractNum w:abstractNumId="43" w15:restartNumberingAfterBreak="0">
    <w:nsid w:val="27F938C6"/>
    <w:multiLevelType w:val="hybridMultilevel"/>
    <w:tmpl w:val="C70CB4FA"/>
    <w:lvl w:ilvl="0" w:tplc="62805BCA">
      <w:start w:val="1"/>
      <w:numFmt w:val="upperRoman"/>
      <w:pStyle w:val="FRACCION"/>
      <w:lvlText w:val="%1."/>
      <w:lvlJc w:val="left"/>
      <w:pPr>
        <w:tabs>
          <w:tab w:val="num" w:pos="0"/>
        </w:tabs>
        <w:ind w:left="567" w:hanging="567"/>
      </w:pPr>
      <w:rPr>
        <w:rFonts w:ascii="HelveticaNeueLT Std" w:hAnsi="HelveticaNeueLT Std" w:hint="default"/>
        <w:b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4" w15:restartNumberingAfterBreak="0">
    <w:nsid w:val="2B1329CB"/>
    <w:multiLevelType w:val="hybridMultilevel"/>
    <w:tmpl w:val="13482EC4"/>
    <w:lvl w:ilvl="0" w:tplc="871495D8">
      <w:start w:val="1"/>
      <w:numFmt w:val="decimal"/>
      <w:pStyle w:val="4Artculo"/>
      <w:lvlText w:val="Artículo %1."/>
      <w:lvlJc w:val="left"/>
      <w:pPr>
        <w:ind w:left="360" w:hanging="360"/>
      </w:pPr>
      <w:rPr>
        <w:rFonts w:ascii="Calibri" w:hAnsi="Calibri" w:cs="Times New Roman" w:hint="default"/>
        <w:b/>
        <w:i w:val="0"/>
        <w:caps w:val="0"/>
        <w:strike w:val="0"/>
        <w:dstrike w:val="0"/>
        <w:vanish w:val="0"/>
        <w:webHidden w:val="0"/>
        <w:sz w:val="22"/>
        <w:u w:val="none"/>
        <w:effect w:val="none"/>
        <w:vertAlign w:val="baseline"/>
        <w:specVanish w:val="0"/>
      </w:rPr>
    </w:lvl>
    <w:lvl w:ilvl="1" w:tplc="080A0019">
      <w:start w:val="1"/>
      <w:numFmt w:val="lowerLetter"/>
      <w:lvlText w:val="%2."/>
      <w:lvlJc w:val="left"/>
      <w:pPr>
        <w:ind w:left="1440" w:hanging="360"/>
      </w:pPr>
    </w:lvl>
    <w:lvl w:ilvl="2" w:tplc="5BA4F4E8">
      <w:start w:val="1"/>
      <w:numFmt w:val="lowerLetter"/>
      <w:lvlText w:val="%3)"/>
      <w:lvlJc w:val="left"/>
      <w:pPr>
        <w:ind w:left="2340" w:hanging="36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2B6B65DD"/>
    <w:multiLevelType w:val="hybridMultilevel"/>
    <w:tmpl w:val="52F63656"/>
    <w:lvl w:ilvl="0" w:tplc="FFFFFFFF">
      <w:start w:val="1"/>
      <w:numFmt w:val="decimal"/>
      <w:lvlText w:val="%1."/>
      <w:lvlJc w:val="left"/>
      <w:pPr>
        <w:ind w:left="1068" w:hanging="360"/>
      </w:pPr>
      <w:rPr>
        <w:rFonts w:hint="default"/>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6" w15:restartNumberingAfterBreak="0">
    <w:nsid w:val="2D443D80"/>
    <w:multiLevelType w:val="hybridMultilevel"/>
    <w:tmpl w:val="DAD2396A"/>
    <w:lvl w:ilvl="0" w:tplc="FE024054">
      <w:start w:val="1"/>
      <w:numFmt w:val="upperLetter"/>
      <w:pStyle w:val="ABCDescription"/>
      <w:lvlText w:val="%1."/>
      <w:lvlJc w:val="left"/>
      <w:pPr>
        <w:tabs>
          <w:tab w:val="num" w:pos="1080"/>
        </w:tabs>
        <w:ind w:left="1080" w:hanging="360"/>
      </w:pPr>
    </w:lvl>
    <w:lvl w:ilvl="1" w:tplc="04090015">
      <w:start w:val="1"/>
      <w:numFmt w:val="upperLetter"/>
      <w:lvlText w:val="%2."/>
      <w:lvlJc w:val="left"/>
      <w:pPr>
        <w:tabs>
          <w:tab w:val="num" w:pos="1080"/>
        </w:tabs>
        <w:ind w:left="108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7" w15:restartNumberingAfterBreak="0">
    <w:nsid w:val="2F994D50"/>
    <w:multiLevelType w:val="multilevel"/>
    <w:tmpl w:val="83444854"/>
    <w:styleLink w:val="Lista51"/>
    <w:lvl w:ilvl="0">
      <w:numFmt w:val="bullet"/>
      <w:lvlText w:val="-"/>
      <w:lvlJc w:val="left"/>
      <w:pPr>
        <w:ind w:left="0" w:firstLine="0"/>
      </w:pPr>
      <w:rPr>
        <w:rFonts w:ascii="Calibri" w:eastAsia="Calibri" w:hAnsi="Calibri" w:cs="Calibri"/>
        <w:b/>
        <w:bCs/>
        <w:position w:val="0"/>
      </w:rPr>
    </w:lvl>
    <w:lvl w:ilvl="1">
      <w:start w:val="1"/>
      <w:numFmt w:val="bullet"/>
      <w:lvlText w:val="o"/>
      <w:lvlJc w:val="left"/>
      <w:pPr>
        <w:ind w:left="0" w:firstLine="0"/>
      </w:pPr>
      <w:rPr>
        <w:rFonts w:ascii="Calibri" w:eastAsia="Calibri" w:hAnsi="Calibri" w:cs="Calibri"/>
        <w:b/>
        <w:bCs/>
        <w:position w:val="0"/>
      </w:rPr>
    </w:lvl>
    <w:lvl w:ilvl="2">
      <w:start w:val="1"/>
      <w:numFmt w:val="bullet"/>
      <w:lvlText w:val="▪"/>
      <w:lvlJc w:val="left"/>
      <w:pPr>
        <w:ind w:left="0" w:firstLine="0"/>
      </w:pPr>
      <w:rPr>
        <w:rFonts w:ascii="Calibri" w:eastAsia="Calibri" w:hAnsi="Calibri" w:cs="Calibri"/>
        <w:b/>
        <w:bCs/>
        <w:position w:val="0"/>
      </w:rPr>
    </w:lvl>
    <w:lvl w:ilvl="3">
      <w:start w:val="1"/>
      <w:numFmt w:val="bullet"/>
      <w:lvlText w:val="•"/>
      <w:lvlJc w:val="left"/>
      <w:pPr>
        <w:ind w:left="0" w:firstLine="0"/>
      </w:pPr>
      <w:rPr>
        <w:rFonts w:ascii="Calibri" w:eastAsia="Calibri" w:hAnsi="Calibri" w:cs="Calibri"/>
        <w:b/>
        <w:bCs/>
        <w:position w:val="0"/>
      </w:rPr>
    </w:lvl>
    <w:lvl w:ilvl="4">
      <w:start w:val="1"/>
      <w:numFmt w:val="bullet"/>
      <w:lvlText w:val="o"/>
      <w:lvlJc w:val="left"/>
      <w:pPr>
        <w:ind w:left="0" w:firstLine="0"/>
      </w:pPr>
      <w:rPr>
        <w:rFonts w:ascii="Calibri" w:eastAsia="Calibri" w:hAnsi="Calibri" w:cs="Calibri"/>
        <w:b/>
        <w:bCs/>
        <w:position w:val="0"/>
      </w:rPr>
    </w:lvl>
    <w:lvl w:ilvl="5">
      <w:start w:val="1"/>
      <w:numFmt w:val="bullet"/>
      <w:lvlText w:val="▪"/>
      <w:lvlJc w:val="left"/>
      <w:pPr>
        <w:ind w:left="0" w:firstLine="0"/>
      </w:pPr>
      <w:rPr>
        <w:rFonts w:ascii="Calibri" w:eastAsia="Calibri" w:hAnsi="Calibri" w:cs="Calibri"/>
        <w:b/>
        <w:bCs/>
        <w:position w:val="0"/>
      </w:rPr>
    </w:lvl>
    <w:lvl w:ilvl="6">
      <w:start w:val="1"/>
      <w:numFmt w:val="bullet"/>
      <w:lvlText w:val="•"/>
      <w:lvlJc w:val="left"/>
      <w:pPr>
        <w:ind w:left="0" w:firstLine="0"/>
      </w:pPr>
      <w:rPr>
        <w:rFonts w:ascii="Calibri" w:eastAsia="Calibri" w:hAnsi="Calibri" w:cs="Calibri"/>
        <w:b/>
        <w:bCs/>
        <w:position w:val="0"/>
      </w:rPr>
    </w:lvl>
    <w:lvl w:ilvl="7">
      <w:start w:val="1"/>
      <w:numFmt w:val="bullet"/>
      <w:lvlText w:val="o"/>
      <w:lvlJc w:val="left"/>
      <w:pPr>
        <w:ind w:left="0" w:firstLine="0"/>
      </w:pPr>
      <w:rPr>
        <w:rFonts w:ascii="Calibri" w:eastAsia="Calibri" w:hAnsi="Calibri" w:cs="Calibri"/>
        <w:b/>
        <w:bCs/>
        <w:position w:val="0"/>
      </w:rPr>
    </w:lvl>
    <w:lvl w:ilvl="8">
      <w:start w:val="1"/>
      <w:numFmt w:val="bullet"/>
      <w:lvlText w:val="▪"/>
      <w:lvlJc w:val="left"/>
      <w:pPr>
        <w:ind w:left="0" w:firstLine="0"/>
      </w:pPr>
      <w:rPr>
        <w:rFonts w:ascii="Calibri" w:eastAsia="Calibri" w:hAnsi="Calibri" w:cs="Calibri"/>
        <w:b/>
        <w:bCs/>
        <w:position w:val="0"/>
      </w:rPr>
    </w:lvl>
  </w:abstractNum>
  <w:abstractNum w:abstractNumId="48" w15:restartNumberingAfterBreak="0">
    <w:nsid w:val="2FA33534"/>
    <w:multiLevelType w:val="multilevel"/>
    <w:tmpl w:val="367C8534"/>
    <w:lvl w:ilvl="0">
      <w:start w:val="1"/>
      <w:numFmt w:val="decimal"/>
      <w:pStyle w:val="INDICE"/>
      <w:lvlText w:val="%1."/>
      <w:lvlJc w:val="left"/>
      <w:pPr>
        <w:ind w:left="1080" w:hanging="720"/>
      </w:pPr>
      <w:rPr>
        <w:rFonts w:hint="default"/>
        <w:b/>
        <w:bCs/>
      </w:rPr>
    </w:lvl>
    <w:lvl w:ilvl="1">
      <w:start w:val="1"/>
      <w:numFmt w:val="decimal"/>
      <w:isLgl/>
      <w:lvlText w:val="%1.%2"/>
      <w:lvlJc w:val="left"/>
      <w:pPr>
        <w:ind w:left="765" w:hanging="405"/>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2FB14B46"/>
    <w:multiLevelType w:val="multilevel"/>
    <w:tmpl w:val="080A001F"/>
    <w:styleLink w:val="Estilo6"/>
    <w:lvl w:ilvl="0">
      <w:start w:val="5"/>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50" w15:restartNumberingAfterBreak="0">
    <w:nsid w:val="320A680D"/>
    <w:multiLevelType w:val="hybridMultilevel"/>
    <w:tmpl w:val="2F368642"/>
    <w:lvl w:ilvl="0" w:tplc="C0529346">
      <w:start w:val="1"/>
      <w:numFmt w:val="bullet"/>
      <w:pStyle w:val="apartado"/>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1" w15:restartNumberingAfterBreak="0">
    <w:nsid w:val="322C0B2A"/>
    <w:multiLevelType w:val="multilevel"/>
    <w:tmpl w:val="4FD89B30"/>
    <w:styleLink w:val="Listaactual1"/>
    <w:lvl w:ilvl="0">
      <w:start w:val="1"/>
      <w:numFmt w:val="decimal"/>
      <w:lvlText w:val="%1."/>
      <w:lvlJc w:val="left"/>
      <w:pPr>
        <w:tabs>
          <w:tab w:val="num" w:pos="720"/>
        </w:tabs>
        <w:ind w:left="720" w:hanging="360"/>
      </w:pPr>
    </w:lvl>
    <w:lvl w:ilvl="1">
      <w:start w:val="2"/>
      <w:numFmt w:val="upperRoman"/>
      <w:lvlText w:val="%2."/>
      <w:lvlJc w:val="left"/>
      <w:pPr>
        <w:tabs>
          <w:tab w:val="num" w:pos="1800"/>
        </w:tabs>
        <w:ind w:left="1800" w:hanging="720"/>
      </w:p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324C3B0F"/>
    <w:multiLevelType w:val="hybridMultilevel"/>
    <w:tmpl w:val="3D3A5074"/>
    <w:lvl w:ilvl="0" w:tplc="39B8A74A">
      <w:start w:val="1"/>
      <w:numFmt w:val="upperRoman"/>
      <w:lvlText w:val="%1."/>
      <w:lvlJc w:val="left"/>
      <w:pPr>
        <w:ind w:left="862" w:hanging="720"/>
      </w:pPr>
      <w:rPr>
        <w:rFonts w:hint="default"/>
        <w:b/>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3" w15:restartNumberingAfterBreak="0">
    <w:nsid w:val="33C950EB"/>
    <w:multiLevelType w:val="multilevel"/>
    <w:tmpl w:val="1FF8E27A"/>
    <w:styleLink w:val="List0"/>
    <w:lvl w:ilvl="0">
      <w:start w:val="1"/>
      <w:numFmt w:val="decimal"/>
      <w:lvlText w:val="%1."/>
      <w:lvlJc w:val="left"/>
      <w:pPr>
        <w:tabs>
          <w:tab w:val="num" w:pos="360"/>
        </w:tabs>
        <w:ind w:left="360" w:hanging="360"/>
      </w:pPr>
      <w:rPr>
        <w:position w:val="0"/>
        <w:sz w:val="24"/>
        <w:szCs w:val="24"/>
      </w:rPr>
    </w:lvl>
    <w:lvl w:ilvl="1">
      <w:start w:val="1"/>
      <w:numFmt w:val="lowerLetter"/>
      <w:lvlText w:val="%2."/>
      <w:lvlJc w:val="left"/>
      <w:pPr>
        <w:tabs>
          <w:tab w:val="num" w:pos="1080"/>
        </w:tabs>
        <w:ind w:left="1080" w:hanging="360"/>
      </w:pPr>
      <w:rPr>
        <w:position w:val="0"/>
        <w:sz w:val="24"/>
        <w:szCs w:val="24"/>
      </w:rPr>
    </w:lvl>
    <w:lvl w:ilvl="2">
      <w:start w:val="1"/>
      <w:numFmt w:val="lowerRoman"/>
      <w:lvlText w:val="%3."/>
      <w:lvlJc w:val="left"/>
      <w:pPr>
        <w:tabs>
          <w:tab w:val="num" w:pos="1800"/>
        </w:tabs>
        <w:ind w:left="1800" w:hanging="296"/>
      </w:pPr>
      <w:rPr>
        <w:position w:val="0"/>
        <w:sz w:val="24"/>
        <w:szCs w:val="24"/>
      </w:rPr>
    </w:lvl>
    <w:lvl w:ilvl="3">
      <w:start w:val="1"/>
      <w:numFmt w:val="decimal"/>
      <w:lvlText w:val="%4."/>
      <w:lvlJc w:val="left"/>
      <w:pPr>
        <w:tabs>
          <w:tab w:val="num" w:pos="2520"/>
        </w:tabs>
        <w:ind w:left="2520" w:hanging="360"/>
      </w:pPr>
      <w:rPr>
        <w:position w:val="0"/>
        <w:sz w:val="24"/>
        <w:szCs w:val="24"/>
      </w:rPr>
    </w:lvl>
    <w:lvl w:ilvl="4">
      <w:start w:val="1"/>
      <w:numFmt w:val="lowerLetter"/>
      <w:lvlText w:val="%5."/>
      <w:lvlJc w:val="left"/>
      <w:pPr>
        <w:tabs>
          <w:tab w:val="num" w:pos="3240"/>
        </w:tabs>
        <w:ind w:left="3240" w:hanging="360"/>
      </w:pPr>
      <w:rPr>
        <w:position w:val="0"/>
        <w:sz w:val="24"/>
        <w:szCs w:val="24"/>
      </w:rPr>
    </w:lvl>
    <w:lvl w:ilvl="5">
      <w:start w:val="1"/>
      <w:numFmt w:val="lowerRoman"/>
      <w:lvlText w:val="%6."/>
      <w:lvlJc w:val="left"/>
      <w:pPr>
        <w:tabs>
          <w:tab w:val="num" w:pos="3960"/>
        </w:tabs>
        <w:ind w:left="3960" w:hanging="296"/>
      </w:pPr>
      <w:rPr>
        <w:position w:val="0"/>
        <w:sz w:val="24"/>
        <w:szCs w:val="24"/>
      </w:rPr>
    </w:lvl>
    <w:lvl w:ilvl="6">
      <w:start w:val="1"/>
      <w:numFmt w:val="decimal"/>
      <w:lvlText w:val="%7."/>
      <w:lvlJc w:val="left"/>
      <w:pPr>
        <w:tabs>
          <w:tab w:val="num" w:pos="4680"/>
        </w:tabs>
        <w:ind w:left="4680" w:hanging="360"/>
      </w:pPr>
      <w:rPr>
        <w:position w:val="0"/>
        <w:sz w:val="24"/>
        <w:szCs w:val="24"/>
      </w:rPr>
    </w:lvl>
    <w:lvl w:ilvl="7">
      <w:start w:val="1"/>
      <w:numFmt w:val="lowerLetter"/>
      <w:lvlText w:val="%8."/>
      <w:lvlJc w:val="left"/>
      <w:pPr>
        <w:tabs>
          <w:tab w:val="num" w:pos="5400"/>
        </w:tabs>
        <w:ind w:left="5400" w:hanging="360"/>
      </w:pPr>
      <w:rPr>
        <w:position w:val="0"/>
        <w:sz w:val="24"/>
        <w:szCs w:val="24"/>
      </w:rPr>
    </w:lvl>
    <w:lvl w:ilvl="8">
      <w:start w:val="1"/>
      <w:numFmt w:val="lowerRoman"/>
      <w:lvlText w:val="%9."/>
      <w:lvlJc w:val="left"/>
      <w:pPr>
        <w:tabs>
          <w:tab w:val="num" w:pos="6120"/>
        </w:tabs>
        <w:ind w:left="6120" w:hanging="296"/>
      </w:pPr>
      <w:rPr>
        <w:position w:val="0"/>
        <w:sz w:val="24"/>
        <w:szCs w:val="24"/>
      </w:rPr>
    </w:lvl>
  </w:abstractNum>
  <w:abstractNum w:abstractNumId="54" w15:restartNumberingAfterBreak="0">
    <w:nsid w:val="33F03F39"/>
    <w:multiLevelType w:val="multilevel"/>
    <w:tmpl w:val="3688831A"/>
    <w:lvl w:ilvl="0">
      <w:start w:val="1"/>
      <w:numFmt w:val="decimal"/>
      <w:pStyle w:val="APARTADO0"/>
      <w:lvlText w:val="%1."/>
      <w:lvlJc w:val="left"/>
      <w:pPr>
        <w:ind w:left="1080" w:hanging="720"/>
      </w:pPr>
      <w:rPr>
        <w:rFonts w:ascii="HelveticaNeueLT Std Blk" w:hAnsi="HelveticaNeueLT Std Blk" w:hint="default"/>
        <w:b/>
        <w:bCs/>
      </w:rPr>
    </w:lvl>
    <w:lvl w:ilvl="1">
      <w:start w:val="1"/>
      <w:numFmt w:val="decimal"/>
      <w:pStyle w:val="aparta2"/>
      <w:isLgl/>
      <w:lvlText w:val="%1.%2"/>
      <w:lvlJc w:val="left"/>
      <w:pPr>
        <w:ind w:left="765" w:hanging="405"/>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33F747C3"/>
    <w:multiLevelType w:val="hybridMultilevel"/>
    <w:tmpl w:val="ED16143C"/>
    <w:lvl w:ilvl="0" w:tplc="B4A00E14">
      <w:start w:val="1"/>
      <w:numFmt w:val="bullet"/>
      <w:pStyle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6" w15:restartNumberingAfterBreak="0">
    <w:nsid w:val="3519471D"/>
    <w:multiLevelType w:val="multilevel"/>
    <w:tmpl w:val="B5CE47AC"/>
    <w:styleLink w:val="WWNum5"/>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7" w15:restartNumberingAfterBreak="0">
    <w:nsid w:val="36BE5989"/>
    <w:multiLevelType w:val="hybridMultilevel"/>
    <w:tmpl w:val="5784FA96"/>
    <w:lvl w:ilvl="0" w:tplc="080A0001">
      <w:start w:val="1"/>
      <w:numFmt w:val="bullet"/>
      <w:lvlText w:val=""/>
      <w:lvlJc w:val="left"/>
      <w:pPr>
        <w:ind w:left="811" w:hanging="360"/>
      </w:pPr>
      <w:rPr>
        <w:rFonts w:ascii="Symbol" w:hAnsi="Symbol" w:hint="default"/>
      </w:rPr>
    </w:lvl>
    <w:lvl w:ilvl="1" w:tplc="080A0003" w:tentative="1">
      <w:start w:val="1"/>
      <w:numFmt w:val="bullet"/>
      <w:lvlText w:val="o"/>
      <w:lvlJc w:val="left"/>
      <w:pPr>
        <w:ind w:left="1531" w:hanging="360"/>
      </w:pPr>
      <w:rPr>
        <w:rFonts w:ascii="Courier New" w:hAnsi="Courier New" w:cs="Courier New" w:hint="default"/>
      </w:rPr>
    </w:lvl>
    <w:lvl w:ilvl="2" w:tplc="080A0005" w:tentative="1">
      <w:start w:val="1"/>
      <w:numFmt w:val="bullet"/>
      <w:lvlText w:val=""/>
      <w:lvlJc w:val="left"/>
      <w:pPr>
        <w:ind w:left="2251" w:hanging="360"/>
      </w:pPr>
      <w:rPr>
        <w:rFonts w:ascii="Wingdings" w:hAnsi="Wingdings" w:hint="default"/>
      </w:rPr>
    </w:lvl>
    <w:lvl w:ilvl="3" w:tplc="080A0001" w:tentative="1">
      <w:start w:val="1"/>
      <w:numFmt w:val="bullet"/>
      <w:lvlText w:val=""/>
      <w:lvlJc w:val="left"/>
      <w:pPr>
        <w:ind w:left="2971" w:hanging="360"/>
      </w:pPr>
      <w:rPr>
        <w:rFonts w:ascii="Symbol" w:hAnsi="Symbol" w:hint="default"/>
      </w:rPr>
    </w:lvl>
    <w:lvl w:ilvl="4" w:tplc="080A0003" w:tentative="1">
      <w:start w:val="1"/>
      <w:numFmt w:val="bullet"/>
      <w:lvlText w:val="o"/>
      <w:lvlJc w:val="left"/>
      <w:pPr>
        <w:ind w:left="3691" w:hanging="360"/>
      </w:pPr>
      <w:rPr>
        <w:rFonts w:ascii="Courier New" w:hAnsi="Courier New" w:cs="Courier New" w:hint="default"/>
      </w:rPr>
    </w:lvl>
    <w:lvl w:ilvl="5" w:tplc="080A0005" w:tentative="1">
      <w:start w:val="1"/>
      <w:numFmt w:val="bullet"/>
      <w:lvlText w:val=""/>
      <w:lvlJc w:val="left"/>
      <w:pPr>
        <w:ind w:left="4411" w:hanging="360"/>
      </w:pPr>
      <w:rPr>
        <w:rFonts w:ascii="Wingdings" w:hAnsi="Wingdings" w:hint="default"/>
      </w:rPr>
    </w:lvl>
    <w:lvl w:ilvl="6" w:tplc="080A0001" w:tentative="1">
      <w:start w:val="1"/>
      <w:numFmt w:val="bullet"/>
      <w:lvlText w:val=""/>
      <w:lvlJc w:val="left"/>
      <w:pPr>
        <w:ind w:left="5131" w:hanging="360"/>
      </w:pPr>
      <w:rPr>
        <w:rFonts w:ascii="Symbol" w:hAnsi="Symbol" w:hint="default"/>
      </w:rPr>
    </w:lvl>
    <w:lvl w:ilvl="7" w:tplc="080A0003" w:tentative="1">
      <w:start w:val="1"/>
      <w:numFmt w:val="bullet"/>
      <w:lvlText w:val="o"/>
      <w:lvlJc w:val="left"/>
      <w:pPr>
        <w:ind w:left="5851" w:hanging="360"/>
      </w:pPr>
      <w:rPr>
        <w:rFonts w:ascii="Courier New" w:hAnsi="Courier New" w:cs="Courier New" w:hint="default"/>
      </w:rPr>
    </w:lvl>
    <w:lvl w:ilvl="8" w:tplc="080A0005" w:tentative="1">
      <w:start w:val="1"/>
      <w:numFmt w:val="bullet"/>
      <w:lvlText w:val=""/>
      <w:lvlJc w:val="left"/>
      <w:pPr>
        <w:ind w:left="6571" w:hanging="360"/>
      </w:pPr>
      <w:rPr>
        <w:rFonts w:ascii="Wingdings" w:hAnsi="Wingdings" w:hint="default"/>
      </w:rPr>
    </w:lvl>
  </w:abstractNum>
  <w:abstractNum w:abstractNumId="58" w15:restartNumberingAfterBreak="0">
    <w:nsid w:val="36CF629E"/>
    <w:multiLevelType w:val="multilevel"/>
    <w:tmpl w:val="104A6210"/>
    <w:styleLink w:val="List10"/>
    <w:lvl w:ilvl="0">
      <w:numFmt w:val="bullet"/>
      <w:lvlText w:val="-"/>
      <w:lvlJc w:val="left"/>
      <w:pPr>
        <w:ind w:left="0" w:firstLine="0"/>
      </w:pPr>
      <w:rPr>
        <w:position w:val="0"/>
      </w:rPr>
    </w:lvl>
    <w:lvl w:ilvl="1">
      <w:start w:val="1"/>
      <w:numFmt w:val="lowerLetter"/>
      <w:lvlText w:val="%2."/>
      <w:lvlJc w:val="left"/>
      <w:pPr>
        <w:ind w:left="0" w:firstLine="0"/>
      </w:pPr>
      <w:rPr>
        <w:position w:val="0"/>
      </w:rPr>
    </w:lvl>
    <w:lvl w:ilvl="2">
      <w:start w:val="1"/>
      <w:numFmt w:val="lowerRoman"/>
      <w:lvlText w:val="%3."/>
      <w:lvlJc w:val="left"/>
      <w:pPr>
        <w:ind w:left="0" w:firstLine="0"/>
      </w:pPr>
      <w:rPr>
        <w:position w:val="0"/>
      </w:rPr>
    </w:lvl>
    <w:lvl w:ilvl="3">
      <w:start w:val="1"/>
      <w:numFmt w:val="decimal"/>
      <w:lvlText w:val="%4."/>
      <w:lvlJc w:val="left"/>
      <w:pPr>
        <w:ind w:left="0" w:firstLine="0"/>
      </w:pPr>
      <w:rPr>
        <w:position w:val="0"/>
      </w:rPr>
    </w:lvl>
    <w:lvl w:ilvl="4">
      <w:start w:val="1"/>
      <w:numFmt w:val="lowerLetter"/>
      <w:lvlText w:val="%5."/>
      <w:lvlJc w:val="left"/>
      <w:pPr>
        <w:ind w:left="0" w:firstLine="0"/>
      </w:pPr>
      <w:rPr>
        <w:position w:val="0"/>
      </w:rPr>
    </w:lvl>
    <w:lvl w:ilvl="5">
      <w:start w:val="1"/>
      <w:numFmt w:val="lowerRoman"/>
      <w:lvlText w:val="%6."/>
      <w:lvlJc w:val="left"/>
      <w:pPr>
        <w:ind w:left="0" w:firstLine="0"/>
      </w:pPr>
      <w:rPr>
        <w:position w:val="0"/>
      </w:rPr>
    </w:lvl>
    <w:lvl w:ilvl="6">
      <w:start w:val="1"/>
      <w:numFmt w:val="decimal"/>
      <w:lvlText w:val="%7."/>
      <w:lvlJc w:val="left"/>
      <w:pPr>
        <w:ind w:left="0" w:firstLine="0"/>
      </w:pPr>
      <w:rPr>
        <w:position w:val="0"/>
      </w:rPr>
    </w:lvl>
    <w:lvl w:ilvl="7">
      <w:start w:val="1"/>
      <w:numFmt w:val="lowerLetter"/>
      <w:lvlText w:val="%8."/>
      <w:lvlJc w:val="left"/>
      <w:pPr>
        <w:ind w:left="0" w:firstLine="0"/>
      </w:pPr>
      <w:rPr>
        <w:position w:val="0"/>
      </w:rPr>
    </w:lvl>
    <w:lvl w:ilvl="8">
      <w:start w:val="1"/>
      <w:numFmt w:val="lowerRoman"/>
      <w:lvlText w:val="%9."/>
      <w:lvlJc w:val="left"/>
      <w:pPr>
        <w:ind w:left="0" w:firstLine="0"/>
      </w:pPr>
      <w:rPr>
        <w:position w:val="0"/>
      </w:rPr>
    </w:lvl>
  </w:abstractNum>
  <w:abstractNum w:abstractNumId="59" w15:restartNumberingAfterBreak="0">
    <w:nsid w:val="38FB41F5"/>
    <w:multiLevelType w:val="multilevel"/>
    <w:tmpl w:val="0B4A90EE"/>
    <w:styleLink w:val="111111"/>
    <w:lvl w:ilvl="0">
      <w:start w:val="8"/>
      <w:numFmt w:val="decimal"/>
      <w:lvlText w:val="%1."/>
      <w:lvlJc w:val="left"/>
      <w:pPr>
        <w:tabs>
          <w:tab w:val="num" w:pos="360"/>
        </w:tabs>
        <w:ind w:left="360" w:hanging="360"/>
      </w:pPr>
      <w:rPr>
        <w:sz w:val="16"/>
        <w:szCs w:val="16"/>
      </w:rPr>
    </w:lvl>
    <w:lvl w:ilvl="1">
      <w:start w:val="1"/>
      <w:numFmt w:val="decimal"/>
      <w:lvlText w:val="%1.%2"/>
      <w:lvlJc w:val="left"/>
      <w:pPr>
        <w:tabs>
          <w:tab w:val="num" w:pos="792"/>
        </w:tabs>
        <w:ind w:left="792" w:hanging="432"/>
      </w:pPr>
      <w:rPr>
        <w:b/>
        <w:sz w:val="16"/>
        <w:szCs w:val="16"/>
      </w:rPr>
    </w:lvl>
    <w:lvl w:ilvl="2">
      <w:start w:val="1"/>
      <w:numFmt w:val="decimal"/>
      <w:lvlText w:val="%1.%2.%3"/>
      <w:lvlJc w:val="left"/>
      <w:pPr>
        <w:tabs>
          <w:tab w:val="num" w:pos="1224"/>
        </w:tabs>
        <w:ind w:left="1224" w:hanging="504"/>
      </w:pPr>
      <w:rPr>
        <w:b/>
        <w:i w:val="0"/>
      </w:rPr>
    </w:lvl>
    <w:lvl w:ilvl="3">
      <w:start w:val="1"/>
      <w:numFmt w:val="decimal"/>
      <w:lvlText w:val="%1.%2.%3.%4"/>
      <w:lvlJc w:val="left"/>
      <w:pPr>
        <w:tabs>
          <w:tab w:val="num" w:pos="1728"/>
        </w:tabs>
        <w:ind w:left="1728" w:hanging="648"/>
      </w:pPr>
      <w:rPr>
        <w:b/>
        <w:i w:val="0"/>
      </w:rPr>
    </w:lvl>
    <w:lvl w:ilvl="4">
      <w:start w:val="1"/>
      <w:numFmt w:val="decimal"/>
      <w:lvlText w:val="%1.%2.%3.%4.%5"/>
      <w:lvlJc w:val="left"/>
      <w:pPr>
        <w:tabs>
          <w:tab w:val="num" w:pos="2232"/>
        </w:tabs>
        <w:ind w:left="2232" w:hanging="792"/>
      </w:pPr>
      <w:rPr>
        <w:b/>
        <w:i w:val="0"/>
      </w:rPr>
    </w:lvl>
    <w:lvl w:ilvl="5">
      <w:start w:val="1"/>
      <w:numFmt w:val="decimal"/>
      <w:lvlText w:val="%1.%2.%3.%4.%5.%6"/>
      <w:lvlJc w:val="left"/>
      <w:pPr>
        <w:tabs>
          <w:tab w:val="num" w:pos="2736"/>
        </w:tabs>
        <w:ind w:left="2736" w:hanging="936"/>
      </w:pPr>
      <w:rPr>
        <w:b/>
        <w:i w:val="0"/>
      </w:rPr>
    </w:lvl>
    <w:lvl w:ilvl="6">
      <w:start w:val="1"/>
      <w:numFmt w:val="decimal"/>
      <w:lvlText w:val="%1.%2.%3.%4.%5.%6.%7"/>
      <w:lvlJc w:val="left"/>
      <w:pPr>
        <w:tabs>
          <w:tab w:val="num" w:pos="3240"/>
        </w:tabs>
        <w:ind w:left="3240" w:hanging="1080"/>
      </w:pPr>
      <w:rPr>
        <w:b/>
        <w:i w:val="0"/>
      </w:rPr>
    </w:lvl>
    <w:lvl w:ilvl="7">
      <w:start w:val="1"/>
      <w:numFmt w:val="decimal"/>
      <w:lvlText w:val="%1.%2.%3.%4.%5.%6.%7.%8"/>
      <w:lvlJc w:val="left"/>
      <w:pPr>
        <w:tabs>
          <w:tab w:val="num" w:pos="3744"/>
        </w:tabs>
        <w:ind w:left="3744" w:hanging="1224"/>
      </w:pPr>
      <w:rPr>
        <w:b/>
        <w:i w:val="0"/>
      </w:rPr>
    </w:lvl>
    <w:lvl w:ilvl="8">
      <w:start w:val="1"/>
      <w:numFmt w:val="decimal"/>
      <w:lvlText w:val="%1.%2.%3.%4.%5.%6.%7.%8.%9"/>
      <w:lvlJc w:val="left"/>
      <w:pPr>
        <w:tabs>
          <w:tab w:val="num" w:pos="4320"/>
        </w:tabs>
        <w:ind w:left="4320" w:hanging="1440"/>
      </w:pPr>
      <w:rPr>
        <w:b/>
        <w:i w:val="0"/>
      </w:rPr>
    </w:lvl>
  </w:abstractNum>
  <w:abstractNum w:abstractNumId="60" w15:restartNumberingAfterBreak="0">
    <w:nsid w:val="399A144D"/>
    <w:multiLevelType w:val="multilevel"/>
    <w:tmpl w:val="05B09A4A"/>
    <w:styleLink w:val="WWNum1"/>
    <w:lvl w:ilvl="0">
      <w:start w:val="1"/>
      <w:numFmt w:val="upperRoman"/>
      <w:lvlText w:val="%1."/>
      <w:lvlJc w:val="left"/>
      <w:pPr>
        <w:ind w:left="1635" w:hanging="723"/>
      </w:pPr>
      <w:rPr>
        <w:rFonts w:eastAsia="Arial" w:cs="Arial"/>
        <w:sz w:val="19"/>
        <w:szCs w:val="19"/>
      </w:rPr>
    </w:lvl>
    <w:lvl w:ilvl="1">
      <w:numFmt w:val="bullet"/>
      <w:lvlText w:val="•"/>
      <w:lvlJc w:val="left"/>
      <w:pPr>
        <w:ind w:left="2360" w:hanging="723"/>
      </w:pPr>
    </w:lvl>
    <w:lvl w:ilvl="2">
      <w:numFmt w:val="bullet"/>
      <w:lvlText w:val="•"/>
      <w:lvlJc w:val="left"/>
      <w:pPr>
        <w:ind w:left="3080" w:hanging="723"/>
      </w:pPr>
    </w:lvl>
    <w:lvl w:ilvl="3">
      <w:numFmt w:val="bullet"/>
      <w:lvlText w:val="•"/>
      <w:lvlJc w:val="left"/>
      <w:pPr>
        <w:ind w:left="3800" w:hanging="723"/>
      </w:pPr>
    </w:lvl>
    <w:lvl w:ilvl="4">
      <w:numFmt w:val="bullet"/>
      <w:lvlText w:val="•"/>
      <w:lvlJc w:val="left"/>
      <w:pPr>
        <w:ind w:left="4520" w:hanging="723"/>
      </w:pPr>
    </w:lvl>
    <w:lvl w:ilvl="5">
      <w:numFmt w:val="bullet"/>
      <w:lvlText w:val="•"/>
      <w:lvlJc w:val="left"/>
      <w:pPr>
        <w:ind w:left="5240" w:hanging="723"/>
      </w:pPr>
    </w:lvl>
    <w:lvl w:ilvl="6">
      <w:numFmt w:val="bullet"/>
      <w:lvlText w:val="•"/>
      <w:lvlJc w:val="left"/>
      <w:pPr>
        <w:ind w:left="5960" w:hanging="723"/>
      </w:pPr>
    </w:lvl>
    <w:lvl w:ilvl="7">
      <w:numFmt w:val="bullet"/>
      <w:lvlText w:val="•"/>
      <w:lvlJc w:val="left"/>
      <w:pPr>
        <w:ind w:left="6680" w:hanging="723"/>
      </w:pPr>
    </w:lvl>
    <w:lvl w:ilvl="8">
      <w:numFmt w:val="bullet"/>
      <w:lvlText w:val="•"/>
      <w:lvlJc w:val="left"/>
      <w:pPr>
        <w:ind w:left="7400" w:hanging="723"/>
      </w:pPr>
    </w:lvl>
  </w:abstractNum>
  <w:abstractNum w:abstractNumId="61" w15:restartNumberingAfterBreak="0">
    <w:nsid w:val="39AC3CA4"/>
    <w:multiLevelType w:val="hybridMultilevel"/>
    <w:tmpl w:val="16BC7152"/>
    <w:lvl w:ilvl="0" w:tplc="49F6B7DC">
      <w:start w:val="1"/>
      <w:numFmt w:val="decimal"/>
      <w:pStyle w:val="ATRIBUCIONES"/>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62" w15:restartNumberingAfterBreak="0">
    <w:nsid w:val="3B835DEF"/>
    <w:multiLevelType w:val="multilevel"/>
    <w:tmpl w:val="B3DA5240"/>
    <w:styleLink w:val="List8"/>
    <w:lvl w:ilvl="0">
      <w:numFmt w:val="bullet"/>
      <w:lvlText w:val="-"/>
      <w:lvlJc w:val="left"/>
      <w:pPr>
        <w:ind w:left="0" w:firstLine="0"/>
      </w:pPr>
      <w:rPr>
        <w:rFonts w:ascii="Calibri" w:eastAsia="Calibri" w:hAnsi="Calibri" w:cs="Calibri"/>
        <w:b/>
        <w:bCs/>
        <w:position w:val="0"/>
      </w:rPr>
    </w:lvl>
    <w:lvl w:ilvl="1">
      <w:start w:val="1"/>
      <w:numFmt w:val="bullet"/>
      <w:lvlText w:val="o"/>
      <w:lvlJc w:val="left"/>
      <w:pPr>
        <w:ind w:left="0" w:firstLine="0"/>
      </w:pPr>
      <w:rPr>
        <w:rFonts w:ascii="Calibri" w:eastAsia="Calibri" w:hAnsi="Calibri" w:cs="Calibri"/>
        <w:b/>
        <w:bCs/>
        <w:position w:val="0"/>
      </w:rPr>
    </w:lvl>
    <w:lvl w:ilvl="2">
      <w:start w:val="1"/>
      <w:numFmt w:val="bullet"/>
      <w:lvlText w:val="▪"/>
      <w:lvlJc w:val="left"/>
      <w:pPr>
        <w:ind w:left="0" w:firstLine="0"/>
      </w:pPr>
      <w:rPr>
        <w:rFonts w:ascii="Calibri" w:eastAsia="Calibri" w:hAnsi="Calibri" w:cs="Calibri"/>
        <w:b/>
        <w:bCs/>
        <w:position w:val="0"/>
      </w:rPr>
    </w:lvl>
    <w:lvl w:ilvl="3">
      <w:start w:val="1"/>
      <w:numFmt w:val="bullet"/>
      <w:lvlText w:val="•"/>
      <w:lvlJc w:val="left"/>
      <w:pPr>
        <w:ind w:left="0" w:firstLine="0"/>
      </w:pPr>
      <w:rPr>
        <w:rFonts w:ascii="Calibri" w:eastAsia="Calibri" w:hAnsi="Calibri" w:cs="Calibri"/>
        <w:b/>
        <w:bCs/>
        <w:position w:val="0"/>
      </w:rPr>
    </w:lvl>
    <w:lvl w:ilvl="4">
      <w:start w:val="1"/>
      <w:numFmt w:val="bullet"/>
      <w:lvlText w:val="o"/>
      <w:lvlJc w:val="left"/>
      <w:pPr>
        <w:ind w:left="0" w:firstLine="0"/>
      </w:pPr>
      <w:rPr>
        <w:rFonts w:ascii="Calibri" w:eastAsia="Calibri" w:hAnsi="Calibri" w:cs="Calibri"/>
        <w:b/>
        <w:bCs/>
        <w:position w:val="0"/>
      </w:rPr>
    </w:lvl>
    <w:lvl w:ilvl="5">
      <w:start w:val="1"/>
      <w:numFmt w:val="bullet"/>
      <w:lvlText w:val="▪"/>
      <w:lvlJc w:val="left"/>
      <w:pPr>
        <w:ind w:left="0" w:firstLine="0"/>
      </w:pPr>
      <w:rPr>
        <w:rFonts w:ascii="Calibri" w:eastAsia="Calibri" w:hAnsi="Calibri" w:cs="Calibri"/>
        <w:b/>
        <w:bCs/>
        <w:position w:val="0"/>
      </w:rPr>
    </w:lvl>
    <w:lvl w:ilvl="6">
      <w:start w:val="1"/>
      <w:numFmt w:val="bullet"/>
      <w:lvlText w:val="•"/>
      <w:lvlJc w:val="left"/>
      <w:pPr>
        <w:ind w:left="0" w:firstLine="0"/>
      </w:pPr>
      <w:rPr>
        <w:rFonts w:ascii="Calibri" w:eastAsia="Calibri" w:hAnsi="Calibri" w:cs="Calibri"/>
        <w:b/>
        <w:bCs/>
        <w:position w:val="0"/>
      </w:rPr>
    </w:lvl>
    <w:lvl w:ilvl="7">
      <w:start w:val="1"/>
      <w:numFmt w:val="bullet"/>
      <w:lvlText w:val="o"/>
      <w:lvlJc w:val="left"/>
      <w:pPr>
        <w:ind w:left="0" w:firstLine="0"/>
      </w:pPr>
      <w:rPr>
        <w:rFonts w:ascii="Calibri" w:eastAsia="Calibri" w:hAnsi="Calibri" w:cs="Calibri"/>
        <w:b/>
        <w:bCs/>
        <w:position w:val="0"/>
      </w:rPr>
    </w:lvl>
    <w:lvl w:ilvl="8">
      <w:start w:val="1"/>
      <w:numFmt w:val="bullet"/>
      <w:lvlText w:val="▪"/>
      <w:lvlJc w:val="left"/>
      <w:pPr>
        <w:ind w:left="0" w:firstLine="0"/>
      </w:pPr>
      <w:rPr>
        <w:rFonts w:ascii="Calibri" w:eastAsia="Calibri" w:hAnsi="Calibri" w:cs="Calibri"/>
        <w:b/>
        <w:bCs/>
        <w:position w:val="0"/>
      </w:rPr>
    </w:lvl>
  </w:abstractNum>
  <w:abstractNum w:abstractNumId="63" w15:restartNumberingAfterBreak="0">
    <w:nsid w:val="3EEF2042"/>
    <w:multiLevelType w:val="hybridMultilevel"/>
    <w:tmpl w:val="464C51E2"/>
    <w:lvl w:ilvl="0" w:tplc="DDBC2C6A">
      <w:start w:val="1"/>
      <w:numFmt w:val="lowerLetter"/>
      <w:lvlText w:val="%1)"/>
      <w:lvlJc w:val="left"/>
      <w:pPr>
        <w:ind w:left="927"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4" w15:restartNumberingAfterBreak="0">
    <w:nsid w:val="3F833E53"/>
    <w:multiLevelType w:val="hybridMultilevel"/>
    <w:tmpl w:val="942A838A"/>
    <w:lvl w:ilvl="0" w:tplc="47F63E6A">
      <w:start w:val="1"/>
      <w:numFmt w:val="upperRoman"/>
      <w:pStyle w:val="APARTADOS"/>
      <w:lvlText w:val="%1."/>
      <w:lvlJc w:val="left"/>
      <w:pPr>
        <w:ind w:left="720" w:hanging="360"/>
      </w:pPr>
    </w:lvl>
    <w:lvl w:ilvl="1" w:tplc="4E2C4CD0">
      <w:start w:val="1"/>
      <w:numFmt w:val="upperRoman"/>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5" w15:restartNumberingAfterBreak="0">
    <w:nsid w:val="40CF105F"/>
    <w:multiLevelType w:val="hybridMultilevel"/>
    <w:tmpl w:val="6BB469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42881B36"/>
    <w:multiLevelType w:val="hybridMultilevel"/>
    <w:tmpl w:val="57969E42"/>
    <w:lvl w:ilvl="0" w:tplc="30EC3EEA">
      <w:start w:val="4"/>
      <w:numFmt w:val="upperLetter"/>
      <w:lvlText w:val="%1)"/>
      <w:lvlJc w:val="left"/>
      <w:pPr>
        <w:ind w:left="726" w:hanging="360"/>
      </w:pPr>
      <w:rPr>
        <w:rFonts w:hint="default"/>
        <w:b/>
      </w:rPr>
    </w:lvl>
    <w:lvl w:ilvl="1" w:tplc="080A0019" w:tentative="1">
      <w:start w:val="1"/>
      <w:numFmt w:val="lowerLetter"/>
      <w:lvlText w:val="%2."/>
      <w:lvlJc w:val="left"/>
      <w:pPr>
        <w:ind w:left="1446" w:hanging="360"/>
      </w:pPr>
    </w:lvl>
    <w:lvl w:ilvl="2" w:tplc="080A001B" w:tentative="1">
      <w:start w:val="1"/>
      <w:numFmt w:val="lowerRoman"/>
      <w:lvlText w:val="%3."/>
      <w:lvlJc w:val="right"/>
      <w:pPr>
        <w:ind w:left="2166" w:hanging="180"/>
      </w:pPr>
    </w:lvl>
    <w:lvl w:ilvl="3" w:tplc="080A000F" w:tentative="1">
      <w:start w:val="1"/>
      <w:numFmt w:val="decimal"/>
      <w:lvlText w:val="%4."/>
      <w:lvlJc w:val="left"/>
      <w:pPr>
        <w:ind w:left="2886" w:hanging="360"/>
      </w:pPr>
    </w:lvl>
    <w:lvl w:ilvl="4" w:tplc="080A0019" w:tentative="1">
      <w:start w:val="1"/>
      <w:numFmt w:val="lowerLetter"/>
      <w:lvlText w:val="%5."/>
      <w:lvlJc w:val="left"/>
      <w:pPr>
        <w:ind w:left="3606" w:hanging="360"/>
      </w:pPr>
    </w:lvl>
    <w:lvl w:ilvl="5" w:tplc="080A001B" w:tentative="1">
      <w:start w:val="1"/>
      <w:numFmt w:val="lowerRoman"/>
      <w:lvlText w:val="%6."/>
      <w:lvlJc w:val="right"/>
      <w:pPr>
        <w:ind w:left="4326" w:hanging="180"/>
      </w:pPr>
    </w:lvl>
    <w:lvl w:ilvl="6" w:tplc="080A000F" w:tentative="1">
      <w:start w:val="1"/>
      <w:numFmt w:val="decimal"/>
      <w:lvlText w:val="%7."/>
      <w:lvlJc w:val="left"/>
      <w:pPr>
        <w:ind w:left="5046" w:hanging="360"/>
      </w:pPr>
    </w:lvl>
    <w:lvl w:ilvl="7" w:tplc="080A0019" w:tentative="1">
      <w:start w:val="1"/>
      <w:numFmt w:val="lowerLetter"/>
      <w:lvlText w:val="%8."/>
      <w:lvlJc w:val="left"/>
      <w:pPr>
        <w:ind w:left="5766" w:hanging="360"/>
      </w:pPr>
    </w:lvl>
    <w:lvl w:ilvl="8" w:tplc="080A001B" w:tentative="1">
      <w:start w:val="1"/>
      <w:numFmt w:val="lowerRoman"/>
      <w:lvlText w:val="%9."/>
      <w:lvlJc w:val="right"/>
      <w:pPr>
        <w:ind w:left="6486" w:hanging="180"/>
      </w:pPr>
    </w:lvl>
  </w:abstractNum>
  <w:abstractNum w:abstractNumId="67" w15:restartNumberingAfterBreak="0">
    <w:nsid w:val="432C3947"/>
    <w:multiLevelType w:val="hybridMultilevel"/>
    <w:tmpl w:val="9272C376"/>
    <w:lvl w:ilvl="0" w:tplc="2E9C5E2C">
      <w:start w:val="1"/>
      <w:numFmt w:val="bullet"/>
      <w:pStyle w:val="bulletsJBG2doNivel"/>
      <w:lvlText w:val="o"/>
      <w:lvlJc w:val="left"/>
      <w:pPr>
        <w:ind w:left="1538" w:hanging="360"/>
      </w:pPr>
      <w:rPr>
        <w:rFonts w:ascii="Courier New" w:hAnsi="Courier New" w:cs="Courier New" w:hint="default"/>
      </w:rPr>
    </w:lvl>
    <w:lvl w:ilvl="1" w:tplc="080A0003">
      <w:start w:val="1"/>
      <w:numFmt w:val="bullet"/>
      <w:lvlText w:val="o"/>
      <w:lvlJc w:val="left"/>
      <w:pPr>
        <w:ind w:left="2258" w:hanging="360"/>
      </w:pPr>
      <w:rPr>
        <w:rFonts w:ascii="Courier New" w:hAnsi="Courier New" w:cs="Courier New" w:hint="default"/>
      </w:rPr>
    </w:lvl>
    <w:lvl w:ilvl="2" w:tplc="080A0005">
      <w:start w:val="1"/>
      <w:numFmt w:val="bullet"/>
      <w:lvlText w:val=""/>
      <w:lvlJc w:val="left"/>
      <w:pPr>
        <w:ind w:left="2978" w:hanging="360"/>
      </w:pPr>
      <w:rPr>
        <w:rFonts w:ascii="Wingdings" w:hAnsi="Wingdings" w:hint="default"/>
      </w:rPr>
    </w:lvl>
    <w:lvl w:ilvl="3" w:tplc="080A0001">
      <w:start w:val="1"/>
      <w:numFmt w:val="bullet"/>
      <w:lvlText w:val=""/>
      <w:lvlJc w:val="left"/>
      <w:pPr>
        <w:ind w:left="3698" w:hanging="360"/>
      </w:pPr>
      <w:rPr>
        <w:rFonts w:ascii="Symbol" w:hAnsi="Symbol" w:hint="default"/>
      </w:rPr>
    </w:lvl>
    <w:lvl w:ilvl="4" w:tplc="080A0003">
      <w:start w:val="1"/>
      <w:numFmt w:val="bullet"/>
      <w:lvlText w:val="o"/>
      <w:lvlJc w:val="left"/>
      <w:pPr>
        <w:ind w:left="4418" w:hanging="360"/>
      </w:pPr>
      <w:rPr>
        <w:rFonts w:ascii="Courier New" w:hAnsi="Courier New" w:cs="Courier New" w:hint="default"/>
      </w:rPr>
    </w:lvl>
    <w:lvl w:ilvl="5" w:tplc="080A0005">
      <w:start w:val="1"/>
      <w:numFmt w:val="bullet"/>
      <w:lvlText w:val=""/>
      <w:lvlJc w:val="left"/>
      <w:pPr>
        <w:ind w:left="5138" w:hanging="360"/>
      </w:pPr>
      <w:rPr>
        <w:rFonts w:ascii="Wingdings" w:hAnsi="Wingdings" w:hint="default"/>
      </w:rPr>
    </w:lvl>
    <w:lvl w:ilvl="6" w:tplc="080A0001">
      <w:start w:val="1"/>
      <w:numFmt w:val="bullet"/>
      <w:lvlText w:val=""/>
      <w:lvlJc w:val="left"/>
      <w:pPr>
        <w:ind w:left="5858" w:hanging="360"/>
      </w:pPr>
      <w:rPr>
        <w:rFonts w:ascii="Symbol" w:hAnsi="Symbol" w:hint="default"/>
      </w:rPr>
    </w:lvl>
    <w:lvl w:ilvl="7" w:tplc="080A0003">
      <w:start w:val="1"/>
      <w:numFmt w:val="bullet"/>
      <w:lvlText w:val="o"/>
      <w:lvlJc w:val="left"/>
      <w:pPr>
        <w:ind w:left="6578" w:hanging="360"/>
      </w:pPr>
      <w:rPr>
        <w:rFonts w:ascii="Courier New" w:hAnsi="Courier New" w:cs="Courier New" w:hint="default"/>
      </w:rPr>
    </w:lvl>
    <w:lvl w:ilvl="8" w:tplc="080A0005">
      <w:start w:val="1"/>
      <w:numFmt w:val="bullet"/>
      <w:lvlText w:val=""/>
      <w:lvlJc w:val="left"/>
      <w:pPr>
        <w:ind w:left="7298" w:hanging="360"/>
      </w:pPr>
      <w:rPr>
        <w:rFonts w:ascii="Wingdings" w:hAnsi="Wingdings" w:hint="default"/>
      </w:rPr>
    </w:lvl>
  </w:abstractNum>
  <w:abstractNum w:abstractNumId="68" w15:restartNumberingAfterBreak="0">
    <w:nsid w:val="444B3566"/>
    <w:multiLevelType w:val="hybridMultilevel"/>
    <w:tmpl w:val="7EFE7610"/>
    <w:lvl w:ilvl="0" w:tplc="1382AFE6">
      <w:start w:val="1"/>
      <w:numFmt w:val="bullet"/>
      <w:pStyle w:val="CODI-BLACK"/>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15:restartNumberingAfterBreak="0">
    <w:nsid w:val="44C91623"/>
    <w:multiLevelType w:val="hybridMultilevel"/>
    <w:tmpl w:val="A7BE9F62"/>
    <w:lvl w:ilvl="0" w:tplc="19C2A066">
      <w:start w:val="1"/>
      <w:numFmt w:val="upperRoman"/>
      <w:pStyle w:val="ENCA"/>
      <w:lvlText w:val="%1."/>
      <w:lvlJc w:val="left"/>
      <w:pPr>
        <w:ind w:left="720" w:hanging="360"/>
      </w:pPr>
      <w:rPr>
        <w:rFonts w:ascii="HelveticaNeueLT Std Blk" w:hAnsi="HelveticaNeueLT Std Blk" w:hint="default"/>
        <w:sz w:val="16"/>
        <w:szCs w:val="16"/>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0" w15:restartNumberingAfterBreak="0">
    <w:nsid w:val="45A62BA8"/>
    <w:multiLevelType w:val="hybridMultilevel"/>
    <w:tmpl w:val="31D8B592"/>
    <w:lvl w:ilvl="0" w:tplc="9C54B8AE">
      <w:start w:val="1"/>
      <w:numFmt w:val="bullet"/>
      <w:pStyle w:val="BodyText24"/>
      <w:lvlText w:val=""/>
      <w:lvlJc w:val="left"/>
      <w:pPr>
        <w:tabs>
          <w:tab w:val="num" w:pos="1062"/>
        </w:tabs>
        <w:ind w:left="1062" w:hanging="360"/>
      </w:pPr>
      <w:rPr>
        <w:rFonts w:ascii="Symbol" w:hAnsi="Symbol" w:hint="default"/>
        <w:color w:val="000000"/>
        <w:sz w:val="18"/>
      </w:rPr>
    </w:lvl>
    <w:lvl w:ilvl="1" w:tplc="04090003">
      <w:start w:val="1"/>
      <w:numFmt w:val="bullet"/>
      <w:lvlText w:val="o"/>
      <w:lvlJc w:val="left"/>
      <w:pPr>
        <w:tabs>
          <w:tab w:val="num" w:pos="1782"/>
        </w:tabs>
        <w:ind w:left="1782" w:hanging="360"/>
      </w:pPr>
      <w:rPr>
        <w:rFonts w:ascii="Courier New" w:hAnsi="Courier New" w:cs="Times New Roman" w:hint="default"/>
      </w:rPr>
    </w:lvl>
    <w:lvl w:ilvl="2" w:tplc="04090005">
      <w:start w:val="1"/>
      <w:numFmt w:val="bullet"/>
      <w:lvlText w:val=""/>
      <w:lvlJc w:val="left"/>
      <w:pPr>
        <w:tabs>
          <w:tab w:val="num" w:pos="2502"/>
        </w:tabs>
        <w:ind w:left="2502" w:hanging="360"/>
      </w:pPr>
      <w:rPr>
        <w:rFonts w:ascii="Wingdings" w:hAnsi="Wingdings" w:hint="default"/>
      </w:rPr>
    </w:lvl>
    <w:lvl w:ilvl="3" w:tplc="04090001">
      <w:start w:val="1"/>
      <w:numFmt w:val="bullet"/>
      <w:lvlText w:val=""/>
      <w:lvlJc w:val="left"/>
      <w:pPr>
        <w:tabs>
          <w:tab w:val="num" w:pos="3222"/>
        </w:tabs>
        <w:ind w:left="3222" w:hanging="360"/>
      </w:pPr>
      <w:rPr>
        <w:rFonts w:ascii="Symbol" w:hAnsi="Symbol" w:hint="default"/>
      </w:rPr>
    </w:lvl>
    <w:lvl w:ilvl="4" w:tplc="04090003">
      <w:start w:val="1"/>
      <w:numFmt w:val="bullet"/>
      <w:lvlText w:val="o"/>
      <w:lvlJc w:val="left"/>
      <w:pPr>
        <w:tabs>
          <w:tab w:val="num" w:pos="3942"/>
        </w:tabs>
        <w:ind w:left="3942" w:hanging="360"/>
      </w:pPr>
      <w:rPr>
        <w:rFonts w:ascii="Courier New" w:hAnsi="Courier New" w:cs="Times New Roman" w:hint="default"/>
      </w:rPr>
    </w:lvl>
    <w:lvl w:ilvl="5" w:tplc="04090005">
      <w:start w:val="1"/>
      <w:numFmt w:val="bullet"/>
      <w:lvlText w:val=""/>
      <w:lvlJc w:val="left"/>
      <w:pPr>
        <w:tabs>
          <w:tab w:val="num" w:pos="4662"/>
        </w:tabs>
        <w:ind w:left="4662" w:hanging="360"/>
      </w:pPr>
      <w:rPr>
        <w:rFonts w:ascii="Wingdings" w:hAnsi="Wingdings" w:hint="default"/>
      </w:rPr>
    </w:lvl>
    <w:lvl w:ilvl="6" w:tplc="04090001">
      <w:start w:val="1"/>
      <w:numFmt w:val="bullet"/>
      <w:lvlText w:val=""/>
      <w:lvlJc w:val="left"/>
      <w:pPr>
        <w:tabs>
          <w:tab w:val="num" w:pos="5382"/>
        </w:tabs>
        <w:ind w:left="5382" w:hanging="360"/>
      </w:pPr>
      <w:rPr>
        <w:rFonts w:ascii="Symbol" w:hAnsi="Symbol" w:hint="default"/>
      </w:rPr>
    </w:lvl>
    <w:lvl w:ilvl="7" w:tplc="04090003">
      <w:start w:val="1"/>
      <w:numFmt w:val="bullet"/>
      <w:lvlText w:val="o"/>
      <w:lvlJc w:val="left"/>
      <w:pPr>
        <w:tabs>
          <w:tab w:val="num" w:pos="6102"/>
        </w:tabs>
        <w:ind w:left="6102" w:hanging="360"/>
      </w:pPr>
      <w:rPr>
        <w:rFonts w:ascii="Courier New" w:hAnsi="Courier New" w:cs="Times New Roman" w:hint="default"/>
      </w:rPr>
    </w:lvl>
    <w:lvl w:ilvl="8" w:tplc="04090005">
      <w:start w:val="1"/>
      <w:numFmt w:val="bullet"/>
      <w:lvlText w:val=""/>
      <w:lvlJc w:val="left"/>
      <w:pPr>
        <w:tabs>
          <w:tab w:val="num" w:pos="6822"/>
        </w:tabs>
        <w:ind w:left="6822" w:hanging="360"/>
      </w:pPr>
      <w:rPr>
        <w:rFonts w:ascii="Wingdings" w:hAnsi="Wingdings" w:hint="default"/>
      </w:rPr>
    </w:lvl>
  </w:abstractNum>
  <w:abstractNum w:abstractNumId="71" w15:restartNumberingAfterBreak="0">
    <w:nsid w:val="45D655BC"/>
    <w:multiLevelType w:val="hybridMultilevel"/>
    <w:tmpl w:val="30743F90"/>
    <w:styleLink w:val="1111113"/>
    <w:lvl w:ilvl="0" w:tplc="C40ED126">
      <w:start w:val="1"/>
      <w:numFmt w:val="decimal"/>
      <w:lvlText w:val="%1."/>
      <w:lvlJc w:val="left"/>
      <w:pPr>
        <w:ind w:left="1353" w:hanging="360"/>
      </w:pPr>
    </w:lvl>
    <w:lvl w:ilvl="1" w:tplc="0C0A0019">
      <w:start w:val="1"/>
      <w:numFmt w:val="lowerLetter"/>
      <w:lvlText w:val="%2."/>
      <w:lvlJc w:val="left"/>
      <w:pPr>
        <w:ind w:left="2073" w:hanging="360"/>
      </w:pPr>
    </w:lvl>
    <w:lvl w:ilvl="2" w:tplc="0C0A001B">
      <w:start w:val="1"/>
      <w:numFmt w:val="lowerRoman"/>
      <w:lvlText w:val="%3."/>
      <w:lvlJc w:val="right"/>
      <w:pPr>
        <w:ind w:left="2793" w:hanging="180"/>
      </w:pPr>
    </w:lvl>
    <w:lvl w:ilvl="3" w:tplc="0C0A000F">
      <w:start w:val="1"/>
      <w:numFmt w:val="decimal"/>
      <w:lvlText w:val="%4."/>
      <w:lvlJc w:val="left"/>
      <w:pPr>
        <w:ind w:left="3513" w:hanging="360"/>
      </w:pPr>
    </w:lvl>
    <w:lvl w:ilvl="4" w:tplc="0C0A0019">
      <w:start w:val="1"/>
      <w:numFmt w:val="lowerLetter"/>
      <w:lvlText w:val="%5."/>
      <w:lvlJc w:val="left"/>
      <w:pPr>
        <w:ind w:left="4233" w:hanging="360"/>
      </w:pPr>
    </w:lvl>
    <w:lvl w:ilvl="5" w:tplc="0C0A001B">
      <w:start w:val="1"/>
      <w:numFmt w:val="lowerRoman"/>
      <w:lvlText w:val="%6."/>
      <w:lvlJc w:val="right"/>
      <w:pPr>
        <w:ind w:left="4953" w:hanging="180"/>
      </w:pPr>
    </w:lvl>
    <w:lvl w:ilvl="6" w:tplc="0C0A000F">
      <w:start w:val="1"/>
      <w:numFmt w:val="decimal"/>
      <w:lvlText w:val="%7."/>
      <w:lvlJc w:val="left"/>
      <w:pPr>
        <w:ind w:left="5673" w:hanging="360"/>
      </w:pPr>
    </w:lvl>
    <w:lvl w:ilvl="7" w:tplc="0C0A0019">
      <w:start w:val="1"/>
      <w:numFmt w:val="lowerLetter"/>
      <w:lvlText w:val="%8."/>
      <w:lvlJc w:val="left"/>
      <w:pPr>
        <w:ind w:left="6393" w:hanging="360"/>
      </w:pPr>
    </w:lvl>
    <w:lvl w:ilvl="8" w:tplc="0C0A001B">
      <w:start w:val="1"/>
      <w:numFmt w:val="lowerRoman"/>
      <w:lvlText w:val="%9."/>
      <w:lvlJc w:val="right"/>
      <w:pPr>
        <w:ind w:left="7113" w:hanging="180"/>
      </w:pPr>
    </w:lvl>
  </w:abstractNum>
  <w:abstractNum w:abstractNumId="72" w15:restartNumberingAfterBreak="0">
    <w:nsid w:val="46126CC2"/>
    <w:multiLevelType w:val="hybridMultilevel"/>
    <w:tmpl w:val="EDCC56CA"/>
    <w:lvl w:ilvl="0" w:tplc="D5C8E5CE">
      <w:start w:val="1"/>
      <w:numFmt w:val="bullet"/>
      <w:pStyle w:val="INDI-BLAN"/>
      <w:lvlText w:val="•"/>
      <w:lvlJc w:val="left"/>
      <w:pPr>
        <w:ind w:left="927" w:hanging="360"/>
      </w:pPr>
    </w:lvl>
    <w:lvl w:ilvl="1" w:tplc="080A0003">
      <w:start w:val="1"/>
      <w:numFmt w:val="bullet"/>
      <w:lvlText w:val="o"/>
      <w:lvlJc w:val="left"/>
      <w:pPr>
        <w:ind w:left="1647" w:hanging="360"/>
      </w:pPr>
      <w:rPr>
        <w:rFonts w:ascii="Courier New" w:hAnsi="Courier New" w:cs="Courier New" w:hint="default"/>
      </w:rPr>
    </w:lvl>
    <w:lvl w:ilvl="2" w:tplc="080A0005">
      <w:start w:val="1"/>
      <w:numFmt w:val="bullet"/>
      <w:lvlText w:val=""/>
      <w:lvlJc w:val="left"/>
      <w:pPr>
        <w:ind w:left="2367" w:hanging="360"/>
      </w:pPr>
      <w:rPr>
        <w:rFonts w:ascii="Wingdings" w:hAnsi="Wingdings" w:hint="default"/>
      </w:rPr>
    </w:lvl>
    <w:lvl w:ilvl="3" w:tplc="080A0001">
      <w:start w:val="1"/>
      <w:numFmt w:val="bullet"/>
      <w:lvlText w:val=""/>
      <w:lvlJc w:val="left"/>
      <w:pPr>
        <w:ind w:left="3087" w:hanging="360"/>
      </w:pPr>
      <w:rPr>
        <w:rFonts w:ascii="Symbol" w:hAnsi="Symbol" w:hint="default"/>
      </w:rPr>
    </w:lvl>
    <w:lvl w:ilvl="4" w:tplc="080A0003">
      <w:start w:val="1"/>
      <w:numFmt w:val="bullet"/>
      <w:lvlText w:val="o"/>
      <w:lvlJc w:val="left"/>
      <w:pPr>
        <w:ind w:left="3807" w:hanging="360"/>
      </w:pPr>
      <w:rPr>
        <w:rFonts w:ascii="Courier New" w:hAnsi="Courier New" w:cs="Courier New" w:hint="default"/>
      </w:rPr>
    </w:lvl>
    <w:lvl w:ilvl="5" w:tplc="080A0005">
      <w:start w:val="1"/>
      <w:numFmt w:val="bullet"/>
      <w:lvlText w:val=""/>
      <w:lvlJc w:val="left"/>
      <w:pPr>
        <w:ind w:left="4527" w:hanging="360"/>
      </w:pPr>
      <w:rPr>
        <w:rFonts w:ascii="Wingdings" w:hAnsi="Wingdings" w:hint="default"/>
      </w:rPr>
    </w:lvl>
    <w:lvl w:ilvl="6" w:tplc="080A0001">
      <w:start w:val="1"/>
      <w:numFmt w:val="bullet"/>
      <w:lvlText w:val=""/>
      <w:lvlJc w:val="left"/>
      <w:pPr>
        <w:ind w:left="5247" w:hanging="360"/>
      </w:pPr>
      <w:rPr>
        <w:rFonts w:ascii="Symbol" w:hAnsi="Symbol" w:hint="default"/>
      </w:rPr>
    </w:lvl>
    <w:lvl w:ilvl="7" w:tplc="080A0003">
      <w:start w:val="1"/>
      <w:numFmt w:val="bullet"/>
      <w:lvlText w:val="o"/>
      <w:lvlJc w:val="left"/>
      <w:pPr>
        <w:ind w:left="5967" w:hanging="360"/>
      </w:pPr>
      <w:rPr>
        <w:rFonts w:ascii="Courier New" w:hAnsi="Courier New" w:cs="Courier New" w:hint="default"/>
      </w:rPr>
    </w:lvl>
    <w:lvl w:ilvl="8" w:tplc="080A0005">
      <w:start w:val="1"/>
      <w:numFmt w:val="bullet"/>
      <w:lvlText w:val=""/>
      <w:lvlJc w:val="left"/>
      <w:pPr>
        <w:ind w:left="6687" w:hanging="360"/>
      </w:pPr>
      <w:rPr>
        <w:rFonts w:ascii="Wingdings" w:hAnsi="Wingdings" w:hint="default"/>
      </w:rPr>
    </w:lvl>
  </w:abstractNum>
  <w:abstractNum w:abstractNumId="73" w15:restartNumberingAfterBreak="0">
    <w:nsid w:val="465310D8"/>
    <w:multiLevelType w:val="hybridMultilevel"/>
    <w:tmpl w:val="B11AC522"/>
    <w:lvl w:ilvl="0" w:tplc="53649FA8">
      <w:start w:val="1"/>
      <w:numFmt w:val="upperRoman"/>
      <w:lvlText w:val="%1."/>
      <w:lvlJc w:val="left"/>
      <w:pPr>
        <w:ind w:left="687" w:hanging="720"/>
      </w:pPr>
      <w:rPr>
        <w:rFonts w:hint="default"/>
        <w:b/>
        <w:strike w:val="0"/>
      </w:rPr>
    </w:lvl>
    <w:lvl w:ilvl="1" w:tplc="080A0019" w:tentative="1">
      <w:start w:val="1"/>
      <w:numFmt w:val="lowerLetter"/>
      <w:lvlText w:val="%2."/>
      <w:lvlJc w:val="left"/>
      <w:pPr>
        <w:ind w:left="1047" w:hanging="360"/>
      </w:pPr>
    </w:lvl>
    <w:lvl w:ilvl="2" w:tplc="080A001B" w:tentative="1">
      <w:start w:val="1"/>
      <w:numFmt w:val="lowerRoman"/>
      <w:lvlText w:val="%3."/>
      <w:lvlJc w:val="right"/>
      <w:pPr>
        <w:ind w:left="1767" w:hanging="180"/>
      </w:pPr>
    </w:lvl>
    <w:lvl w:ilvl="3" w:tplc="080A000F" w:tentative="1">
      <w:start w:val="1"/>
      <w:numFmt w:val="decimal"/>
      <w:lvlText w:val="%4."/>
      <w:lvlJc w:val="left"/>
      <w:pPr>
        <w:ind w:left="2487" w:hanging="360"/>
      </w:pPr>
    </w:lvl>
    <w:lvl w:ilvl="4" w:tplc="080A0019" w:tentative="1">
      <w:start w:val="1"/>
      <w:numFmt w:val="lowerLetter"/>
      <w:lvlText w:val="%5."/>
      <w:lvlJc w:val="left"/>
      <w:pPr>
        <w:ind w:left="3207" w:hanging="360"/>
      </w:pPr>
    </w:lvl>
    <w:lvl w:ilvl="5" w:tplc="080A001B" w:tentative="1">
      <w:start w:val="1"/>
      <w:numFmt w:val="lowerRoman"/>
      <w:lvlText w:val="%6."/>
      <w:lvlJc w:val="right"/>
      <w:pPr>
        <w:ind w:left="3927" w:hanging="180"/>
      </w:pPr>
    </w:lvl>
    <w:lvl w:ilvl="6" w:tplc="080A000F" w:tentative="1">
      <w:start w:val="1"/>
      <w:numFmt w:val="decimal"/>
      <w:lvlText w:val="%7."/>
      <w:lvlJc w:val="left"/>
      <w:pPr>
        <w:ind w:left="4647" w:hanging="360"/>
      </w:pPr>
    </w:lvl>
    <w:lvl w:ilvl="7" w:tplc="080A0019" w:tentative="1">
      <w:start w:val="1"/>
      <w:numFmt w:val="lowerLetter"/>
      <w:lvlText w:val="%8."/>
      <w:lvlJc w:val="left"/>
      <w:pPr>
        <w:ind w:left="5367" w:hanging="360"/>
      </w:pPr>
    </w:lvl>
    <w:lvl w:ilvl="8" w:tplc="080A001B" w:tentative="1">
      <w:start w:val="1"/>
      <w:numFmt w:val="lowerRoman"/>
      <w:lvlText w:val="%9."/>
      <w:lvlJc w:val="right"/>
      <w:pPr>
        <w:ind w:left="6087" w:hanging="180"/>
      </w:pPr>
    </w:lvl>
  </w:abstractNum>
  <w:abstractNum w:abstractNumId="74" w15:restartNumberingAfterBreak="0">
    <w:nsid w:val="48790CAB"/>
    <w:multiLevelType w:val="hybridMultilevel"/>
    <w:tmpl w:val="6EE26A84"/>
    <w:lvl w:ilvl="0" w:tplc="A8DCA29A">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48F81D2A"/>
    <w:multiLevelType w:val="multilevel"/>
    <w:tmpl w:val="0ED8BD2C"/>
    <w:styleLink w:val="List7"/>
    <w:lvl w:ilvl="0">
      <w:numFmt w:val="bullet"/>
      <w:lvlText w:val="-"/>
      <w:lvlJc w:val="left"/>
      <w:pPr>
        <w:ind w:left="0" w:firstLine="0"/>
      </w:pPr>
      <w:rPr>
        <w:rFonts w:ascii="Trebuchet MS" w:eastAsia="Trebuchet MS" w:hAnsi="Trebuchet MS" w:cs="Trebuchet MS"/>
        <w:i/>
        <w:iCs/>
        <w:position w:val="0"/>
      </w:rPr>
    </w:lvl>
    <w:lvl w:ilvl="1">
      <w:start w:val="1"/>
      <w:numFmt w:val="bullet"/>
      <w:lvlText w:val="o"/>
      <w:lvlJc w:val="left"/>
      <w:pPr>
        <w:ind w:left="0" w:firstLine="0"/>
      </w:pPr>
      <w:rPr>
        <w:rFonts w:ascii="Calibri" w:eastAsia="Calibri" w:hAnsi="Calibri" w:cs="Calibri"/>
        <w:i/>
        <w:iCs/>
        <w:position w:val="0"/>
      </w:rPr>
    </w:lvl>
    <w:lvl w:ilvl="2">
      <w:start w:val="1"/>
      <w:numFmt w:val="bullet"/>
      <w:lvlText w:val="▪"/>
      <w:lvlJc w:val="left"/>
      <w:pPr>
        <w:ind w:left="0" w:firstLine="0"/>
      </w:pPr>
      <w:rPr>
        <w:rFonts w:ascii="Calibri" w:eastAsia="Calibri" w:hAnsi="Calibri" w:cs="Calibri"/>
        <w:i/>
        <w:iCs/>
        <w:position w:val="0"/>
      </w:rPr>
    </w:lvl>
    <w:lvl w:ilvl="3">
      <w:start w:val="1"/>
      <w:numFmt w:val="bullet"/>
      <w:lvlText w:val="•"/>
      <w:lvlJc w:val="left"/>
      <w:pPr>
        <w:ind w:left="0" w:firstLine="0"/>
      </w:pPr>
      <w:rPr>
        <w:rFonts w:ascii="Calibri" w:eastAsia="Calibri" w:hAnsi="Calibri" w:cs="Calibri"/>
        <w:i/>
        <w:iCs/>
        <w:position w:val="0"/>
      </w:rPr>
    </w:lvl>
    <w:lvl w:ilvl="4">
      <w:start w:val="1"/>
      <w:numFmt w:val="bullet"/>
      <w:lvlText w:val="o"/>
      <w:lvlJc w:val="left"/>
      <w:pPr>
        <w:ind w:left="0" w:firstLine="0"/>
      </w:pPr>
      <w:rPr>
        <w:rFonts w:ascii="Calibri" w:eastAsia="Calibri" w:hAnsi="Calibri" w:cs="Calibri"/>
        <w:i/>
        <w:iCs/>
        <w:position w:val="0"/>
      </w:rPr>
    </w:lvl>
    <w:lvl w:ilvl="5">
      <w:start w:val="1"/>
      <w:numFmt w:val="bullet"/>
      <w:lvlText w:val="▪"/>
      <w:lvlJc w:val="left"/>
      <w:pPr>
        <w:ind w:left="0" w:firstLine="0"/>
      </w:pPr>
      <w:rPr>
        <w:rFonts w:ascii="Calibri" w:eastAsia="Calibri" w:hAnsi="Calibri" w:cs="Calibri"/>
        <w:i/>
        <w:iCs/>
        <w:position w:val="0"/>
      </w:rPr>
    </w:lvl>
    <w:lvl w:ilvl="6">
      <w:start w:val="1"/>
      <w:numFmt w:val="bullet"/>
      <w:lvlText w:val="•"/>
      <w:lvlJc w:val="left"/>
      <w:pPr>
        <w:ind w:left="0" w:firstLine="0"/>
      </w:pPr>
      <w:rPr>
        <w:rFonts w:ascii="Calibri" w:eastAsia="Calibri" w:hAnsi="Calibri" w:cs="Calibri"/>
        <w:i/>
        <w:iCs/>
        <w:position w:val="0"/>
      </w:rPr>
    </w:lvl>
    <w:lvl w:ilvl="7">
      <w:start w:val="1"/>
      <w:numFmt w:val="bullet"/>
      <w:lvlText w:val="o"/>
      <w:lvlJc w:val="left"/>
      <w:pPr>
        <w:ind w:left="0" w:firstLine="0"/>
      </w:pPr>
      <w:rPr>
        <w:rFonts w:ascii="Calibri" w:eastAsia="Calibri" w:hAnsi="Calibri" w:cs="Calibri"/>
        <w:i/>
        <w:iCs/>
        <w:position w:val="0"/>
      </w:rPr>
    </w:lvl>
    <w:lvl w:ilvl="8">
      <w:start w:val="1"/>
      <w:numFmt w:val="bullet"/>
      <w:lvlText w:val="▪"/>
      <w:lvlJc w:val="left"/>
      <w:pPr>
        <w:ind w:left="0" w:firstLine="0"/>
      </w:pPr>
      <w:rPr>
        <w:rFonts w:ascii="Calibri" w:eastAsia="Calibri" w:hAnsi="Calibri" w:cs="Calibri"/>
        <w:i/>
        <w:iCs/>
        <w:position w:val="0"/>
      </w:rPr>
    </w:lvl>
  </w:abstractNum>
  <w:abstractNum w:abstractNumId="76" w15:restartNumberingAfterBreak="0">
    <w:nsid w:val="4B7C2358"/>
    <w:multiLevelType w:val="multilevel"/>
    <w:tmpl w:val="5BB49138"/>
    <w:styleLink w:val="Dash"/>
    <w:lvl w:ilvl="0">
      <w:numFmt w:val="bullet"/>
      <w:lvlText w:val="-"/>
      <w:lvlJc w:val="left"/>
      <w:pPr>
        <w:tabs>
          <w:tab w:val="num" w:pos="240"/>
        </w:tabs>
        <w:ind w:left="240" w:hanging="240"/>
      </w:pPr>
      <w:rPr>
        <w:rFonts w:ascii="Arial Bold" w:eastAsia="Arial Bold" w:hAnsi="Arial Bold" w:cs="Arial Bold"/>
        <w:position w:val="4"/>
      </w:rPr>
    </w:lvl>
    <w:lvl w:ilvl="1">
      <w:start w:val="1"/>
      <w:numFmt w:val="bullet"/>
      <w:lvlText w:val="-"/>
      <w:lvlJc w:val="left"/>
      <w:pPr>
        <w:tabs>
          <w:tab w:val="num" w:pos="480"/>
        </w:tabs>
        <w:ind w:left="480" w:hanging="240"/>
      </w:pPr>
      <w:rPr>
        <w:rFonts w:ascii="Arial Bold" w:eastAsia="Arial Bold" w:hAnsi="Arial Bold" w:cs="Arial Bold"/>
        <w:position w:val="4"/>
      </w:rPr>
    </w:lvl>
    <w:lvl w:ilvl="2">
      <w:start w:val="1"/>
      <w:numFmt w:val="bullet"/>
      <w:lvlText w:val="-"/>
      <w:lvlJc w:val="left"/>
      <w:pPr>
        <w:tabs>
          <w:tab w:val="num" w:pos="720"/>
        </w:tabs>
        <w:ind w:left="720" w:hanging="240"/>
      </w:pPr>
      <w:rPr>
        <w:rFonts w:ascii="Arial Bold" w:eastAsia="Arial Bold" w:hAnsi="Arial Bold" w:cs="Arial Bold"/>
        <w:position w:val="4"/>
      </w:rPr>
    </w:lvl>
    <w:lvl w:ilvl="3">
      <w:start w:val="1"/>
      <w:numFmt w:val="bullet"/>
      <w:lvlText w:val="-"/>
      <w:lvlJc w:val="left"/>
      <w:pPr>
        <w:tabs>
          <w:tab w:val="num" w:pos="960"/>
        </w:tabs>
        <w:ind w:left="960" w:hanging="240"/>
      </w:pPr>
      <w:rPr>
        <w:rFonts w:ascii="Arial Bold" w:eastAsia="Arial Bold" w:hAnsi="Arial Bold" w:cs="Arial Bold"/>
        <w:position w:val="4"/>
      </w:rPr>
    </w:lvl>
    <w:lvl w:ilvl="4">
      <w:start w:val="1"/>
      <w:numFmt w:val="bullet"/>
      <w:lvlText w:val="-"/>
      <w:lvlJc w:val="left"/>
      <w:pPr>
        <w:tabs>
          <w:tab w:val="num" w:pos="1200"/>
        </w:tabs>
        <w:ind w:left="1200" w:hanging="240"/>
      </w:pPr>
      <w:rPr>
        <w:rFonts w:ascii="Arial Bold" w:eastAsia="Arial Bold" w:hAnsi="Arial Bold" w:cs="Arial Bold"/>
        <w:position w:val="4"/>
      </w:rPr>
    </w:lvl>
    <w:lvl w:ilvl="5">
      <w:start w:val="1"/>
      <w:numFmt w:val="bullet"/>
      <w:lvlText w:val="-"/>
      <w:lvlJc w:val="left"/>
      <w:pPr>
        <w:tabs>
          <w:tab w:val="num" w:pos="1440"/>
        </w:tabs>
        <w:ind w:left="1440" w:hanging="240"/>
      </w:pPr>
      <w:rPr>
        <w:rFonts w:ascii="Arial Bold" w:eastAsia="Arial Bold" w:hAnsi="Arial Bold" w:cs="Arial Bold"/>
        <w:position w:val="4"/>
      </w:rPr>
    </w:lvl>
    <w:lvl w:ilvl="6">
      <w:start w:val="1"/>
      <w:numFmt w:val="bullet"/>
      <w:lvlText w:val="-"/>
      <w:lvlJc w:val="left"/>
      <w:pPr>
        <w:tabs>
          <w:tab w:val="num" w:pos="1680"/>
        </w:tabs>
        <w:ind w:left="1680" w:hanging="240"/>
      </w:pPr>
      <w:rPr>
        <w:rFonts w:ascii="Arial Bold" w:eastAsia="Arial Bold" w:hAnsi="Arial Bold" w:cs="Arial Bold"/>
        <w:position w:val="4"/>
      </w:rPr>
    </w:lvl>
    <w:lvl w:ilvl="7">
      <w:start w:val="1"/>
      <w:numFmt w:val="bullet"/>
      <w:lvlText w:val="-"/>
      <w:lvlJc w:val="left"/>
      <w:pPr>
        <w:tabs>
          <w:tab w:val="num" w:pos="1920"/>
        </w:tabs>
        <w:ind w:left="1920" w:hanging="240"/>
      </w:pPr>
      <w:rPr>
        <w:rFonts w:ascii="Arial Bold" w:eastAsia="Arial Bold" w:hAnsi="Arial Bold" w:cs="Arial Bold"/>
        <w:position w:val="4"/>
      </w:rPr>
    </w:lvl>
    <w:lvl w:ilvl="8">
      <w:start w:val="1"/>
      <w:numFmt w:val="bullet"/>
      <w:lvlText w:val="-"/>
      <w:lvlJc w:val="left"/>
      <w:pPr>
        <w:tabs>
          <w:tab w:val="num" w:pos="2160"/>
        </w:tabs>
        <w:ind w:left="2160" w:hanging="240"/>
      </w:pPr>
      <w:rPr>
        <w:rFonts w:ascii="Arial Bold" w:eastAsia="Arial Bold" w:hAnsi="Arial Bold" w:cs="Arial Bold"/>
        <w:position w:val="4"/>
      </w:rPr>
    </w:lvl>
  </w:abstractNum>
  <w:abstractNum w:abstractNumId="77" w15:restartNumberingAfterBreak="0">
    <w:nsid w:val="4DA902BA"/>
    <w:multiLevelType w:val="hybridMultilevel"/>
    <w:tmpl w:val="C686B518"/>
    <w:lvl w:ilvl="0" w:tplc="E4E6E458">
      <w:start w:val="1"/>
      <w:numFmt w:val="upperRoman"/>
      <w:pStyle w:val="ENCA-NO"/>
      <w:lvlText w:val="%1."/>
      <w:lvlJc w:val="left"/>
      <w:pPr>
        <w:ind w:left="5889" w:hanging="360"/>
      </w:pPr>
      <w:rPr>
        <w:rFonts w:ascii="HelveticaNeueLT Std Med" w:hAnsi="HelveticaNeueLT Std Med"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8" w15:restartNumberingAfterBreak="0">
    <w:nsid w:val="4E7A51A8"/>
    <w:multiLevelType w:val="hybridMultilevel"/>
    <w:tmpl w:val="C4BC1062"/>
    <w:lvl w:ilvl="0" w:tplc="E826A5D2">
      <w:start w:val="1"/>
      <w:numFmt w:val="upperRoman"/>
      <w:suff w:val="space"/>
      <w:lvlText w:val="%1."/>
      <w:lvlJc w:val="left"/>
      <w:pPr>
        <w:ind w:left="114" w:hanging="179"/>
      </w:pPr>
      <w:rPr>
        <w:rFonts w:ascii="Gotham Book" w:hAnsi="Gotham Book" w:cs="Arial" w:hint="default"/>
        <w:b/>
        <w:bCs/>
        <w:spacing w:val="0"/>
        <w:w w:val="100"/>
        <w:position w:val="0"/>
        <w:sz w:val="20"/>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4EF84822"/>
    <w:multiLevelType w:val="hybridMultilevel"/>
    <w:tmpl w:val="95D21922"/>
    <w:lvl w:ilvl="0" w:tplc="FFFFFFFF">
      <w:start w:val="1"/>
      <w:numFmt w:val="decimal"/>
      <w:lvlText w:val="%1."/>
      <w:lvlJc w:val="left"/>
      <w:pPr>
        <w:ind w:left="1181" w:hanging="360"/>
      </w:pPr>
      <w:rPr>
        <w:b/>
        <w:bCs/>
      </w:rPr>
    </w:lvl>
    <w:lvl w:ilvl="1" w:tplc="FFFFFFFF" w:tentative="1">
      <w:start w:val="1"/>
      <w:numFmt w:val="lowerLetter"/>
      <w:lvlText w:val="%2."/>
      <w:lvlJc w:val="left"/>
      <w:pPr>
        <w:ind w:left="1901" w:hanging="360"/>
      </w:pPr>
    </w:lvl>
    <w:lvl w:ilvl="2" w:tplc="FFFFFFFF" w:tentative="1">
      <w:start w:val="1"/>
      <w:numFmt w:val="lowerRoman"/>
      <w:lvlText w:val="%3."/>
      <w:lvlJc w:val="right"/>
      <w:pPr>
        <w:ind w:left="2621" w:hanging="180"/>
      </w:pPr>
    </w:lvl>
    <w:lvl w:ilvl="3" w:tplc="FFFFFFFF" w:tentative="1">
      <w:start w:val="1"/>
      <w:numFmt w:val="decimal"/>
      <w:lvlText w:val="%4."/>
      <w:lvlJc w:val="left"/>
      <w:pPr>
        <w:ind w:left="3341" w:hanging="360"/>
      </w:pPr>
    </w:lvl>
    <w:lvl w:ilvl="4" w:tplc="FFFFFFFF" w:tentative="1">
      <w:start w:val="1"/>
      <w:numFmt w:val="lowerLetter"/>
      <w:lvlText w:val="%5."/>
      <w:lvlJc w:val="left"/>
      <w:pPr>
        <w:ind w:left="4061" w:hanging="360"/>
      </w:pPr>
    </w:lvl>
    <w:lvl w:ilvl="5" w:tplc="FFFFFFFF" w:tentative="1">
      <w:start w:val="1"/>
      <w:numFmt w:val="lowerRoman"/>
      <w:lvlText w:val="%6."/>
      <w:lvlJc w:val="right"/>
      <w:pPr>
        <w:ind w:left="4781" w:hanging="180"/>
      </w:pPr>
    </w:lvl>
    <w:lvl w:ilvl="6" w:tplc="FFFFFFFF" w:tentative="1">
      <w:start w:val="1"/>
      <w:numFmt w:val="decimal"/>
      <w:lvlText w:val="%7."/>
      <w:lvlJc w:val="left"/>
      <w:pPr>
        <w:ind w:left="5501" w:hanging="360"/>
      </w:pPr>
    </w:lvl>
    <w:lvl w:ilvl="7" w:tplc="FFFFFFFF" w:tentative="1">
      <w:start w:val="1"/>
      <w:numFmt w:val="lowerLetter"/>
      <w:lvlText w:val="%8."/>
      <w:lvlJc w:val="left"/>
      <w:pPr>
        <w:ind w:left="6221" w:hanging="360"/>
      </w:pPr>
    </w:lvl>
    <w:lvl w:ilvl="8" w:tplc="FFFFFFFF" w:tentative="1">
      <w:start w:val="1"/>
      <w:numFmt w:val="lowerRoman"/>
      <w:lvlText w:val="%9."/>
      <w:lvlJc w:val="right"/>
      <w:pPr>
        <w:ind w:left="6941" w:hanging="180"/>
      </w:pPr>
    </w:lvl>
  </w:abstractNum>
  <w:abstractNum w:abstractNumId="80" w15:restartNumberingAfterBreak="0">
    <w:nsid w:val="5048319B"/>
    <w:multiLevelType w:val="hybridMultilevel"/>
    <w:tmpl w:val="52C48B6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0631E84"/>
    <w:multiLevelType w:val="multilevel"/>
    <w:tmpl w:val="C57CE17C"/>
    <w:styleLink w:val="WW8Num3"/>
    <w:lvl w:ilvl="0">
      <w:numFmt w:val="bullet"/>
      <w:lvlText w:val=""/>
      <w:lvlJc w:val="left"/>
      <w:pPr>
        <w:ind w:left="720" w:hanging="360"/>
      </w:pPr>
      <w:rPr>
        <w:rFonts w:ascii="Symbol" w:hAnsi="Symbol" w:cs="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2" w15:restartNumberingAfterBreak="0">
    <w:nsid w:val="50825C18"/>
    <w:multiLevelType w:val="hybridMultilevel"/>
    <w:tmpl w:val="EC0E747C"/>
    <w:lvl w:ilvl="0" w:tplc="3EF6BE24">
      <w:start w:val="1"/>
      <w:numFmt w:val="upperRoman"/>
      <w:lvlText w:val="%1."/>
      <w:lvlJc w:val="right"/>
      <w:pPr>
        <w:ind w:left="958" w:hanging="360"/>
      </w:pPr>
      <w:rPr>
        <w:b/>
        <w:bCs/>
      </w:rPr>
    </w:lvl>
    <w:lvl w:ilvl="1" w:tplc="FFFFFFFF">
      <w:start w:val="1"/>
      <w:numFmt w:val="lowerLetter"/>
      <w:lvlText w:val="%2."/>
      <w:lvlJc w:val="lef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83" w15:restartNumberingAfterBreak="0">
    <w:nsid w:val="50C9031D"/>
    <w:multiLevelType w:val="hybridMultilevel"/>
    <w:tmpl w:val="181A1D5E"/>
    <w:lvl w:ilvl="0" w:tplc="54F01326">
      <w:start w:val="1"/>
      <w:numFmt w:val="bullet"/>
      <w:pStyle w:val="INDICE1"/>
      <w:lvlText w:val="●"/>
      <w:lvlJc w:val="left"/>
      <w:pPr>
        <w:tabs>
          <w:tab w:val="num" w:pos="-540"/>
        </w:tabs>
        <w:ind w:left="-540" w:hanging="436"/>
      </w:pPr>
      <w:rPr>
        <w:rFonts w:ascii="Sylfaen" w:hAnsi="Sylfaen" w:hint="default"/>
        <w:color w:val="auto"/>
        <w:sz w:val="18"/>
        <w:szCs w:val="18"/>
      </w:rPr>
    </w:lvl>
    <w:lvl w:ilvl="1" w:tplc="040A0003">
      <w:start w:val="1"/>
      <w:numFmt w:val="bullet"/>
      <w:lvlText w:val="o"/>
      <w:lvlJc w:val="left"/>
      <w:pPr>
        <w:tabs>
          <w:tab w:val="num" w:pos="351"/>
        </w:tabs>
        <w:ind w:left="351" w:hanging="360"/>
      </w:pPr>
      <w:rPr>
        <w:rFonts w:ascii="Courier New" w:hAnsi="Courier New" w:cs="Courier New" w:hint="default"/>
      </w:rPr>
    </w:lvl>
    <w:lvl w:ilvl="2" w:tplc="040A0005">
      <w:start w:val="1"/>
      <w:numFmt w:val="bullet"/>
      <w:lvlText w:val=""/>
      <w:lvlJc w:val="left"/>
      <w:pPr>
        <w:tabs>
          <w:tab w:val="num" w:pos="1071"/>
        </w:tabs>
        <w:ind w:left="1071" w:hanging="360"/>
      </w:pPr>
      <w:rPr>
        <w:rFonts w:ascii="Wingdings" w:hAnsi="Wingdings" w:hint="default"/>
      </w:rPr>
    </w:lvl>
    <w:lvl w:ilvl="3" w:tplc="040A0001">
      <w:start w:val="1"/>
      <w:numFmt w:val="bullet"/>
      <w:lvlText w:val=""/>
      <w:lvlJc w:val="left"/>
      <w:pPr>
        <w:tabs>
          <w:tab w:val="num" w:pos="1791"/>
        </w:tabs>
        <w:ind w:left="1791" w:hanging="360"/>
      </w:pPr>
      <w:rPr>
        <w:rFonts w:ascii="Symbol" w:hAnsi="Symbol" w:hint="default"/>
      </w:rPr>
    </w:lvl>
    <w:lvl w:ilvl="4" w:tplc="040A0003">
      <w:start w:val="1"/>
      <w:numFmt w:val="bullet"/>
      <w:lvlText w:val="o"/>
      <w:lvlJc w:val="left"/>
      <w:pPr>
        <w:tabs>
          <w:tab w:val="num" w:pos="2511"/>
        </w:tabs>
        <w:ind w:left="2511" w:hanging="360"/>
      </w:pPr>
      <w:rPr>
        <w:rFonts w:ascii="Courier New" w:hAnsi="Courier New" w:cs="Courier New" w:hint="default"/>
      </w:rPr>
    </w:lvl>
    <w:lvl w:ilvl="5" w:tplc="040A0005">
      <w:start w:val="1"/>
      <w:numFmt w:val="bullet"/>
      <w:lvlText w:val=""/>
      <w:lvlJc w:val="left"/>
      <w:pPr>
        <w:tabs>
          <w:tab w:val="num" w:pos="3231"/>
        </w:tabs>
        <w:ind w:left="3231" w:hanging="360"/>
      </w:pPr>
      <w:rPr>
        <w:rFonts w:ascii="Wingdings" w:hAnsi="Wingdings" w:hint="default"/>
      </w:rPr>
    </w:lvl>
    <w:lvl w:ilvl="6" w:tplc="040A0001">
      <w:start w:val="1"/>
      <w:numFmt w:val="bullet"/>
      <w:lvlText w:val=""/>
      <w:lvlJc w:val="left"/>
      <w:pPr>
        <w:tabs>
          <w:tab w:val="num" w:pos="3951"/>
        </w:tabs>
        <w:ind w:left="3951" w:hanging="360"/>
      </w:pPr>
      <w:rPr>
        <w:rFonts w:ascii="Symbol" w:hAnsi="Symbol" w:hint="default"/>
      </w:rPr>
    </w:lvl>
    <w:lvl w:ilvl="7" w:tplc="040A0003">
      <w:start w:val="1"/>
      <w:numFmt w:val="bullet"/>
      <w:lvlText w:val="o"/>
      <w:lvlJc w:val="left"/>
      <w:pPr>
        <w:tabs>
          <w:tab w:val="num" w:pos="4671"/>
        </w:tabs>
        <w:ind w:left="4671" w:hanging="360"/>
      </w:pPr>
      <w:rPr>
        <w:rFonts w:ascii="Courier New" w:hAnsi="Courier New" w:cs="Courier New" w:hint="default"/>
      </w:rPr>
    </w:lvl>
    <w:lvl w:ilvl="8" w:tplc="040A0005">
      <w:start w:val="1"/>
      <w:numFmt w:val="bullet"/>
      <w:lvlText w:val=""/>
      <w:lvlJc w:val="left"/>
      <w:pPr>
        <w:tabs>
          <w:tab w:val="num" w:pos="5391"/>
        </w:tabs>
        <w:ind w:left="5391" w:hanging="360"/>
      </w:pPr>
      <w:rPr>
        <w:rFonts w:ascii="Wingdings" w:hAnsi="Wingdings" w:hint="default"/>
      </w:rPr>
    </w:lvl>
  </w:abstractNum>
  <w:abstractNum w:abstractNumId="84" w15:restartNumberingAfterBreak="0">
    <w:nsid w:val="51660C5A"/>
    <w:multiLevelType w:val="multilevel"/>
    <w:tmpl w:val="2550F4CC"/>
    <w:styleLink w:val="List11"/>
    <w:lvl w:ilvl="0">
      <w:numFmt w:val="bullet"/>
      <w:lvlText w:val="-"/>
      <w:lvlJc w:val="left"/>
      <w:pPr>
        <w:ind w:left="0" w:firstLine="0"/>
      </w:pPr>
      <w:rPr>
        <w:rFonts w:ascii="Trebuchet MS" w:eastAsia="Trebuchet MS" w:hAnsi="Trebuchet MS" w:cs="Trebuchet MS"/>
        <w:i/>
        <w:iCs/>
        <w:position w:val="0"/>
      </w:rPr>
    </w:lvl>
    <w:lvl w:ilvl="1">
      <w:start w:val="1"/>
      <w:numFmt w:val="lowerLetter"/>
      <w:lvlText w:val="%2."/>
      <w:lvlJc w:val="left"/>
      <w:pPr>
        <w:ind w:left="0" w:firstLine="0"/>
      </w:pPr>
      <w:rPr>
        <w:rFonts w:ascii="Calibri" w:eastAsia="Calibri" w:hAnsi="Calibri" w:cs="Calibri"/>
        <w:i/>
        <w:iCs/>
        <w:position w:val="0"/>
      </w:rPr>
    </w:lvl>
    <w:lvl w:ilvl="2">
      <w:start w:val="1"/>
      <w:numFmt w:val="lowerRoman"/>
      <w:lvlText w:val="%3."/>
      <w:lvlJc w:val="left"/>
      <w:pPr>
        <w:ind w:left="0" w:firstLine="0"/>
      </w:pPr>
      <w:rPr>
        <w:rFonts w:ascii="Calibri" w:eastAsia="Calibri" w:hAnsi="Calibri" w:cs="Calibri"/>
        <w:i/>
        <w:iCs/>
        <w:position w:val="0"/>
      </w:rPr>
    </w:lvl>
    <w:lvl w:ilvl="3">
      <w:start w:val="1"/>
      <w:numFmt w:val="decimal"/>
      <w:lvlText w:val="%4."/>
      <w:lvlJc w:val="left"/>
      <w:pPr>
        <w:ind w:left="0" w:firstLine="0"/>
      </w:pPr>
      <w:rPr>
        <w:rFonts w:ascii="Calibri" w:eastAsia="Calibri" w:hAnsi="Calibri" w:cs="Calibri"/>
        <w:i/>
        <w:iCs/>
        <w:position w:val="0"/>
      </w:rPr>
    </w:lvl>
    <w:lvl w:ilvl="4">
      <w:start w:val="1"/>
      <w:numFmt w:val="lowerLetter"/>
      <w:lvlText w:val="%5."/>
      <w:lvlJc w:val="left"/>
      <w:pPr>
        <w:ind w:left="0" w:firstLine="0"/>
      </w:pPr>
      <w:rPr>
        <w:rFonts w:ascii="Calibri" w:eastAsia="Calibri" w:hAnsi="Calibri" w:cs="Calibri"/>
        <w:i/>
        <w:iCs/>
        <w:position w:val="0"/>
      </w:rPr>
    </w:lvl>
    <w:lvl w:ilvl="5">
      <w:start w:val="1"/>
      <w:numFmt w:val="lowerRoman"/>
      <w:lvlText w:val="%6."/>
      <w:lvlJc w:val="left"/>
      <w:pPr>
        <w:ind w:left="0" w:firstLine="0"/>
      </w:pPr>
      <w:rPr>
        <w:rFonts w:ascii="Calibri" w:eastAsia="Calibri" w:hAnsi="Calibri" w:cs="Calibri"/>
        <w:i/>
        <w:iCs/>
        <w:position w:val="0"/>
      </w:rPr>
    </w:lvl>
    <w:lvl w:ilvl="6">
      <w:start w:val="1"/>
      <w:numFmt w:val="decimal"/>
      <w:lvlText w:val="%7."/>
      <w:lvlJc w:val="left"/>
      <w:pPr>
        <w:ind w:left="0" w:firstLine="0"/>
      </w:pPr>
      <w:rPr>
        <w:rFonts w:ascii="Calibri" w:eastAsia="Calibri" w:hAnsi="Calibri" w:cs="Calibri"/>
        <w:i/>
        <w:iCs/>
        <w:position w:val="0"/>
      </w:rPr>
    </w:lvl>
    <w:lvl w:ilvl="7">
      <w:start w:val="1"/>
      <w:numFmt w:val="lowerLetter"/>
      <w:lvlText w:val="%8."/>
      <w:lvlJc w:val="left"/>
      <w:pPr>
        <w:ind w:left="0" w:firstLine="0"/>
      </w:pPr>
      <w:rPr>
        <w:rFonts w:ascii="Calibri" w:eastAsia="Calibri" w:hAnsi="Calibri" w:cs="Calibri"/>
        <w:i/>
        <w:iCs/>
        <w:position w:val="0"/>
      </w:rPr>
    </w:lvl>
    <w:lvl w:ilvl="8">
      <w:start w:val="1"/>
      <w:numFmt w:val="lowerRoman"/>
      <w:lvlText w:val="%9."/>
      <w:lvlJc w:val="left"/>
      <w:pPr>
        <w:ind w:left="0" w:firstLine="0"/>
      </w:pPr>
      <w:rPr>
        <w:rFonts w:ascii="Calibri" w:eastAsia="Calibri" w:hAnsi="Calibri" w:cs="Calibri"/>
        <w:i/>
        <w:iCs/>
        <w:position w:val="0"/>
      </w:rPr>
    </w:lvl>
  </w:abstractNum>
  <w:abstractNum w:abstractNumId="85" w15:restartNumberingAfterBreak="0">
    <w:nsid w:val="51D92F88"/>
    <w:multiLevelType w:val="multilevel"/>
    <w:tmpl w:val="3FEA4082"/>
    <w:styleLink w:val="List9"/>
    <w:lvl w:ilvl="0">
      <w:start w:val="1"/>
      <w:numFmt w:val="lowerLetter"/>
      <w:lvlText w:val="%1)"/>
      <w:lvlJc w:val="left"/>
      <w:pPr>
        <w:ind w:left="0" w:firstLine="0"/>
      </w:pPr>
      <w:rPr>
        <w:rFonts w:ascii="Calibri" w:eastAsia="Calibri" w:hAnsi="Calibri" w:cs="Calibri"/>
        <w:b/>
        <w:bCs/>
        <w:position w:val="0"/>
      </w:rPr>
    </w:lvl>
    <w:lvl w:ilvl="1">
      <w:start w:val="1"/>
      <w:numFmt w:val="lowerLetter"/>
      <w:lvlText w:val="%2."/>
      <w:lvlJc w:val="left"/>
      <w:pPr>
        <w:ind w:left="0" w:firstLine="0"/>
      </w:pPr>
      <w:rPr>
        <w:rFonts w:ascii="Calibri" w:eastAsia="Calibri" w:hAnsi="Calibri" w:cs="Calibri"/>
        <w:b/>
        <w:bCs/>
        <w:position w:val="0"/>
      </w:rPr>
    </w:lvl>
    <w:lvl w:ilvl="2">
      <w:start w:val="1"/>
      <w:numFmt w:val="lowerRoman"/>
      <w:lvlText w:val="%3."/>
      <w:lvlJc w:val="left"/>
      <w:pPr>
        <w:ind w:left="0" w:firstLine="0"/>
      </w:pPr>
      <w:rPr>
        <w:rFonts w:ascii="Calibri" w:eastAsia="Calibri" w:hAnsi="Calibri" w:cs="Calibri"/>
        <w:b/>
        <w:bCs/>
        <w:position w:val="0"/>
      </w:rPr>
    </w:lvl>
    <w:lvl w:ilvl="3">
      <w:start w:val="1"/>
      <w:numFmt w:val="decimal"/>
      <w:lvlText w:val="%4."/>
      <w:lvlJc w:val="left"/>
      <w:pPr>
        <w:ind w:left="0" w:firstLine="0"/>
      </w:pPr>
      <w:rPr>
        <w:rFonts w:ascii="Calibri" w:eastAsia="Calibri" w:hAnsi="Calibri" w:cs="Calibri"/>
        <w:b/>
        <w:bCs/>
        <w:position w:val="0"/>
      </w:rPr>
    </w:lvl>
    <w:lvl w:ilvl="4">
      <w:start w:val="1"/>
      <w:numFmt w:val="lowerLetter"/>
      <w:lvlText w:val="%5."/>
      <w:lvlJc w:val="left"/>
      <w:pPr>
        <w:ind w:left="0" w:firstLine="0"/>
      </w:pPr>
      <w:rPr>
        <w:rFonts w:ascii="Calibri" w:eastAsia="Calibri" w:hAnsi="Calibri" w:cs="Calibri"/>
        <w:b/>
        <w:bCs/>
        <w:position w:val="0"/>
      </w:rPr>
    </w:lvl>
    <w:lvl w:ilvl="5">
      <w:start w:val="1"/>
      <w:numFmt w:val="lowerRoman"/>
      <w:lvlText w:val="%6."/>
      <w:lvlJc w:val="left"/>
      <w:pPr>
        <w:ind w:left="0" w:firstLine="0"/>
      </w:pPr>
      <w:rPr>
        <w:rFonts w:ascii="Calibri" w:eastAsia="Calibri" w:hAnsi="Calibri" w:cs="Calibri"/>
        <w:b/>
        <w:bCs/>
        <w:position w:val="0"/>
      </w:rPr>
    </w:lvl>
    <w:lvl w:ilvl="6">
      <w:start w:val="1"/>
      <w:numFmt w:val="decimal"/>
      <w:lvlText w:val="%7."/>
      <w:lvlJc w:val="left"/>
      <w:pPr>
        <w:ind w:left="0" w:firstLine="0"/>
      </w:pPr>
      <w:rPr>
        <w:rFonts w:ascii="Calibri" w:eastAsia="Calibri" w:hAnsi="Calibri" w:cs="Calibri"/>
        <w:b/>
        <w:bCs/>
        <w:position w:val="0"/>
      </w:rPr>
    </w:lvl>
    <w:lvl w:ilvl="7">
      <w:start w:val="1"/>
      <w:numFmt w:val="lowerLetter"/>
      <w:lvlText w:val="%8."/>
      <w:lvlJc w:val="left"/>
      <w:pPr>
        <w:ind w:left="0" w:firstLine="0"/>
      </w:pPr>
      <w:rPr>
        <w:rFonts w:ascii="Calibri" w:eastAsia="Calibri" w:hAnsi="Calibri" w:cs="Calibri"/>
        <w:b/>
        <w:bCs/>
        <w:position w:val="0"/>
      </w:rPr>
    </w:lvl>
    <w:lvl w:ilvl="8">
      <w:start w:val="1"/>
      <w:numFmt w:val="lowerRoman"/>
      <w:lvlText w:val="%9."/>
      <w:lvlJc w:val="left"/>
      <w:pPr>
        <w:ind w:left="0" w:firstLine="0"/>
      </w:pPr>
      <w:rPr>
        <w:rFonts w:ascii="Calibri" w:eastAsia="Calibri" w:hAnsi="Calibri" w:cs="Calibri"/>
        <w:b/>
        <w:bCs/>
        <w:position w:val="0"/>
      </w:rPr>
    </w:lvl>
  </w:abstractNum>
  <w:abstractNum w:abstractNumId="86" w15:restartNumberingAfterBreak="0">
    <w:nsid w:val="55445A11"/>
    <w:multiLevelType w:val="hybridMultilevel"/>
    <w:tmpl w:val="B5400556"/>
    <w:lvl w:ilvl="0" w:tplc="1E841A4A">
      <w:start w:val="1"/>
      <w:numFmt w:val="upperRoman"/>
      <w:pStyle w:val="FRACCIONES"/>
      <w:lvlText w:val="%1."/>
      <w:lvlJc w:val="right"/>
      <w:pPr>
        <w:ind w:left="720" w:hanging="360"/>
      </w:pPr>
      <w:rPr>
        <w:color w:val="auto"/>
      </w:rPr>
    </w:lvl>
    <w:lvl w:ilvl="1" w:tplc="080A0019">
      <w:start w:val="1"/>
      <w:numFmt w:val="lowerLetter"/>
      <w:lvlText w:val="%2."/>
      <w:lvlJc w:val="left"/>
      <w:pPr>
        <w:ind w:left="1440" w:hanging="360"/>
      </w:pPr>
    </w:lvl>
    <w:lvl w:ilvl="2" w:tplc="1C4E4DDC">
      <w:start w:val="1"/>
      <w:numFmt w:val="lowerLetter"/>
      <w:lvlText w:val="%3)"/>
      <w:lvlJc w:val="right"/>
      <w:pPr>
        <w:ind w:left="2160" w:hanging="180"/>
      </w:pPr>
      <w:rPr>
        <w:rFonts w:ascii="Arial" w:eastAsia="Times New Roman" w:hAnsi="Arial"/>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7" w15:restartNumberingAfterBreak="0">
    <w:nsid w:val="55A73C9F"/>
    <w:multiLevelType w:val="hybridMultilevel"/>
    <w:tmpl w:val="ADC041EA"/>
    <w:styleLink w:val="Estiloimportado2"/>
    <w:lvl w:ilvl="0" w:tplc="1C6CC72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4A2837E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2" w:tplc="22A8E8F8">
      <w:start w:val="1"/>
      <w:numFmt w:val="lowerRoman"/>
      <w:lvlText w:val="%3."/>
      <w:lvlJc w:val="left"/>
      <w:pPr>
        <w:ind w:left="2160" w:hanging="302"/>
      </w:pPr>
      <w:rPr>
        <w:rFonts w:hAnsi="Arial Unicode MS"/>
        <w:caps w:val="0"/>
        <w:smallCaps w:val="0"/>
        <w:strike w:val="0"/>
        <w:dstrike w:val="0"/>
        <w:color w:val="000000"/>
        <w:spacing w:val="0"/>
        <w:w w:val="100"/>
        <w:kern w:val="0"/>
        <w:position w:val="0"/>
        <w:highlight w:val="none"/>
        <w:u w:val="none"/>
        <w:effect w:val="none"/>
        <w:vertAlign w:val="baseline"/>
      </w:rPr>
    </w:lvl>
    <w:lvl w:ilvl="3" w:tplc="16FE95B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rPr>
    </w:lvl>
    <w:lvl w:ilvl="4" w:tplc="10C01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rPr>
    </w:lvl>
    <w:lvl w:ilvl="5" w:tplc="01BA9FA6">
      <w:start w:val="1"/>
      <w:numFmt w:val="lowerRoman"/>
      <w:lvlText w:val="%6."/>
      <w:lvlJc w:val="left"/>
      <w:pPr>
        <w:ind w:left="4320" w:hanging="302"/>
      </w:pPr>
      <w:rPr>
        <w:rFonts w:hAnsi="Arial Unicode MS"/>
        <w:caps w:val="0"/>
        <w:smallCaps w:val="0"/>
        <w:strike w:val="0"/>
        <w:dstrike w:val="0"/>
        <w:color w:val="000000"/>
        <w:spacing w:val="0"/>
        <w:w w:val="100"/>
        <w:kern w:val="0"/>
        <w:position w:val="0"/>
        <w:highlight w:val="none"/>
        <w:u w:val="none"/>
        <w:effect w:val="none"/>
        <w:vertAlign w:val="baseline"/>
      </w:rPr>
    </w:lvl>
    <w:lvl w:ilvl="6" w:tplc="4A3097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rPr>
    </w:lvl>
    <w:lvl w:ilvl="7" w:tplc="99F84C1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rPr>
    </w:lvl>
    <w:lvl w:ilvl="8" w:tplc="4BB27C8A">
      <w:start w:val="1"/>
      <w:numFmt w:val="lowerRoman"/>
      <w:lvlText w:val="%9."/>
      <w:lvlJc w:val="left"/>
      <w:pPr>
        <w:ind w:left="6480" w:hanging="302"/>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88" w15:restartNumberingAfterBreak="0">
    <w:nsid w:val="561B1EB8"/>
    <w:multiLevelType w:val="hybridMultilevel"/>
    <w:tmpl w:val="83861574"/>
    <w:lvl w:ilvl="0" w:tplc="62EA2966">
      <w:start w:val="1"/>
      <w:numFmt w:val="lowerLetter"/>
      <w:lvlText w:val="%1)"/>
      <w:lvlJc w:val="left"/>
      <w:pPr>
        <w:ind w:left="720" w:hanging="360"/>
      </w:pPr>
      <w:rPr>
        <w:rFonts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9" w15:restartNumberingAfterBreak="0">
    <w:nsid w:val="579242C2"/>
    <w:multiLevelType w:val="multilevel"/>
    <w:tmpl w:val="A510F86A"/>
    <w:styleLink w:val="WW8Num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0" w15:restartNumberingAfterBreak="0">
    <w:nsid w:val="584646F3"/>
    <w:multiLevelType w:val="hybridMultilevel"/>
    <w:tmpl w:val="4790C798"/>
    <w:lvl w:ilvl="0" w:tplc="B0E272E0">
      <w:numFmt w:val="bullet"/>
      <w:lvlText w:val=""/>
      <w:lvlJc w:val="left"/>
      <w:pPr>
        <w:ind w:left="451" w:hanging="360"/>
      </w:pPr>
      <w:rPr>
        <w:rFonts w:ascii="Symbol" w:eastAsia="Symbol" w:hAnsi="Symbol" w:cs="Symbol" w:hint="default"/>
        <w:b w:val="0"/>
        <w:bCs w:val="0"/>
        <w:i w:val="0"/>
        <w:iCs w:val="0"/>
        <w:spacing w:val="0"/>
        <w:w w:val="99"/>
        <w:sz w:val="20"/>
        <w:szCs w:val="20"/>
        <w:lang w:val="es-ES" w:eastAsia="en-US" w:bidi="ar-SA"/>
      </w:rPr>
    </w:lvl>
    <w:lvl w:ilvl="1" w:tplc="936E62AE">
      <w:numFmt w:val="bullet"/>
      <w:lvlText w:val="•"/>
      <w:lvlJc w:val="left"/>
      <w:pPr>
        <w:ind w:left="1386" w:hanging="360"/>
      </w:pPr>
      <w:rPr>
        <w:rFonts w:hint="default"/>
        <w:lang w:val="es-ES" w:eastAsia="en-US" w:bidi="ar-SA"/>
      </w:rPr>
    </w:lvl>
    <w:lvl w:ilvl="2" w:tplc="340E58FA">
      <w:numFmt w:val="bullet"/>
      <w:lvlText w:val="•"/>
      <w:lvlJc w:val="left"/>
      <w:pPr>
        <w:ind w:left="2312" w:hanging="360"/>
      </w:pPr>
      <w:rPr>
        <w:rFonts w:hint="default"/>
        <w:lang w:val="es-ES" w:eastAsia="en-US" w:bidi="ar-SA"/>
      </w:rPr>
    </w:lvl>
    <w:lvl w:ilvl="3" w:tplc="EFCC2476">
      <w:numFmt w:val="bullet"/>
      <w:lvlText w:val="•"/>
      <w:lvlJc w:val="left"/>
      <w:pPr>
        <w:ind w:left="3238" w:hanging="360"/>
      </w:pPr>
      <w:rPr>
        <w:rFonts w:hint="default"/>
        <w:lang w:val="es-ES" w:eastAsia="en-US" w:bidi="ar-SA"/>
      </w:rPr>
    </w:lvl>
    <w:lvl w:ilvl="4" w:tplc="2F88C55A">
      <w:numFmt w:val="bullet"/>
      <w:lvlText w:val="•"/>
      <w:lvlJc w:val="left"/>
      <w:pPr>
        <w:ind w:left="4164" w:hanging="360"/>
      </w:pPr>
      <w:rPr>
        <w:rFonts w:hint="default"/>
        <w:lang w:val="es-ES" w:eastAsia="en-US" w:bidi="ar-SA"/>
      </w:rPr>
    </w:lvl>
    <w:lvl w:ilvl="5" w:tplc="AFC81172">
      <w:numFmt w:val="bullet"/>
      <w:lvlText w:val="•"/>
      <w:lvlJc w:val="left"/>
      <w:pPr>
        <w:ind w:left="5090" w:hanging="360"/>
      </w:pPr>
      <w:rPr>
        <w:rFonts w:hint="default"/>
        <w:lang w:val="es-ES" w:eastAsia="en-US" w:bidi="ar-SA"/>
      </w:rPr>
    </w:lvl>
    <w:lvl w:ilvl="6" w:tplc="A788B7B8">
      <w:numFmt w:val="bullet"/>
      <w:lvlText w:val="•"/>
      <w:lvlJc w:val="left"/>
      <w:pPr>
        <w:ind w:left="6016" w:hanging="360"/>
      </w:pPr>
      <w:rPr>
        <w:rFonts w:hint="default"/>
        <w:lang w:val="es-ES" w:eastAsia="en-US" w:bidi="ar-SA"/>
      </w:rPr>
    </w:lvl>
    <w:lvl w:ilvl="7" w:tplc="9EF24646">
      <w:numFmt w:val="bullet"/>
      <w:lvlText w:val="•"/>
      <w:lvlJc w:val="left"/>
      <w:pPr>
        <w:ind w:left="6942" w:hanging="360"/>
      </w:pPr>
      <w:rPr>
        <w:rFonts w:hint="default"/>
        <w:lang w:val="es-ES" w:eastAsia="en-US" w:bidi="ar-SA"/>
      </w:rPr>
    </w:lvl>
    <w:lvl w:ilvl="8" w:tplc="68088554">
      <w:numFmt w:val="bullet"/>
      <w:lvlText w:val="•"/>
      <w:lvlJc w:val="left"/>
      <w:pPr>
        <w:ind w:left="7868" w:hanging="360"/>
      </w:pPr>
      <w:rPr>
        <w:rFonts w:hint="default"/>
        <w:lang w:val="es-ES" w:eastAsia="en-US" w:bidi="ar-SA"/>
      </w:rPr>
    </w:lvl>
  </w:abstractNum>
  <w:abstractNum w:abstractNumId="91" w15:restartNumberingAfterBreak="0">
    <w:nsid w:val="588E7E4C"/>
    <w:multiLevelType w:val="hybridMultilevel"/>
    <w:tmpl w:val="60BEEFC2"/>
    <w:lvl w:ilvl="0" w:tplc="9F9234DC">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97A7925"/>
    <w:multiLevelType w:val="hybridMultilevel"/>
    <w:tmpl w:val="B510CBF0"/>
    <w:styleLink w:val="Vieta0"/>
    <w:lvl w:ilvl="0" w:tplc="4C6C5440">
      <w:start w:val="1"/>
      <w:numFmt w:val="bullet"/>
      <w:lvlText w:val="‣"/>
      <w:lvlJc w:val="left"/>
      <w:pPr>
        <w:ind w:left="180" w:hanging="180"/>
      </w:pPr>
      <w:rPr>
        <w:rFonts w:hAnsi="Arial Unicode MS"/>
        <w:caps w:val="0"/>
        <w:smallCaps w:val="0"/>
        <w:strike w:val="0"/>
        <w:dstrike w:val="0"/>
        <w:color w:val="000000"/>
        <w:spacing w:val="0"/>
        <w:w w:val="100"/>
        <w:kern w:val="0"/>
        <w:position w:val="-2"/>
        <w:highlight w:val="none"/>
        <w:u w:val="none"/>
        <w:effect w:val="none"/>
        <w:vertAlign w:val="baseline"/>
      </w:rPr>
    </w:lvl>
    <w:lvl w:ilvl="1" w:tplc="8AE85C0A">
      <w:start w:val="1"/>
      <w:numFmt w:val="bullet"/>
      <w:lvlText w:val="•"/>
      <w:lvlJc w:val="left"/>
      <w:pPr>
        <w:ind w:left="360" w:hanging="180"/>
      </w:pPr>
      <w:rPr>
        <w:rFonts w:hAnsi="Arial Unicode MS"/>
        <w:caps w:val="0"/>
        <w:smallCaps w:val="0"/>
        <w:strike w:val="0"/>
        <w:dstrike w:val="0"/>
        <w:color w:val="000000"/>
        <w:spacing w:val="0"/>
        <w:w w:val="100"/>
        <w:kern w:val="0"/>
        <w:position w:val="-2"/>
        <w:highlight w:val="none"/>
        <w:u w:val="none"/>
        <w:effect w:val="none"/>
        <w:vertAlign w:val="baseline"/>
      </w:rPr>
    </w:lvl>
    <w:lvl w:ilvl="2" w:tplc="66A669A8">
      <w:start w:val="1"/>
      <w:numFmt w:val="bullet"/>
      <w:lvlText w:val="•"/>
      <w:lvlJc w:val="left"/>
      <w:pPr>
        <w:ind w:left="540" w:hanging="180"/>
      </w:pPr>
      <w:rPr>
        <w:rFonts w:hAnsi="Arial Unicode MS"/>
        <w:caps w:val="0"/>
        <w:smallCaps w:val="0"/>
        <w:strike w:val="0"/>
        <w:dstrike w:val="0"/>
        <w:color w:val="000000"/>
        <w:spacing w:val="0"/>
        <w:w w:val="100"/>
        <w:kern w:val="0"/>
        <w:position w:val="-2"/>
        <w:highlight w:val="none"/>
        <w:u w:val="none"/>
        <w:effect w:val="none"/>
        <w:vertAlign w:val="baseline"/>
      </w:rPr>
    </w:lvl>
    <w:lvl w:ilvl="3" w:tplc="CF1C24E0">
      <w:start w:val="1"/>
      <w:numFmt w:val="bullet"/>
      <w:lvlText w:val="•"/>
      <w:lvlJc w:val="left"/>
      <w:pPr>
        <w:ind w:left="720" w:hanging="180"/>
      </w:pPr>
      <w:rPr>
        <w:rFonts w:hAnsi="Arial Unicode MS"/>
        <w:caps w:val="0"/>
        <w:smallCaps w:val="0"/>
        <w:strike w:val="0"/>
        <w:dstrike w:val="0"/>
        <w:color w:val="000000"/>
        <w:spacing w:val="0"/>
        <w:w w:val="100"/>
        <w:kern w:val="0"/>
        <w:position w:val="-2"/>
        <w:highlight w:val="none"/>
        <w:u w:val="none"/>
        <w:effect w:val="none"/>
        <w:vertAlign w:val="baseline"/>
      </w:rPr>
    </w:lvl>
    <w:lvl w:ilvl="4" w:tplc="FFE81730">
      <w:start w:val="1"/>
      <w:numFmt w:val="bullet"/>
      <w:lvlText w:val="•"/>
      <w:lvlJc w:val="left"/>
      <w:pPr>
        <w:ind w:left="900" w:hanging="180"/>
      </w:pPr>
      <w:rPr>
        <w:rFonts w:hAnsi="Arial Unicode MS"/>
        <w:caps w:val="0"/>
        <w:smallCaps w:val="0"/>
        <w:strike w:val="0"/>
        <w:dstrike w:val="0"/>
        <w:color w:val="000000"/>
        <w:spacing w:val="0"/>
        <w:w w:val="100"/>
        <w:kern w:val="0"/>
        <w:position w:val="-2"/>
        <w:highlight w:val="none"/>
        <w:u w:val="none"/>
        <w:effect w:val="none"/>
        <w:vertAlign w:val="baseline"/>
      </w:rPr>
    </w:lvl>
    <w:lvl w:ilvl="5" w:tplc="0A024C24">
      <w:start w:val="1"/>
      <w:numFmt w:val="bullet"/>
      <w:lvlText w:val="•"/>
      <w:lvlJc w:val="left"/>
      <w:pPr>
        <w:ind w:left="1080" w:hanging="180"/>
      </w:pPr>
      <w:rPr>
        <w:rFonts w:hAnsi="Arial Unicode MS"/>
        <w:caps w:val="0"/>
        <w:smallCaps w:val="0"/>
        <w:strike w:val="0"/>
        <w:dstrike w:val="0"/>
        <w:color w:val="000000"/>
        <w:spacing w:val="0"/>
        <w:w w:val="100"/>
        <w:kern w:val="0"/>
        <w:position w:val="-2"/>
        <w:highlight w:val="none"/>
        <w:u w:val="none"/>
        <w:effect w:val="none"/>
        <w:vertAlign w:val="baseline"/>
      </w:rPr>
    </w:lvl>
    <w:lvl w:ilvl="6" w:tplc="4FFCD0CE">
      <w:start w:val="1"/>
      <w:numFmt w:val="bullet"/>
      <w:lvlText w:val="•"/>
      <w:lvlJc w:val="left"/>
      <w:pPr>
        <w:ind w:left="1260" w:hanging="180"/>
      </w:pPr>
      <w:rPr>
        <w:rFonts w:hAnsi="Arial Unicode MS"/>
        <w:caps w:val="0"/>
        <w:smallCaps w:val="0"/>
        <w:strike w:val="0"/>
        <w:dstrike w:val="0"/>
        <w:color w:val="000000"/>
        <w:spacing w:val="0"/>
        <w:w w:val="100"/>
        <w:kern w:val="0"/>
        <w:position w:val="-2"/>
        <w:highlight w:val="none"/>
        <w:u w:val="none"/>
        <w:effect w:val="none"/>
        <w:vertAlign w:val="baseline"/>
      </w:rPr>
    </w:lvl>
    <w:lvl w:ilvl="7" w:tplc="191CA130">
      <w:start w:val="1"/>
      <w:numFmt w:val="bullet"/>
      <w:lvlText w:val="•"/>
      <w:lvlJc w:val="left"/>
      <w:pPr>
        <w:ind w:left="1440" w:hanging="180"/>
      </w:pPr>
      <w:rPr>
        <w:rFonts w:hAnsi="Arial Unicode MS"/>
        <w:caps w:val="0"/>
        <w:smallCaps w:val="0"/>
        <w:strike w:val="0"/>
        <w:dstrike w:val="0"/>
        <w:color w:val="000000"/>
        <w:spacing w:val="0"/>
        <w:w w:val="100"/>
        <w:kern w:val="0"/>
        <w:position w:val="-2"/>
        <w:highlight w:val="none"/>
        <w:u w:val="none"/>
        <w:effect w:val="none"/>
        <w:vertAlign w:val="baseline"/>
      </w:rPr>
    </w:lvl>
    <w:lvl w:ilvl="8" w:tplc="1E6C9AC0">
      <w:start w:val="1"/>
      <w:numFmt w:val="bullet"/>
      <w:lvlText w:val="•"/>
      <w:lvlJc w:val="left"/>
      <w:pPr>
        <w:ind w:left="1620" w:hanging="180"/>
      </w:pPr>
      <w:rPr>
        <w:rFonts w:hAnsi="Arial Unicode MS"/>
        <w:caps w:val="0"/>
        <w:smallCaps w:val="0"/>
        <w:strike w:val="0"/>
        <w:dstrike w:val="0"/>
        <w:color w:val="000000"/>
        <w:spacing w:val="0"/>
        <w:w w:val="100"/>
        <w:kern w:val="0"/>
        <w:position w:val="-2"/>
        <w:highlight w:val="none"/>
        <w:u w:val="none"/>
        <w:effect w:val="none"/>
        <w:vertAlign w:val="baseline"/>
      </w:rPr>
    </w:lvl>
  </w:abstractNum>
  <w:abstractNum w:abstractNumId="93" w15:restartNumberingAfterBreak="0">
    <w:nsid w:val="59CB0C9A"/>
    <w:multiLevelType w:val="hybridMultilevel"/>
    <w:tmpl w:val="56F2ECB4"/>
    <w:styleLink w:val="11111111"/>
    <w:lvl w:ilvl="0" w:tplc="54906AB6">
      <w:start w:val="1"/>
      <w:numFmt w:val="upperLetter"/>
      <w:lvlText w:val="%1)"/>
      <w:lvlJc w:val="left"/>
      <w:pPr>
        <w:ind w:left="720" w:hanging="360"/>
      </w:pPr>
      <w:rPr>
        <w:rFonts w:ascii="Arial" w:eastAsia="Arial" w:hAnsi="Arial" w:cs="Times New Roman" w:hint="default"/>
        <w:sz w:val="23"/>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4" w15:restartNumberingAfterBreak="0">
    <w:nsid w:val="59DF068F"/>
    <w:multiLevelType w:val="hybridMultilevel"/>
    <w:tmpl w:val="2472AE10"/>
    <w:lvl w:ilvl="0" w:tplc="996649A2">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abstractNum w:abstractNumId="95" w15:restartNumberingAfterBreak="0">
    <w:nsid w:val="5A8203F0"/>
    <w:multiLevelType w:val="hybridMultilevel"/>
    <w:tmpl w:val="79926E52"/>
    <w:lvl w:ilvl="0" w:tplc="81BA1B22">
      <w:start w:val="1"/>
      <w:numFmt w:val="bullet"/>
      <w:pStyle w:val="Response1"/>
      <w:lvlText w:val=""/>
      <w:lvlJc w:val="left"/>
      <w:pPr>
        <w:tabs>
          <w:tab w:val="num" w:pos="720"/>
        </w:tabs>
        <w:ind w:left="720" w:hanging="360"/>
      </w:pPr>
      <w:rPr>
        <w:rFonts w:ascii="Symbol" w:hAnsi="Symbol" w:hint="default"/>
        <w:sz w:val="20"/>
      </w:rPr>
    </w:lvl>
    <w:lvl w:ilvl="1" w:tplc="B9FC7362">
      <w:start w:val="1"/>
      <w:numFmt w:val="bullet"/>
      <w:lvlText w:val="o"/>
      <w:lvlJc w:val="left"/>
      <w:pPr>
        <w:tabs>
          <w:tab w:val="num" w:pos="1440"/>
        </w:tabs>
        <w:ind w:left="1440" w:hanging="360"/>
      </w:pPr>
      <w:rPr>
        <w:rFonts w:ascii="Courier New" w:hAnsi="Courier New" w:cs="Times New Roman" w:hint="default"/>
        <w:sz w:val="20"/>
      </w:rPr>
    </w:lvl>
    <w:lvl w:ilvl="2" w:tplc="E03AB256">
      <w:start w:val="1"/>
      <w:numFmt w:val="bullet"/>
      <w:lvlText w:val=""/>
      <w:lvlJc w:val="left"/>
      <w:pPr>
        <w:tabs>
          <w:tab w:val="num" w:pos="2160"/>
        </w:tabs>
        <w:ind w:left="2160" w:hanging="360"/>
      </w:pPr>
      <w:rPr>
        <w:rFonts w:ascii="Wingdings" w:hAnsi="Wingdings" w:hint="default"/>
        <w:sz w:val="20"/>
      </w:rPr>
    </w:lvl>
    <w:lvl w:ilvl="3" w:tplc="1AA6958E">
      <w:start w:val="1"/>
      <w:numFmt w:val="bullet"/>
      <w:lvlText w:val=""/>
      <w:lvlJc w:val="left"/>
      <w:pPr>
        <w:tabs>
          <w:tab w:val="num" w:pos="2880"/>
        </w:tabs>
        <w:ind w:left="2880" w:hanging="360"/>
      </w:pPr>
      <w:rPr>
        <w:rFonts w:ascii="Wingdings" w:hAnsi="Wingdings" w:hint="default"/>
        <w:sz w:val="20"/>
      </w:rPr>
    </w:lvl>
    <w:lvl w:ilvl="4" w:tplc="DD8A9E4C">
      <w:start w:val="1"/>
      <w:numFmt w:val="bullet"/>
      <w:lvlText w:val=""/>
      <w:lvlJc w:val="left"/>
      <w:pPr>
        <w:tabs>
          <w:tab w:val="num" w:pos="3600"/>
        </w:tabs>
        <w:ind w:left="3600" w:hanging="360"/>
      </w:pPr>
      <w:rPr>
        <w:rFonts w:ascii="Wingdings" w:hAnsi="Wingdings" w:hint="default"/>
        <w:sz w:val="20"/>
      </w:rPr>
    </w:lvl>
    <w:lvl w:ilvl="5" w:tplc="346C7EDE">
      <w:start w:val="1"/>
      <w:numFmt w:val="bullet"/>
      <w:lvlText w:val=""/>
      <w:lvlJc w:val="left"/>
      <w:pPr>
        <w:tabs>
          <w:tab w:val="num" w:pos="4320"/>
        </w:tabs>
        <w:ind w:left="4320" w:hanging="360"/>
      </w:pPr>
      <w:rPr>
        <w:rFonts w:ascii="Wingdings" w:hAnsi="Wingdings" w:hint="default"/>
        <w:sz w:val="20"/>
      </w:rPr>
    </w:lvl>
    <w:lvl w:ilvl="6" w:tplc="968851FA">
      <w:start w:val="1"/>
      <w:numFmt w:val="bullet"/>
      <w:lvlText w:val=""/>
      <w:lvlJc w:val="left"/>
      <w:pPr>
        <w:tabs>
          <w:tab w:val="num" w:pos="5040"/>
        </w:tabs>
        <w:ind w:left="5040" w:hanging="360"/>
      </w:pPr>
      <w:rPr>
        <w:rFonts w:ascii="Wingdings" w:hAnsi="Wingdings" w:hint="default"/>
        <w:sz w:val="20"/>
      </w:rPr>
    </w:lvl>
    <w:lvl w:ilvl="7" w:tplc="45F4149E">
      <w:start w:val="1"/>
      <w:numFmt w:val="bullet"/>
      <w:lvlText w:val=""/>
      <w:lvlJc w:val="left"/>
      <w:pPr>
        <w:tabs>
          <w:tab w:val="num" w:pos="5760"/>
        </w:tabs>
        <w:ind w:left="5760" w:hanging="360"/>
      </w:pPr>
      <w:rPr>
        <w:rFonts w:ascii="Wingdings" w:hAnsi="Wingdings" w:hint="default"/>
        <w:sz w:val="20"/>
      </w:rPr>
    </w:lvl>
    <w:lvl w:ilvl="8" w:tplc="76CE3F86">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AC33113"/>
    <w:multiLevelType w:val="hybridMultilevel"/>
    <w:tmpl w:val="35F0AE40"/>
    <w:lvl w:ilvl="0" w:tplc="558E7E84">
      <w:start w:val="1"/>
      <w:numFmt w:val="bullet"/>
      <w:pStyle w:val="bulletsJBG"/>
      <w:lvlText w:val=""/>
      <w:lvlJc w:val="left"/>
      <w:pPr>
        <w:tabs>
          <w:tab w:val="num" w:pos="1440"/>
        </w:tabs>
        <w:ind w:left="1440" w:hanging="360"/>
      </w:pPr>
      <w:rPr>
        <w:rFonts w:ascii="Symbol" w:hAnsi="Symbol" w:hint="default"/>
      </w:rPr>
    </w:lvl>
    <w:lvl w:ilvl="1" w:tplc="0C0A0003">
      <w:start w:val="1"/>
      <w:numFmt w:val="bullet"/>
      <w:pStyle w:val="bulletsJBG"/>
      <w:lvlText w:val="o"/>
      <w:lvlJc w:val="left"/>
      <w:pPr>
        <w:tabs>
          <w:tab w:val="num" w:pos="2160"/>
        </w:tabs>
        <w:ind w:left="2160" w:hanging="360"/>
      </w:pPr>
      <w:rPr>
        <w:rFonts w:ascii="Courier New" w:hAnsi="Courier New" w:cs="Times New Roman"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Times New Roman"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Times New Roman"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97" w15:restartNumberingAfterBreak="0">
    <w:nsid w:val="5DE74010"/>
    <w:multiLevelType w:val="multilevel"/>
    <w:tmpl w:val="EACE7CC6"/>
    <w:styleLink w:val="Lista31"/>
    <w:lvl w:ilvl="0">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98" w15:restartNumberingAfterBreak="0">
    <w:nsid w:val="5E0A0123"/>
    <w:multiLevelType w:val="hybridMultilevel"/>
    <w:tmpl w:val="DEF282AC"/>
    <w:lvl w:ilvl="0" w:tplc="6B86543C">
      <w:start w:val="1"/>
      <w:numFmt w:val="upperRoman"/>
      <w:pStyle w:val="ENCAB"/>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9" w15:restartNumberingAfterBreak="0">
    <w:nsid w:val="5FF87B8A"/>
    <w:multiLevelType w:val="multilevel"/>
    <w:tmpl w:val="080A001D"/>
    <w:styleLink w:val="Estilo4"/>
    <w:lvl w:ilvl="0">
      <w:start w:val="7"/>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603B7B90"/>
    <w:multiLevelType w:val="hybridMultilevel"/>
    <w:tmpl w:val="0D82A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15:restartNumberingAfterBreak="0">
    <w:nsid w:val="60A1399D"/>
    <w:multiLevelType w:val="hybridMultilevel"/>
    <w:tmpl w:val="06B6F682"/>
    <w:lvl w:ilvl="0" w:tplc="68D8834C">
      <w:start w:val="1"/>
      <w:numFmt w:val="bullet"/>
      <w:pStyle w:val="INDI-UNID"/>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02" w15:restartNumberingAfterBreak="0">
    <w:nsid w:val="60C0032E"/>
    <w:multiLevelType w:val="hybridMultilevel"/>
    <w:tmpl w:val="0C0A0013"/>
    <w:styleLink w:val="1111111"/>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3" w15:restartNumberingAfterBreak="0">
    <w:nsid w:val="622E3D3B"/>
    <w:multiLevelType w:val="hybridMultilevel"/>
    <w:tmpl w:val="B114F778"/>
    <w:lvl w:ilvl="0" w:tplc="FFFFFFFF">
      <w:start w:val="2"/>
      <w:numFmt w:val="upperLetter"/>
      <w:lvlText w:val="%1)"/>
      <w:lvlJc w:val="left"/>
      <w:pPr>
        <w:ind w:left="1056" w:hanging="360"/>
      </w:pPr>
      <w:rPr>
        <w:rFonts w:hint="default"/>
        <w:b/>
      </w:rPr>
    </w:lvl>
    <w:lvl w:ilvl="1" w:tplc="FFFFFFFF" w:tentative="1">
      <w:start w:val="1"/>
      <w:numFmt w:val="lowerLetter"/>
      <w:lvlText w:val="%2."/>
      <w:lvlJc w:val="left"/>
      <w:pPr>
        <w:ind w:left="1776" w:hanging="360"/>
      </w:pPr>
    </w:lvl>
    <w:lvl w:ilvl="2" w:tplc="FFFFFFFF" w:tentative="1">
      <w:start w:val="1"/>
      <w:numFmt w:val="lowerRoman"/>
      <w:lvlText w:val="%3."/>
      <w:lvlJc w:val="right"/>
      <w:pPr>
        <w:ind w:left="2496" w:hanging="180"/>
      </w:pPr>
    </w:lvl>
    <w:lvl w:ilvl="3" w:tplc="FFFFFFFF" w:tentative="1">
      <w:start w:val="1"/>
      <w:numFmt w:val="decimal"/>
      <w:lvlText w:val="%4."/>
      <w:lvlJc w:val="left"/>
      <w:pPr>
        <w:ind w:left="3216" w:hanging="360"/>
      </w:pPr>
    </w:lvl>
    <w:lvl w:ilvl="4" w:tplc="FFFFFFFF" w:tentative="1">
      <w:start w:val="1"/>
      <w:numFmt w:val="lowerLetter"/>
      <w:lvlText w:val="%5."/>
      <w:lvlJc w:val="left"/>
      <w:pPr>
        <w:ind w:left="3936" w:hanging="360"/>
      </w:pPr>
    </w:lvl>
    <w:lvl w:ilvl="5" w:tplc="FFFFFFFF" w:tentative="1">
      <w:start w:val="1"/>
      <w:numFmt w:val="lowerRoman"/>
      <w:lvlText w:val="%6."/>
      <w:lvlJc w:val="right"/>
      <w:pPr>
        <w:ind w:left="4656" w:hanging="180"/>
      </w:pPr>
    </w:lvl>
    <w:lvl w:ilvl="6" w:tplc="FFFFFFFF" w:tentative="1">
      <w:start w:val="1"/>
      <w:numFmt w:val="decimal"/>
      <w:lvlText w:val="%7."/>
      <w:lvlJc w:val="left"/>
      <w:pPr>
        <w:ind w:left="5376" w:hanging="360"/>
      </w:pPr>
    </w:lvl>
    <w:lvl w:ilvl="7" w:tplc="FFFFFFFF" w:tentative="1">
      <w:start w:val="1"/>
      <w:numFmt w:val="lowerLetter"/>
      <w:lvlText w:val="%8."/>
      <w:lvlJc w:val="left"/>
      <w:pPr>
        <w:ind w:left="6096" w:hanging="360"/>
      </w:pPr>
    </w:lvl>
    <w:lvl w:ilvl="8" w:tplc="FFFFFFFF" w:tentative="1">
      <w:start w:val="1"/>
      <w:numFmt w:val="lowerRoman"/>
      <w:lvlText w:val="%9."/>
      <w:lvlJc w:val="right"/>
      <w:pPr>
        <w:ind w:left="6816" w:hanging="180"/>
      </w:pPr>
    </w:lvl>
  </w:abstractNum>
  <w:abstractNum w:abstractNumId="104" w15:restartNumberingAfterBreak="0">
    <w:nsid w:val="62E9407B"/>
    <w:multiLevelType w:val="hybridMultilevel"/>
    <w:tmpl w:val="98D0FD70"/>
    <w:lvl w:ilvl="0" w:tplc="6EA08788">
      <w:start w:val="1"/>
      <w:numFmt w:val="upperRoman"/>
      <w:pStyle w:val="atribuciones0"/>
      <w:lvlText w:val="%1."/>
      <w:lvlJc w:val="left"/>
      <w:pPr>
        <w:ind w:left="720" w:hanging="360"/>
      </w:pPr>
      <w:rPr>
        <w:rFonts w:hint="default"/>
        <w:b/>
        <w:bCs/>
      </w:rPr>
    </w:lvl>
    <w:lvl w:ilvl="1" w:tplc="4BE27024">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63B14DBC"/>
    <w:multiLevelType w:val="hybridMultilevel"/>
    <w:tmpl w:val="712E8EEC"/>
    <w:lvl w:ilvl="0" w:tplc="75B2A498">
      <w:start w:val="1"/>
      <w:numFmt w:val="bullet"/>
      <w:pStyle w:val="FUNCIONES"/>
      <w:lvlText w:val=""/>
      <w:legacy w:legacy="1" w:legacySpace="0" w:legacyIndent="283"/>
      <w:lvlJc w:val="left"/>
      <w:pPr>
        <w:ind w:left="283" w:hanging="283"/>
      </w:pPr>
      <w:rPr>
        <w:rFonts w:ascii="Symbol" w:hAnsi="Symbol" w:hint="default"/>
        <w:b/>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4170405"/>
    <w:multiLevelType w:val="multilevel"/>
    <w:tmpl w:val="E7AC668C"/>
    <w:styleLink w:val="Lista41"/>
    <w:lvl w:ilvl="0">
      <w:start w:val="1"/>
      <w:numFmt w:val="bullet"/>
      <w:lvlText w:val="-"/>
      <w:lvlJc w:val="left"/>
      <w:pPr>
        <w:ind w:left="0" w:firstLine="0"/>
      </w:pPr>
      <w:rPr>
        <w:rFonts w:ascii="Calibri" w:eastAsia="Calibri" w:hAnsi="Calibri" w:cs="Calibri"/>
        <w:i/>
        <w:iCs/>
        <w:position w:val="0"/>
      </w:rPr>
    </w:lvl>
    <w:lvl w:ilvl="1">
      <w:start w:val="1"/>
      <w:numFmt w:val="bullet"/>
      <w:lvlText w:val="o"/>
      <w:lvlJc w:val="left"/>
      <w:pPr>
        <w:ind w:left="0" w:firstLine="0"/>
      </w:pPr>
      <w:rPr>
        <w:rFonts w:ascii="Calibri" w:eastAsia="Calibri" w:hAnsi="Calibri" w:cs="Calibri"/>
        <w:i/>
        <w:iCs/>
        <w:position w:val="0"/>
      </w:rPr>
    </w:lvl>
    <w:lvl w:ilvl="2">
      <w:numFmt w:val="bullet"/>
      <w:lvlText w:val="▪"/>
      <w:lvlJc w:val="left"/>
      <w:pPr>
        <w:ind w:left="0" w:firstLine="0"/>
      </w:pPr>
      <w:rPr>
        <w:rFonts w:ascii="Trebuchet MS" w:eastAsia="Trebuchet MS" w:hAnsi="Trebuchet MS" w:cs="Trebuchet MS"/>
        <w:i/>
        <w:iCs/>
        <w:position w:val="0"/>
      </w:rPr>
    </w:lvl>
    <w:lvl w:ilvl="3">
      <w:start w:val="1"/>
      <w:numFmt w:val="bullet"/>
      <w:lvlText w:val="•"/>
      <w:lvlJc w:val="left"/>
      <w:pPr>
        <w:ind w:left="0" w:firstLine="0"/>
      </w:pPr>
      <w:rPr>
        <w:rFonts w:ascii="Calibri" w:eastAsia="Calibri" w:hAnsi="Calibri" w:cs="Calibri"/>
        <w:i/>
        <w:iCs/>
        <w:position w:val="0"/>
      </w:rPr>
    </w:lvl>
    <w:lvl w:ilvl="4">
      <w:start w:val="1"/>
      <w:numFmt w:val="bullet"/>
      <w:lvlText w:val="o"/>
      <w:lvlJc w:val="left"/>
      <w:pPr>
        <w:ind w:left="0" w:firstLine="0"/>
      </w:pPr>
      <w:rPr>
        <w:rFonts w:ascii="Calibri" w:eastAsia="Calibri" w:hAnsi="Calibri" w:cs="Calibri"/>
        <w:i/>
        <w:iCs/>
        <w:position w:val="0"/>
      </w:rPr>
    </w:lvl>
    <w:lvl w:ilvl="5">
      <w:start w:val="1"/>
      <w:numFmt w:val="bullet"/>
      <w:lvlText w:val="▪"/>
      <w:lvlJc w:val="left"/>
      <w:pPr>
        <w:ind w:left="0" w:firstLine="0"/>
      </w:pPr>
      <w:rPr>
        <w:rFonts w:ascii="Calibri" w:eastAsia="Calibri" w:hAnsi="Calibri" w:cs="Calibri"/>
        <w:i/>
        <w:iCs/>
        <w:position w:val="0"/>
      </w:rPr>
    </w:lvl>
    <w:lvl w:ilvl="6">
      <w:start w:val="1"/>
      <w:numFmt w:val="bullet"/>
      <w:lvlText w:val="•"/>
      <w:lvlJc w:val="left"/>
      <w:pPr>
        <w:ind w:left="0" w:firstLine="0"/>
      </w:pPr>
      <w:rPr>
        <w:rFonts w:ascii="Calibri" w:eastAsia="Calibri" w:hAnsi="Calibri" w:cs="Calibri"/>
        <w:i/>
        <w:iCs/>
        <w:position w:val="0"/>
      </w:rPr>
    </w:lvl>
    <w:lvl w:ilvl="7">
      <w:start w:val="1"/>
      <w:numFmt w:val="bullet"/>
      <w:lvlText w:val="o"/>
      <w:lvlJc w:val="left"/>
      <w:pPr>
        <w:ind w:left="0" w:firstLine="0"/>
      </w:pPr>
      <w:rPr>
        <w:rFonts w:ascii="Calibri" w:eastAsia="Calibri" w:hAnsi="Calibri" w:cs="Calibri"/>
        <w:i/>
        <w:iCs/>
        <w:position w:val="0"/>
      </w:rPr>
    </w:lvl>
    <w:lvl w:ilvl="8">
      <w:start w:val="1"/>
      <w:numFmt w:val="bullet"/>
      <w:lvlText w:val="▪"/>
      <w:lvlJc w:val="left"/>
      <w:pPr>
        <w:ind w:left="0" w:firstLine="0"/>
      </w:pPr>
      <w:rPr>
        <w:rFonts w:ascii="Calibri" w:eastAsia="Calibri" w:hAnsi="Calibri" w:cs="Calibri"/>
        <w:i/>
        <w:iCs/>
        <w:position w:val="0"/>
      </w:rPr>
    </w:lvl>
  </w:abstractNum>
  <w:abstractNum w:abstractNumId="107" w15:restartNumberingAfterBreak="0">
    <w:nsid w:val="658C65F2"/>
    <w:multiLevelType w:val="multilevel"/>
    <w:tmpl w:val="080A001D"/>
    <w:styleLink w:val="Estilo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8" w15:restartNumberingAfterBreak="0">
    <w:nsid w:val="66952A0A"/>
    <w:multiLevelType w:val="hybridMultilevel"/>
    <w:tmpl w:val="4AD2C14C"/>
    <w:lvl w:ilvl="0" w:tplc="6226B6CA">
      <w:start w:val="1"/>
      <w:numFmt w:val="upperRoman"/>
      <w:pStyle w:val="INDICEUNINEG"/>
      <w:lvlText w:val="%1."/>
      <w:lvlJc w:val="left"/>
      <w:pPr>
        <w:tabs>
          <w:tab w:val="num" w:pos="540"/>
        </w:tabs>
        <w:ind w:left="540" w:hanging="180"/>
      </w:pPr>
    </w:lvl>
    <w:lvl w:ilvl="1" w:tplc="E970EA9C">
      <w:start w:val="1"/>
      <w:numFmt w:val="bullet"/>
      <w:lvlText w:val=""/>
      <w:lvlJc w:val="left"/>
      <w:pPr>
        <w:tabs>
          <w:tab w:val="num" w:pos="1440"/>
        </w:tabs>
        <w:ind w:left="0" w:firstLine="0"/>
      </w:pPr>
      <w:rPr>
        <w:rFonts w:ascii="Symbol" w:hAnsi="Symbol" w:hint="default"/>
      </w:rPr>
    </w:lvl>
    <w:lvl w:ilvl="2" w:tplc="35A45972">
      <w:start w:val="1"/>
      <w:numFmt w:val="bullet"/>
      <w:pStyle w:val="INDICE-UNI"/>
      <w:lvlText w:val=""/>
      <w:lvlJc w:val="left"/>
      <w:pPr>
        <w:tabs>
          <w:tab w:val="num" w:pos="851"/>
        </w:tabs>
        <w:ind w:left="851" w:hanging="511"/>
      </w:pPr>
      <w:rPr>
        <w:rFonts w:ascii="Symbol" w:hAnsi="Symbol" w:hint="default"/>
        <w:sz w:val="24"/>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09" w15:restartNumberingAfterBreak="0">
    <w:nsid w:val="66B216A1"/>
    <w:multiLevelType w:val="multilevel"/>
    <w:tmpl w:val="1B503ABE"/>
    <w:styleLink w:val="Estilo7"/>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686B12D0"/>
    <w:multiLevelType w:val="hybridMultilevel"/>
    <w:tmpl w:val="B57247D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1" w15:restartNumberingAfterBreak="0">
    <w:nsid w:val="691523A6"/>
    <w:multiLevelType w:val="singleLevel"/>
    <w:tmpl w:val="080A0019"/>
    <w:lvl w:ilvl="0">
      <w:start w:val="1"/>
      <w:numFmt w:val="lowerLetter"/>
      <w:pStyle w:val="atrib2"/>
      <w:lvlText w:val="%1."/>
      <w:lvlJc w:val="left"/>
      <w:pPr>
        <w:ind w:left="360" w:hanging="360"/>
      </w:pPr>
      <w:rPr>
        <w:b/>
      </w:rPr>
    </w:lvl>
  </w:abstractNum>
  <w:abstractNum w:abstractNumId="112" w15:restartNumberingAfterBreak="0">
    <w:nsid w:val="69565D8F"/>
    <w:multiLevelType w:val="multilevel"/>
    <w:tmpl w:val="FF180688"/>
    <w:lvl w:ilvl="0">
      <w:start w:val="1"/>
      <w:numFmt w:val="decimal"/>
      <w:pStyle w:val="SOWlevel5"/>
      <w:lvlText w:val="Section %1:"/>
      <w:lvlJc w:val="left"/>
      <w:pPr>
        <w:tabs>
          <w:tab w:val="num" w:pos="1080"/>
        </w:tabs>
        <w:ind w:left="1080" w:hanging="1080"/>
      </w:pPr>
      <w:rPr>
        <w:rFonts w:ascii="Arial" w:hAnsi="Arial" w:cs="Times New Roman" w:hint="default"/>
        <w:b/>
        <w:i w:val="0"/>
        <w:sz w:val="18"/>
      </w:rPr>
    </w:lvl>
    <w:lvl w:ilvl="1">
      <w:start w:val="1"/>
      <w:numFmt w:val="decimal"/>
      <w:pStyle w:val="ExhibitTwoABC"/>
      <w:lvlText w:val="%1.%2."/>
      <w:lvlJc w:val="left"/>
      <w:pPr>
        <w:tabs>
          <w:tab w:val="num" w:pos="720"/>
        </w:tabs>
        <w:ind w:left="720" w:hanging="720"/>
      </w:pPr>
    </w:lvl>
    <w:lvl w:ilvl="2">
      <w:start w:val="1"/>
      <w:numFmt w:val="upperLetter"/>
      <w:lvlText w:val="%3."/>
      <w:lvlJc w:val="left"/>
      <w:pPr>
        <w:tabs>
          <w:tab w:val="num" w:pos="1080"/>
        </w:tabs>
        <w:ind w:left="1080" w:hanging="360"/>
      </w:pPr>
    </w:lvl>
    <w:lvl w:ilvl="3">
      <w:start w:val="1"/>
      <w:numFmt w:val="lowerRoman"/>
      <w:pStyle w:val="SOWlevel2"/>
      <w:lvlText w:val="%4."/>
      <w:lvlJc w:val="left"/>
      <w:pPr>
        <w:tabs>
          <w:tab w:val="num" w:pos="1800"/>
        </w:tabs>
        <w:ind w:left="1800" w:hanging="720"/>
      </w:pPr>
    </w:lvl>
    <w:lvl w:ilvl="4">
      <w:start w:val="1"/>
      <w:numFmt w:val="lowerLetter"/>
      <w:pStyle w:val="PoliciesTwoii"/>
      <w:lvlText w:val="%5."/>
      <w:lvlJc w:val="left"/>
      <w:pPr>
        <w:tabs>
          <w:tab w:val="num" w:pos="2160"/>
        </w:tabs>
        <w:ind w:left="2160" w:hanging="36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13" w15:restartNumberingAfterBreak="0">
    <w:nsid w:val="6B2A76FE"/>
    <w:multiLevelType w:val="multilevel"/>
    <w:tmpl w:val="B1C8F658"/>
    <w:lvl w:ilvl="0">
      <w:start w:val="1"/>
      <w:numFmt w:val="decimal"/>
      <w:pStyle w:val="Ttulo1Anexo"/>
      <w:lvlText w:val="%1"/>
      <w:lvlJc w:val="left"/>
      <w:pPr>
        <w:tabs>
          <w:tab w:val="num" w:pos="1260"/>
        </w:tabs>
        <w:ind w:left="1260" w:hanging="1260"/>
      </w:pPr>
      <w:rPr>
        <w:rFonts w:ascii="Arial (W1)" w:hAnsi="Arial (W1)" w:hint="default"/>
        <w:b/>
        <w:i w:val="0"/>
        <w:sz w:val="24"/>
      </w:rPr>
    </w:lvl>
    <w:lvl w:ilvl="1">
      <w:start w:val="1"/>
      <w:numFmt w:val="decimal"/>
      <w:pStyle w:val="Ttulo2Anexo"/>
      <w:isLgl/>
      <w:lvlText w:val="%1.%2"/>
      <w:lvlJc w:val="left"/>
      <w:pPr>
        <w:tabs>
          <w:tab w:val="num" w:pos="1260"/>
        </w:tabs>
        <w:ind w:left="1260" w:hanging="1260"/>
      </w:pPr>
      <w:rPr>
        <w:rFonts w:ascii="Arial" w:hAnsi="Arial" w:cs="Times New Roman" w:hint="default"/>
        <w:b/>
        <w:i w:val="0"/>
        <w:sz w:val="22"/>
      </w:rPr>
    </w:lvl>
    <w:lvl w:ilvl="2">
      <w:start w:val="1"/>
      <w:numFmt w:val="decimal"/>
      <w:pStyle w:val="Ttulo3Anexo"/>
      <w:isLgl/>
      <w:lvlText w:val="%1.%2.%3"/>
      <w:lvlJc w:val="left"/>
      <w:pPr>
        <w:tabs>
          <w:tab w:val="num" w:pos="1260"/>
        </w:tabs>
        <w:ind w:left="1260" w:hanging="1260"/>
      </w:pPr>
      <w:rPr>
        <w:rFonts w:ascii="Arial" w:hAnsi="Arial" w:cs="Times New Roman" w:hint="default"/>
        <w:b/>
        <w:i w:val="0"/>
        <w:sz w:val="20"/>
      </w:rPr>
    </w:lvl>
    <w:lvl w:ilvl="3">
      <w:start w:val="1"/>
      <w:numFmt w:val="decimal"/>
      <w:isLgl/>
      <w:lvlText w:val="%1.%2.%3.%4"/>
      <w:lvlJc w:val="left"/>
      <w:pPr>
        <w:tabs>
          <w:tab w:val="num" w:pos="1440"/>
        </w:tabs>
        <w:ind w:left="1440" w:hanging="1080"/>
      </w:pPr>
      <w:rPr>
        <w:rFonts w:ascii="Arial" w:hAnsi="Arial" w:cs="Times New Roman" w:hint="default"/>
        <w:b w:val="0"/>
        <w:i w:val="0"/>
        <w:sz w:val="20"/>
      </w:rPr>
    </w:lvl>
    <w:lvl w:ilvl="4">
      <w:start w:val="1"/>
      <w:numFmt w:val="decimal"/>
      <w:isLgl/>
      <w:lvlText w:val="%1.%2.%3.%4.%5"/>
      <w:lvlJc w:val="left"/>
      <w:pPr>
        <w:tabs>
          <w:tab w:val="num" w:pos="1800"/>
        </w:tabs>
        <w:ind w:left="1800" w:hanging="1440"/>
      </w:pPr>
    </w:lvl>
    <w:lvl w:ilvl="5">
      <w:start w:val="1"/>
      <w:numFmt w:val="decimal"/>
      <w:isLgl/>
      <w:lvlText w:val="%1.%2.%3.%4.%5.%6"/>
      <w:lvlJc w:val="left"/>
      <w:pPr>
        <w:tabs>
          <w:tab w:val="num" w:pos="2160"/>
        </w:tabs>
        <w:ind w:left="2160" w:hanging="180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520"/>
        </w:tabs>
        <w:ind w:left="2520" w:hanging="2160"/>
      </w:pPr>
    </w:lvl>
    <w:lvl w:ilvl="8">
      <w:start w:val="1"/>
      <w:numFmt w:val="decimal"/>
      <w:isLgl/>
      <w:lvlText w:val="%1.%2.%3.%4.%5.%6.%7.%8.%9"/>
      <w:lvlJc w:val="left"/>
      <w:pPr>
        <w:tabs>
          <w:tab w:val="num" w:pos="2880"/>
        </w:tabs>
        <w:ind w:left="2880" w:hanging="2520"/>
      </w:pPr>
    </w:lvl>
  </w:abstractNum>
  <w:abstractNum w:abstractNumId="114" w15:restartNumberingAfterBreak="0">
    <w:nsid w:val="6B992D87"/>
    <w:multiLevelType w:val="hybridMultilevel"/>
    <w:tmpl w:val="6CF09548"/>
    <w:styleLink w:val="Listaactual11"/>
    <w:lvl w:ilvl="0" w:tplc="83D06738">
      <w:start w:val="1"/>
      <w:numFmt w:val="bullet"/>
      <w:lvlText w:val="-"/>
      <w:lvlJc w:val="left"/>
      <w:pPr>
        <w:ind w:left="360" w:hanging="360"/>
      </w:pPr>
      <w:rPr>
        <w:rFonts w:ascii="Arial" w:eastAsia="Arial" w:hAnsi="Arial" w:cs="Times New Roman" w:hint="default"/>
        <w:w w:val="197"/>
        <w:sz w:val="13"/>
        <w:szCs w:val="13"/>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15" w15:restartNumberingAfterBreak="0">
    <w:nsid w:val="6D261C32"/>
    <w:multiLevelType w:val="multilevel"/>
    <w:tmpl w:val="DD9063C4"/>
    <w:styleLink w:val="WW8Num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6" w15:restartNumberingAfterBreak="0">
    <w:nsid w:val="71440C58"/>
    <w:multiLevelType w:val="multilevel"/>
    <w:tmpl w:val="5B0661C2"/>
    <w:styleLink w:val="BIS"/>
    <w:lvl w:ilvl="0">
      <w:start w:val="1"/>
      <w:numFmt w:val="none"/>
      <w:lvlText w:val="%1V Bis."/>
      <w:lvlJc w:val="left"/>
      <w:pPr>
        <w:ind w:left="567" w:hanging="567"/>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19A6EA2"/>
    <w:multiLevelType w:val="hybridMultilevel"/>
    <w:tmpl w:val="365E37A4"/>
    <w:styleLink w:val="Letra"/>
    <w:lvl w:ilvl="0" w:tplc="DDE6837E">
      <w:start w:val="1"/>
      <w:numFmt w:val="lowerLetter"/>
      <w:lvlText w:val="%1)"/>
      <w:lvlJc w:val="left"/>
      <w:pPr>
        <w:tabs>
          <w:tab w:val="num" w:pos="742"/>
        </w:tabs>
        <w:ind w:left="1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0450C">
      <w:start w:val="1"/>
      <w:numFmt w:val="lowerLetter"/>
      <w:lvlText w:val="%2)"/>
      <w:lvlJc w:val="left"/>
      <w:pPr>
        <w:tabs>
          <w:tab w:val="num" w:pos="1742"/>
        </w:tabs>
        <w:ind w:left="2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1849874">
      <w:start w:val="1"/>
      <w:numFmt w:val="lowerLetter"/>
      <w:lvlText w:val="%3)"/>
      <w:lvlJc w:val="left"/>
      <w:pPr>
        <w:tabs>
          <w:tab w:val="num" w:pos="2742"/>
        </w:tabs>
        <w:ind w:left="3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246BB4">
      <w:start w:val="1"/>
      <w:numFmt w:val="lowerLetter"/>
      <w:lvlText w:val="%4)"/>
      <w:lvlJc w:val="left"/>
      <w:pPr>
        <w:tabs>
          <w:tab w:val="num" w:pos="3742"/>
        </w:tabs>
        <w:ind w:left="4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64BD38">
      <w:start w:val="1"/>
      <w:numFmt w:val="lowerLetter"/>
      <w:lvlText w:val="%5)"/>
      <w:lvlJc w:val="left"/>
      <w:pPr>
        <w:tabs>
          <w:tab w:val="num" w:pos="4742"/>
        </w:tabs>
        <w:ind w:left="5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9360FCA">
      <w:start w:val="1"/>
      <w:numFmt w:val="lowerLetter"/>
      <w:lvlText w:val="%6)"/>
      <w:lvlJc w:val="left"/>
      <w:pPr>
        <w:tabs>
          <w:tab w:val="num" w:pos="5742"/>
        </w:tabs>
        <w:ind w:left="6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5419FA">
      <w:start w:val="1"/>
      <w:numFmt w:val="lowerLetter"/>
      <w:lvlText w:val="%7)"/>
      <w:lvlJc w:val="left"/>
      <w:pPr>
        <w:tabs>
          <w:tab w:val="num" w:pos="6742"/>
        </w:tabs>
        <w:ind w:left="7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41ECDBA">
      <w:start w:val="1"/>
      <w:numFmt w:val="lowerLetter"/>
      <w:lvlText w:val="%8)"/>
      <w:lvlJc w:val="left"/>
      <w:pPr>
        <w:tabs>
          <w:tab w:val="num" w:pos="7742"/>
        </w:tabs>
        <w:ind w:left="8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20643E">
      <w:start w:val="1"/>
      <w:numFmt w:val="lowerLetter"/>
      <w:lvlText w:val="%9)"/>
      <w:lvlJc w:val="left"/>
      <w:pPr>
        <w:tabs>
          <w:tab w:val="num" w:pos="8742"/>
        </w:tabs>
        <w:ind w:left="9167" w:hanging="74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8" w15:restartNumberingAfterBreak="0">
    <w:nsid w:val="74E41C76"/>
    <w:multiLevelType w:val="hybridMultilevel"/>
    <w:tmpl w:val="CAFEFDF6"/>
    <w:lvl w:ilvl="0" w:tplc="532AF5C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770305ED"/>
    <w:multiLevelType w:val="hybridMultilevel"/>
    <w:tmpl w:val="F7E842CC"/>
    <w:lvl w:ilvl="0" w:tplc="5406DF30">
      <w:start w:val="1"/>
      <w:numFmt w:val="decimal"/>
      <w:lvlText w:val="%1."/>
      <w:lvlJc w:val="left"/>
      <w:pPr>
        <w:ind w:left="1211" w:hanging="360"/>
      </w:pPr>
    </w:lvl>
    <w:lvl w:ilvl="1" w:tplc="080A0019">
      <w:start w:val="1"/>
      <w:numFmt w:val="lowerLetter"/>
      <w:lvlText w:val="%2."/>
      <w:lvlJc w:val="left"/>
      <w:pPr>
        <w:ind w:left="1931" w:hanging="360"/>
      </w:pPr>
    </w:lvl>
    <w:lvl w:ilvl="2" w:tplc="080A001B">
      <w:start w:val="1"/>
      <w:numFmt w:val="lowerRoman"/>
      <w:pStyle w:val="atrib-fracc"/>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120" w15:restartNumberingAfterBreak="0">
    <w:nsid w:val="774A31AA"/>
    <w:multiLevelType w:val="hybridMultilevel"/>
    <w:tmpl w:val="141CE8D6"/>
    <w:lvl w:ilvl="0" w:tplc="D530454C">
      <w:start w:val="1"/>
      <w:numFmt w:val="decimal"/>
      <w:pStyle w:val="numero"/>
      <w:lvlText w:val="%1."/>
      <w:lvlJc w:val="left"/>
      <w:pPr>
        <w:tabs>
          <w:tab w:val="num" w:pos="700"/>
        </w:tabs>
        <w:ind w:left="70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1" w15:restartNumberingAfterBreak="0">
    <w:nsid w:val="77BC42C5"/>
    <w:multiLevelType w:val="hybridMultilevel"/>
    <w:tmpl w:val="D40A4020"/>
    <w:lvl w:ilvl="0" w:tplc="8BD04A20">
      <w:start w:val="1"/>
      <w:numFmt w:val="upperRoman"/>
      <w:pStyle w:val="fraccion2"/>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77EA2333"/>
    <w:multiLevelType w:val="multilevel"/>
    <w:tmpl w:val="2B5A7B3A"/>
    <w:styleLink w:val="List1"/>
    <w:lvl w:ilvl="0">
      <w:numFmt w:val="bullet"/>
      <w:lvlText w:val="•"/>
      <w:lvlJc w:val="left"/>
      <w:pPr>
        <w:tabs>
          <w:tab w:val="num" w:pos="720"/>
        </w:tabs>
        <w:ind w:left="720" w:hanging="360"/>
      </w:pPr>
      <w:rPr>
        <w:b/>
        <w:bCs/>
        <w:i/>
        <w:iCs/>
        <w:position w:val="0"/>
        <w:sz w:val="22"/>
        <w:szCs w:val="22"/>
      </w:rPr>
    </w:lvl>
    <w:lvl w:ilvl="1">
      <w:start w:val="1"/>
      <w:numFmt w:val="bullet"/>
      <w:lvlText w:val="o"/>
      <w:lvlJc w:val="left"/>
      <w:pPr>
        <w:tabs>
          <w:tab w:val="num" w:pos="1440"/>
        </w:tabs>
        <w:ind w:left="1440" w:hanging="360"/>
      </w:pPr>
      <w:rPr>
        <w:b/>
        <w:bCs/>
        <w:i/>
        <w:iCs/>
        <w:position w:val="0"/>
        <w:sz w:val="24"/>
        <w:szCs w:val="24"/>
      </w:rPr>
    </w:lvl>
    <w:lvl w:ilvl="2">
      <w:start w:val="1"/>
      <w:numFmt w:val="bullet"/>
      <w:lvlText w:val="▪"/>
      <w:lvlJc w:val="left"/>
      <w:pPr>
        <w:tabs>
          <w:tab w:val="num" w:pos="2160"/>
        </w:tabs>
        <w:ind w:left="2160" w:hanging="360"/>
      </w:pPr>
      <w:rPr>
        <w:b/>
        <w:bCs/>
        <w:i/>
        <w:iCs/>
        <w:position w:val="0"/>
        <w:sz w:val="24"/>
        <w:szCs w:val="24"/>
      </w:rPr>
    </w:lvl>
    <w:lvl w:ilvl="3">
      <w:start w:val="1"/>
      <w:numFmt w:val="bullet"/>
      <w:lvlText w:val="•"/>
      <w:lvlJc w:val="left"/>
      <w:pPr>
        <w:tabs>
          <w:tab w:val="num" w:pos="2880"/>
        </w:tabs>
        <w:ind w:left="2880" w:hanging="360"/>
      </w:pPr>
      <w:rPr>
        <w:b/>
        <w:bCs/>
        <w:i/>
        <w:iCs/>
        <w:position w:val="0"/>
        <w:sz w:val="24"/>
        <w:szCs w:val="24"/>
      </w:rPr>
    </w:lvl>
    <w:lvl w:ilvl="4">
      <w:start w:val="1"/>
      <w:numFmt w:val="bullet"/>
      <w:lvlText w:val="o"/>
      <w:lvlJc w:val="left"/>
      <w:pPr>
        <w:tabs>
          <w:tab w:val="num" w:pos="3600"/>
        </w:tabs>
        <w:ind w:left="3600" w:hanging="360"/>
      </w:pPr>
      <w:rPr>
        <w:b/>
        <w:bCs/>
        <w:i/>
        <w:iCs/>
        <w:position w:val="0"/>
        <w:sz w:val="24"/>
        <w:szCs w:val="24"/>
      </w:rPr>
    </w:lvl>
    <w:lvl w:ilvl="5">
      <w:start w:val="1"/>
      <w:numFmt w:val="bullet"/>
      <w:lvlText w:val="▪"/>
      <w:lvlJc w:val="left"/>
      <w:pPr>
        <w:tabs>
          <w:tab w:val="num" w:pos="4320"/>
        </w:tabs>
        <w:ind w:left="4320" w:hanging="360"/>
      </w:pPr>
      <w:rPr>
        <w:b/>
        <w:bCs/>
        <w:i/>
        <w:iCs/>
        <w:position w:val="0"/>
        <w:sz w:val="24"/>
        <w:szCs w:val="24"/>
      </w:rPr>
    </w:lvl>
    <w:lvl w:ilvl="6">
      <w:start w:val="1"/>
      <w:numFmt w:val="bullet"/>
      <w:lvlText w:val="•"/>
      <w:lvlJc w:val="left"/>
      <w:pPr>
        <w:tabs>
          <w:tab w:val="num" w:pos="5040"/>
        </w:tabs>
        <w:ind w:left="5040" w:hanging="360"/>
      </w:pPr>
      <w:rPr>
        <w:b/>
        <w:bCs/>
        <w:i/>
        <w:iCs/>
        <w:position w:val="0"/>
        <w:sz w:val="24"/>
        <w:szCs w:val="24"/>
      </w:rPr>
    </w:lvl>
    <w:lvl w:ilvl="7">
      <w:start w:val="1"/>
      <w:numFmt w:val="bullet"/>
      <w:lvlText w:val="o"/>
      <w:lvlJc w:val="left"/>
      <w:pPr>
        <w:tabs>
          <w:tab w:val="num" w:pos="5760"/>
        </w:tabs>
        <w:ind w:left="5760" w:hanging="360"/>
      </w:pPr>
      <w:rPr>
        <w:b/>
        <w:bCs/>
        <w:i/>
        <w:iCs/>
        <w:position w:val="0"/>
        <w:sz w:val="24"/>
        <w:szCs w:val="24"/>
      </w:rPr>
    </w:lvl>
    <w:lvl w:ilvl="8">
      <w:start w:val="1"/>
      <w:numFmt w:val="bullet"/>
      <w:lvlText w:val="▪"/>
      <w:lvlJc w:val="left"/>
      <w:pPr>
        <w:tabs>
          <w:tab w:val="num" w:pos="6480"/>
        </w:tabs>
        <w:ind w:left="6480" w:hanging="360"/>
      </w:pPr>
      <w:rPr>
        <w:b/>
        <w:bCs/>
        <w:i/>
        <w:iCs/>
        <w:position w:val="0"/>
        <w:sz w:val="24"/>
        <w:szCs w:val="24"/>
      </w:rPr>
    </w:lvl>
  </w:abstractNum>
  <w:abstractNum w:abstractNumId="123" w15:restartNumberingAfterBreak="0">
    <w:nsid w:val="787915DA"/>
    <w:multiLevelType w:val="multilevel"/>
    <w:tmpl w:val="F31CFD4C"/>
    <w:styleLink w:val="List6"/>
    <w:lvl w:ilvl="0">
      <w:start w:val="1"/>
      <w:numFmt w:val="lowerLetter"/>
      <w:lvlText w:val="%1)"/>
      <w:lvlJc w:val="left"/>
      <w:pPr>
        <w:ind w:left="0" w:firstLine="0"/>
      </w:pPr>
      <w:rPr>
        <w:rFonts w:ascii="Trebuchet MS Bold" w:eastAsia="Trebuchet MS Bold" w:hAnsi="Trebuchet MS Bold" w:cs="Trebuchet MS Bold"/>
        <w:b/>
        <w:bCs/>
        <w:position w:val="0"/>
      </w:rPr>
    </w:lvl>
    <w:lvl w:ilvl="1">
      <w:start w:val="1"/>
      <w:numFmt w:val="lowerLetter"/>
      <w:lvlText w:val="%2."/>
      <w:lvlJc w:val="left"/>
      <w:pPr>
        <w:ind w:left="0" w:firstLine="0"/>
      </w:pPr>
      <w:rPr>
        <w:rFonts w:ascii="Calibri" w:eastAsia="Calibri" w:hAnsi="Calibri" w:cs="Calibri"/>
        <w:b/>
        <w:bCs/>
        <w:position w:val="0"/>
      </w:rPr>
    </w:lvl>
    <w:lvl w:ilvl="2">
      <w:start w:val="1"/>
      <w:numFmt w:val="lowerRoman"/>
      <w:lvlText w:val="%3."/>
      <w:lvlJc w:val="left"/>
      <w:pPr>
        <w:ind w:left="0" w:firstLine="0"/>
      </w:pPr>
      <w:rPr>
        <w:rFonts w:ascii="Calibri" w:eastAsia="Calibri" w:hAnsi="Calibri" w:cs="Calibri"/>
        <w:b/>
        <w:bCs/>
        <w:position w:val="0"/>
      </w:rPr>
    </w:lvl>
    <w:lvl w:ilvl="3">
      <w:start w:val="1"/>
      <w:numFmt w:val="decimal"/>
      <w:lvlText w:val="%4."/>
      <w:lvlJc w:val="left"/>
      <w:pPr>
        <w:ind w:left="0" w:firstLine="0"/>
      </w:pPr>
      <w:rPr>
        <w:rFonts w:ascii="Calibri" w:eastAsia="Calibri" w:hAnsi="Calibri" w:cs="Calibri"/>
        <w:b/>
        <w:bCs/>
        <w:position w:val="0"/>
      </w:rPr>
    </w:lvl>
    <w:lvl w:ilvl="4">
      <w:start w:val="1"/>
      <w:numFmt w:val="lowerLetter"/>
      <w:lvlText w:val="%5."/>
      <w:lvlJc w:val="left"/>
      <w:pPr>
        <w:ind w:left="0" w:firstLine="0"/>
      </w:pPr>
      <w:rPr>
        <w:rFonts w:ascii="Calibri" w:eastAsia="Calibri" w:hAnsi="Calibri" w:cs="Calibri"/>
        <w:b/>
        <w:bCs/>
        <w:position w:val="0"/>
      </w:rPr>
    </w:lvl>
    <w:lvl w:ilvl="5">
      <w:start w:val="1"/>
      <w:numFmt w:val="lowerRoman"/>
      <w:lvlText w:val="%6."/>
      <w:lvlJc w:val="left"/>
      <w:pPr>
        <w:ind w:left="0" w:firstLine="0"/>
      </w:pPr>
      <w:rPr>
        <w:rFonts w:ascii="Calibri" w:eastAsia="Calibri" w:hAnsi="Calibri" w:cs="Calibri"/>
        <w:b/>
        <w:bCs/>
        <w:position w:val="0"/>
      </w:rPr>
    </w:lvl>
    <w:lvl w:ilvl="6">
      <w:start w:val="1"/>
      <w:numFmt w:val="decimal"/>
      <w:lvlText w:val="%7."/>
      <w:lvlJc w:val="left"/>
      <w:pPr>
        <w:ind w:left="0" w:firstLine="0"/>
      </w:pPr>
      <w:rPr>
        <w:rFonts w:ascii="Calibri" w:eastAsia="Calibri" w:hAnsi="Calibri" w:cs="Calibri"/>
        <w:b/>
        <w:bCs/>
        <w:position w:val="0"/>
      </w:rPr>
    </w:lvl>
    <w:lvl w:ilvl="7">
      <w:start w:val="1"/>
      <w:numFmt w:val="lowerLetter"/>
      <w:lvlText w:val="%8."/>
      <w:lvlJc w:val="left"/>
      <w:pPr>
        <w:ind w:left="0" w:firstLine="0"/>
      </w:pPr>
      <w:rPr>
        <w:rFonts w:ascii="Calibri" w:eastAsia="Calibri" w:hAnsi="Calibri" w:cs="Calibri"/>
        <w:b/>
        <w:bCs/>
        <w:position w:val="0"/>
      </w:rPr>
    </w:lvl>
    <w:lvl w:ilvl="8">
      <w:start w:val="1"/>
      <w:numFmt w:val="lowerRoman"/>
      <w:lvlText w:val="%9."/>
      <w:lvlJc w:val="left"/>
      <w:pPr>
        <w:ind w:left="0" w:firstLine="0"/>
      </w:pPr>
      <w:rPr>
        <w:rFonts w:ascii="Calibri" w:eastAsia="Calibri" w:hAnsi="Calibri" w:cs="Calibri"/>
        <w:b/>
        <w:bCs/>
        <w:position w:val="0"/>
      </w:rPr>
    </w:lvl>
  </w:abstractNum>
  <w:abstractNum w:abstractNumId="124" w15:restartNumberingAfterBreak="0">
    <w:nsid w:val="78BE6CC3"/>
    <w:multiLevelType w:val="hybridMultilevel"/>
    <w:tmpl w:val="193C5A08"/>
    <w:lvl w:ilvl="0" w:tplc="565C6754">
      <w:start w:val="1"/>
      <w:numFmt w:val="bullet"/>
      <w:pStyle w:val="vieta"/>
      <w:lvlText w:val=""/>
      <w:lvlJc w:val="left"/>
      <w:pPr>
        <w:tabs>
          <w:tab w:val="num" w:pos="907"/>
        </w:tabs>
        <w:ind w:left="907" w:hanging="397"/>
      </w:pPr>
      <w:rPr>
        <w:rFonts w:ascii="Symbol" w:hAnsi="Symbol" w:cs="Times New Roman" w:hint="default"/>
      </w:rPr>
    </w:lvl>
    <w:lvl w:ilvl="1" w:tplc="5ACE2DD6">
      <w:start w:val="1"/>
      <w:numFmt w:val="bullet"/>
      <w:lvlText w:val=""/>
      <w:lvlJc w:val="left"/>
      <w:pPr>
        <w:tabs>
          <w:tab w:val="num" w:pos="1477"/>
        </w:tabs>
        <w:ind w:left="1477" w:hanging="397"/>
      </w:pPr>
      <w:rPr>
        <w:rFonts w:ascii="Symbol" w:hAnsi="Symbol" w:hint="default"/>
        <w:sz w:val="16"/>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5" w15:restartNumberingAfterBreak="0">
    <w:nsid w:val="79726AE4"/>
    <w:multiLevelType w:val="hybridMultilevel"/>
    <w:tmpl w:val="B9D8141C"/>
    <w:lvl w:ilvl="0" w:tplc="CA9EBF00">
      <w:start w:val="1"/>
      <w:numFmt w:val="upperRoman"/>
      <w:pStyle w:val="FRACC-ATRIB"/>
      <w:lvlText w:val="%1."/>
      <w:lvlJc w:val="left"/>
      <w:pPr>
        <w:ind w:left="720" w:hanging="72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6" w15:restartNumberingAfterBreak="0">
    <w:nsid w:val="7B7F1669"/>
    <w:multiLevelType w:val="hybridMultilevel"/>
    <w:tmpl w:val="12CCA20A"/>
    <w:lvl w:ilvl="0" w:tplc="CD721192">
      <w:start w:val="1"/>
      <w:numFmt w:val="bullet"/>
      <w:pStyle w:val="FUNCIN8"/>
      <w:lvlText w:val="–"/>
      <w:lvlJc w:val="left"/>
      <w:pPr>
        <w:ind w:left="720" w:hanging="360"/>
      </w:pPr>
      <w:rPr>
        <w:rFonts w:ascii="HelveticaNeueLT Std Med Cn" w:eastAsia="Arial" w:hAnsi="HelveticaNeueLT Std Med Cn" w:hint="default"/>
        <w:w w:val="197"/>
        <w:sz w:val="13"/>
        <w:szCs w:val="13"/>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7" w15:restartNumberingAfterBreak="0">
    <w:nsid w:val="7C993A69"/>
    <w:multiLevelType w:val="hybridMultilevel"/>
    <w:tmpl w:val="EF54F2CE"/>
    <w:styleLink w:val="1111114"/>
    <w:lvl w:ilvl="0" w:tplc="59207830">
      <w:start w:val="1"/>
      <w:numFmt w:val="upperLetter"/>
      <w:lvlText w:val="%1)"/>
      <w:lvlJc w:val="left"/>
      <w:pPr>
        <w:ind w:left="218" w:hanging="360"/>
      </w:pPr>
      <w:rPr>
        <w:b/>
      </w:rPr>
    </w:lvl>
    <w:lvl w:ilvl="1" w:tplc="0C0A0019">
      <w:start w:val="1"/>
      <w:numFmt w:val="lowerLetter"/>
      <w:lvlText w:val="%2."/>
      <w:lvlJc w:val="left"/>
      <w:pPr>
        <w:ind w:left="938" w:hanging="360"/>
      </w:pPr>
    </w:lvl>
    <w:lvl w:ilvl="2" w:tplc="0C0A001B">
      <w:start w:val="1"/>
      <w:numFmt w:val="lowerRoman"/>
      <w:lvlText w:val="%3."/>
      <w:lvlJc w:val="right"/>
      <w:pPr>
        <w:ind w:left="1658" w:hanging="180"/>
      </w:pPr>
    </w:lvl>
    <w:lvl w:ilvl="3" w:tplc="0C0A000F">
      <w:start w:val="1"/>
      <w:numFmt w:val="decimal"/>
      <w:lvlText w:val="%4."/>
      <w:lvlJc w:val="left"/>
      <w:pPr>
        <w:ind w:left="2378" w:hanging="360"/>
      </w:pPr>
    </w:lvl>
    <w:lvl w:ilvl="4" w:tplc="0C0A0019">
      <w:start w:val="1"/>
      <w:numFmt w:val="lowerLetter"/>
      <w:lvlText w:val="%5."/>
      <w:lvlJc w:val="left"/>
      <w:pPr>
        <w:ind w:left="3098" w:hanging="360"/>
      </w:pPr>
    </w:lvl>
    <w:lvl w:ilvl="5" w:tplc="0C0A001B">
      <w:start w:val="1"/>
      <w:numFmt w:val="lowerRoman"/>
      <w:lvlText w:val="%6."/>
      <w:lvlJc w:val="right"/>
      <w:pPr>
        <w:ind w:left="3818" w:hanging="180"/>
      </w:pPr>
    </w:lvl>
    <w:lvl w:ilvl="6" w:tplc="0C0A000F">
      <w:start w:val="1"/>
      <w:numFmt w:val="decimal"/>
      <w:lvlText w:val="%7."/>
      <w:lvlJc w:val="left"/>
      <w:pPr>
        <w:ind w:left="4538" w:hanging="360"/>
      </w:pPr>
    </w:lvl>
    <w:lvl w:ilvl="7" w:tplc="0C0A0019">
      <w:start w:val="1"/>
      <w:numFmt w:val="lowerLetter"/>
      <w:lvlText w:val="%8."/>
      <w:lvlJc w:val="left"/>
      <w:pPr>
        <w:ind w:left="5258" w:hanging="360"/>
      </w:pPr>
    </w:lvl>
    <w:lvl w:ilvl="8" w:tplc="0C0A001B">
      <w:start w:val="1"/>
      <w:numFmt w:val="lowerRoman"/>
      <w:lvlText w:val="%9."/>
      <w:lvlJc w:val="right"/>
      <w:pPr>
        <w:ind w:left="5978" w:hanging="180"/>
      </w:pPr>
    </w:lvl>
  </w:abstractNum>
  <w:abstractNum w:abstractNumId="128" w15:restartNumberingAfterBreak="0">
    <w:nsid w:val="7DCC53AA"/>
    <w:multiLevelType w:val="multilevel"/>
    <w:tmpl w:val="49D00A24"/>
    <w:styleLink w:val="Estilo13"/>
    <w:lvl w:ilvl="0">
      <w:start w:val="6"/>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7DF20213"/>
    <w:multiLevelType w:val="hybridMultilevel"/>
    <w:tmpl w:val="BB1497C4"/>
    <w:lvl w:ilvl="0" w:tplc="080A000B">
      <w:start w:val="1"/>
      <w:numFmt w:val="bullet"/>
      <w:lvlText w:val=""/>
      <w:lvlJc w:val="left"/>
      <w:pPr>
        <w:ind w:left="1080" w:hanging="360"/>
      </w:pPr>
      <w:rPr>
        <w:rFonts w:ascii="Wingdings" w:hAnsi="Wingdings" w:hint="default"/>
      </w:rPr>
    </w:lvl>
    <w:lvl w:ilvl="1" w:tplc="AD4E20CA">
      <w:start w:val="1"/>
      <w:numFmt w:val="bullet"/>
      <w:pStyle w:val="bulletJBG3"/>
      <w:lvlText w:val="*"/>
      <w:lvlJc w:val="left"/>
      <w:pPr>
        <w:ind w:left="1800" w:hanging="360"/>
      </w:pPr>
      <w:rPr>
        <w:rFonts w:ascii="Courier New" w:hAnsi="Courier New" w:cs="Times New Roman"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130" w15:restartNumberingAfterBreak="0">
    <w:nsid w:val="7DF440BB"/>
    <w:multiLevelType w:val="hybridMultilevel"/>
    <w:tmpl w:val="865CF4E8"/>
    <w:lvl w:ilvl="0" w:tplc="EAAA2336">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15:restartNumberingAfterBreak="0">
    <w:nsid w:val="7EE2677B"/>
    <w:multiLevelType w:val="hybridMultilevel"/>
    <w:tmpl w:val="37F8B4BA"/>
    <w:lvl w:ilvl="0" w:tplc="FFFFFFFF">
      <w:start w:val="1"/>
      <w:numFmt w:val="bullet"/>
      <w:lvlText w:val=""/>
      <w:lvlJc w:val="left"/>
      <w:pPr>
        <w:ind w:left="720" w:hanging="360"/>
      </w:pPr>
      <w:rPr>
        <w:rFonts w:ascii="Symbol" w:hAnsi="Symbol" w:hint="default"/>
      </w:rPr>
    </w:lvl>
    <w:lvl w:ilvl="1" w:tplc="EC1221EC">
      <w:start w:val="1"/>
      <w:numFmt w:val="bullet"/>
      <w:pStyle w:val="valores"/>
      <w:lvlText w:val=""/>
      <w:lvlJc w:val="left"/>
      <w:pPr>
        <w:ind w:left="1440" w:hanging="360"/>
      </w:pPr>
      <w:rPr>
        <w:rFonts w:ascii="Symbol" w:hAnsi="Symbol" w:hint="default"/>
        <w:sz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7FAE0F7E"/>
    <w:multiLevelType w:val="hybridMultilevel"/>
    <w:tmpl w:val="0BAE96DA"/>
    <w:lvl w:ilvl="0" w:tplc="9BD818E0">
      <w:start w:val="1"/>
      <w:numFmt w:val="bullet"/>
      <w:pStyle w:val="BASE1"/>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65"/>
  </w:num>
  <w:num w:numId="3">
    <w:abstractNumId w:val="80"/>
  </w:num>
  <w:num w:numId="4">
    <w:abstractNumId w:val="110"/>
  </w:num>
  <w:num w:numId="5">
    <w:abstractNumId w:val="100"/>
  </w:num>
  <w:num w:numId="6">
    <w:abstractNumId w:val="91"/>
  </w:num>
  <w:num w:numId="7">
    <w:abstractNumId w:val="82"/>
  </w:num>
  <w:num w:numId="8">
    <w:abstractNumId w:val="103"/>
  </w:num>
  <w:num w:numId="9">
    <w:abstractNumId w:val="79"/>
  </w:num>
  <w:num w:numId="10">
    <w:abstractNumId w:val="33"/>
  </w:num>
  <w:num w:numId="11">
    <w:abstractNumId w:val="28"/>
  </w:num>
  <w:num w:numId="12">
    <w:abstractNumId w:val="66"/>
  </w:num>
  <w:num w:numId="13">
    <w:abstractNumId w:val="45"/>
  </w:num>
  <w:num w:numId="14">
    <w:abstractNumId w:val="30"/>
  </w:num>
  <w:num w:numId="15">
    <w:abstractNumId w:val="14"/>
  </w:num>
  <w:num w:numId="16">
    <w:abstractNumId w:val="31"/>
  </w:num>
  <w:num w:numId="17">
    <w:abstractNumId w:val="118"/>
  </w:num>
  <w:num w:numId="18">
    <w:abstractNumId w:val="130"/>
  </w:num>
  <w:num w:numId="19">
    <w:abstractNumId w:val="20"/>
  </w:num>
  <w:num w:numId="20">
    <w:abstractNumId w:val="74"/>
  </w:num>
  <w:num w:numId="21">
    <w:abstractNumId w:val="88"/>
  </w:num>
  <w:num w:numId="22">
    <w:abstractNumId w:val="3"/>
  </w:num>
  <w:num w:numId="23">
    <w:abstractNumId w:val="124"/>
  </w:num>
  <w:num w:numId="24">
    <w:abstractNumId w:val="121"/>
  </w:num>
  <w:num w:numId="25">
    <w:abstractNumId w:val="48"/>
  </w:num>
  <w:num w:numId="26">
    <w:abstractNumId w:val="132"/>
  </w:num>
  <w:num w:numId="27">
    <w:abstractNumId w:val="54"/>
  </w:num>
  <w:num w:numId="28">
    <w:abstractNumId w:val="2"/>
  </w:num>
  <w:num w:numId="29">
    <w:abstractNumId w:val="1"/>
    <w:lvlOverride w:ilvl="0">
      <w:startOverride w:val="1"/>
    </w:lvlOverride>
  </w:num>
  <w:num w:numId="30">
    <w:abstractNumId w:val="0"/>
    <w:lvlOverride w:ilvl="0">
      <w:startOverride w:val="1"/>
    </w:lvlOverride>
  </w:num>
  <w:num w:numId="3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5"/>
  </w:num>
  <w:num w:numId="35">
    <w:abstractNumId w:val="101"/>
  </w:num>
  <w:num w:numId="36">
    <w:abstractNumId w:val="23"/>
  </w:num>
  <w:num w:numId="37">
    <w:abstractNumId w:val="36"/>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3"/>
  </w:num>
  <w:num w:numId="40">
    <w:abstractNumId w:val="50"/>
  </w:num>
  <w:num w:numId="41">
    <w:abstractNumId w:val="38"/>
  </w:num>
  <w:num w:numId="42">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0"/>
  </w:num>
  <w:num w:numId="45">
    <w:abstractNumId w:val="95"/>
  </w:num>
  <w:num w:numId="4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6"/>
  </w:num>
  <w:num w:numId="51">
    <w:abstractNumId w:val="67"/>
  </w:num>
  <w:num w:numId="52">
    <w:abstractNumId w:val="55"/>
  </w:num>
  <w:num w:numId="53">
    <w:abstractNumId w:val="129"/>
  </w:num>
  <w:num w:numId="5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11"/>
    <w:lvlOverride w:ilvl="0">
      <w:startOverride w:val="1"/>
    </w:lvlOverride>
  </w:num>
  <w:num w:numId="61">
    <w:abstractNumId w:val="21"/>
  </w:num>
  <w:num w:numId="62">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5"/>
  </w:num>
  <w:num w:numId="6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2"/>
  </w:num>
  <w:num w:numId="69">
    <w:abstractNumId w:val="126"/>
  </w:num>
  <w:num w:numId="7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num>
  <w:num w:numId="73">
    <w:abstractNumId w:val="10"/>
  </w:num>
  <w:num w:numId="74">
    <w:abstractNumId w:val="12"/>
  </w:num>
  <w:num w:numId="75">
    <w:abstractNumId w:val="17"/>
  </w:num>
  <w:num w:numId="76">
    <w:abstractNumId w:val="22"/>
  </w:num>
  <w:num w:numId="77">
    <w:abstractNumId w:val="24"/>
  </w:num>
  <w:num w:numId="78">
    <w:abstractNumId w:val="25"/>
  </w:num>
  <w:num w:numId="79">
    <w:abstractNumId w:val="26"/>
  </w:num>
  <w:num w:numId="80">
    <w:abstractNumId w:val="29"/>
  </w:num>
  <w:num w:numId="81">
    <w:abstractNumId w:val="40"/>
  </w:num>
  <w:num w:numId="82">
    <w:abstractNumId w:val="41"/>
  </w:num>
  <w:num w:numId="83">
    <w:abstractNumId w:val="47"/>
  </w:num>
  <w:num w:numId="84">
    <w:abstractNumId w:val="49"/>
  </w:num>
  <w:num w:numId="85">
    <w:abstractNumId w:val="51"/>
  </w:num>
  <w:num w:numId="86">
    <w:abstractNumId w:val="53"/>
  </w:num>
  <w:num w:numId="87">
    <w:abstractNumId w:val="56"/>
  </w:num>
  <w:num w:numId="88">
    <w:abstractNumId w:val="58"/>
  </w:num>
  <w:num w:numId="89">
    <w:abstractNumId w:val="59"/>
  </w:num>
  <w:num w:numId="90">
    <w:abstractNumId w:val="60"/>
  </w:num>
  <w:num w:numId="91">
    <w:abstractNumId w:val="62"/>
  </w:num>
  <w:num w:numId="92">
    <w:abstractNumId w:val="71"/>
  </w:num>
  <w:num w:numId="93">
    <w:abstractNumId w:val="75"/>
  </w:num>
  <w:num w:numId="94">
    <w:abstractNumId w:val="76"/>
  </w:num>
  <w:num w:numId="95">
    <w:abstractNumId w:val="81"/>
  </w:num>
  <w:num w:numId="96">
    <w:abstractNumId w:val="84"/>
  </w:num>
  <w:num w:numId="97">
    <w:abstractNumId w:val="85"/>
  </w:num>
  <w:num w:numId="98">
    <w:abstractNumId w:val="87"/>
  </w:num>
  <w:num w:numId="99">
    <w:abstractNumId w:val="89"/>
  </w:num>
  <w:num w:numId="100">
    <w:abstractNumId w:val="92"/>
  </w:num>
  <w:num w:numId="101">
    <w:abstractNumId w:val="93"/>
  </w:num>
  <w:num w:numId="102">
    <w:abstractNumId w:val="97"/>
  </w:num>
  <w:num w:numId="103">
    <w:abstractNumId w:val="99"/>
  </w:num>
  <w:num w:numId="104">
    <w:abstractNumId w:val="102"/>
  </w:num>
  <w:num w:numId="105">
    <w:abstractNumId w:val="106"/>
  </w:num>
  <w:num w:numId="106">
    <w:abstractNumId w:val="107"/>
  </w:num>
  <w:num w:numId="107">
    <w:abstractNumId w:val="109"/>
  </w:num>
  <w:num w:numId="108">
    <w:abstractNumId w:val="114"/>
  </w:num>
  <w:num w:numId="109">
    <w:abstractNumId w:val="115"/>
  </w:num>
  <w:num w:numId="110">
    <w:abstractNumId w:val="116"/>
  </w:num>
  <w:num w:numId="111">
    <w:abstractNumId w:val="117"/>
  </w:num>
  <w:num w:numId="112">
    <w:abstractNumId w:val="122"/>
  </w:num>
  <w:num w:numId="113">
    <w:abstractNumId w:val="123"/>
  </w:num>
  <w:num w:numId="114">
    <w:abstractNumId w:val="127"/>
  </w:num>
  <w:num w:numId="115">
    <w:abstractNumId w:val="128"/>
  </w:num>
  <w:num w:numId="116">
    <w:abstractNumId w:val="16"/>
  </w:num>
  <w:num w:numId="117">
    <w:abstractNumId w:val="68"/>
  </w:num>
  <w:num w:numId="118">
    <w:abstractNumId w:val="104"/>
  </w:num>
  <w:num w:numId="119">
    <w:abstractNumId w:val="131"/>
  </w:num>
  <w:num w:numId="120">
    <w:abstractNumId w:val="27"/>
  </w:num>
  <w:num w:numId="121">
    <w:abstractNumId w:val="18"/>
  </w:num>
  <w:num w:numId="122">
    <w:abstractNumId w:val="6"/>
  </w:num>
  <w:num w:numId="123">
    <w:abstractNumId w:val="4"/>
    <w:lvlOverride w:ilvl="0">
      <w:lvl w:ilvl="0">
        <w:start w:val="1"/>
        <w:numFmt w:val="bullet"/>
        <w:pStyle w:val="BASEL1"/>
        <w:lvlText w:val=""/>
        <w:legacy w:legacy="1" w:legacySpace="0" w:legacyIndent="283"/>
        <w:lvlJc w:val="left"/>
        <w:pPr>
          <w:ind w:left="283" w:hanging="283"/>
        </w:pPr>
        <w:rPr>
          <w:rFonts w:ascii="Symbol" w:hAnsi="Symbol" w:hint="default"/>
          <w:b/>
        </w:rPr>
      </w:lvl>
    </w:lvlOverride>
  </w:num>
  <w:num w:numId="124">
    <w:abstractNumId w:val="63"/>
  </w:num>
  <w:num w:numId="125">
    <w:abstractNumId w:val="8"/>
  </w:num>
  <w:num w:numId="126">
    <w:abstractNumId w:val="90"/>
  </w:num>
  <w:num w:numId="127">
    <w:abstractNumId w:val="57"/>
  </w:num>
  <w:num w:numId="128">
    <w:abstractNumId w:val="78"/>
  </w:num>
  <w:num w:numId="129">
    <w:abstractNumId w:val="52"/>
  </w:num>
  <w:num w:numId="130">
    <w:abstractNumId w:val="32"/>
  </w:num>
  <w:num w:numId="131">
    <w:abstractNumId w:val="73"/>
  </w:num>
  <w:num w:numId="132">
    <w:abstractNumId w:val="94"/>
  </w:num>
  <w:num w:numId="133">
    <w:abstractNumId w:val="7"/>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3460"/>
    <w:rsid w:val="00015216"/>
    <w:rsid w:val="000242D0"/>
    <w:rsid w:val="0003030A"/>
    <w:rsid w:val="0003232C"/>
    <w:rsid w:val="00034C8A"/>
    <w:rsid w:val="000374D1"/>
    <w:rsid w:val="0004034F"/>
    <w:rsid w:val="00061AE9"/>
    <w:rsid w:val="000732B9"/>
    <w:rsid w:val="00077D87"/>
    <w:rsid w:val="00096895"/>
    <w:rsid w:val="000A227D"/>
    <w:rsid w:val="000C360C"/>
    <w:rsid w:val="000C5C27"/>
    <w:rsid w:val="000C639D"/>
    <w:rsid w:val="000D6E64"/>
    <w:rsid w:val="000F28BF"/>
    <w:rsid w:val="000F369C"/>
    <w:rsid w:val="000F3916"/>
    <w:rsid w:val="00101934"/>
    <w:rsid w:val="00105D86"/>
    <w:rsid w:val="001105DF"/>
    <w:rsid w:val="00113945"/>
    <w:rsid w:val="00114A32"/>
    <w:rsid w:val="00115A01"/>
    <w:rsid w:val="001243C5"/>
    <w:rsid w:val="001251DB"/>
    <w:rsid w:val="0013313E"/>
    <w:rsid w:val="00143B4D"/>
    <w:rsid w:val="00146FA6"/>
    <w:rsid w:val="001531E2"/>
    <w:rsid w:val="00154310"/>
    <w:rsid w:val="0016226B"/>
    <w:rsid w:val="001634B4"/>
    <w:rsid w:val="00163EE4"/>
    <w:rsid w:val="00177FDA"/>
    <w:rsid w:val="00180B3F"/>
    <w:rsid w:val="00184FEB"/>
    <w:rsid w:val="00185050"/>
    <w:rsid w:val="0018690B"/>
    <w:rsid w:val="0018751D"/>
    <w:rsid w:val="0019220B"/>
    <w:rsid w:val="001936D3"/>
    <w:rsid w:val="001A03F6"/>
    <w:rsid w:val="001A0564"/>
    <w:rsid w:val="001A770F"/>
    <w:rsid w:val="001B4712"/>
    <w:rsid w:val="001C2A8F"/>
    <w:rsid w:val="001C32A9"/>
    <w:rsid w:val="001C3978"/>
    <w:rsid w:val="001C648F"/>
    <w:rsid w:val="001D0C83"/>
    <w:rsid w:val="001D1311"/>
    <w:rsid w:val="001D5376"/>
    <w:rsid w:val="001E5E0F"/>
    <w:rsid w:val="001F2DBB"/>
    <w:rsid w:val="001F4970"/>
    <w:rsid w:val="00201677"/>
    <w:rsid w:val="00202E02"/>
    <w:rsid w:val="002039E8"/>
    <w:rsid w:val="00213D97"/>
    <w:rsid w:val="00221F89"/>
    <w:rsid w:val="00234B9A"/>
    <w:rsid w:val="002410D3"/>
    <w:rsid w:val="0024728E"/>
    <w:rsid w:val="00250194"/>
    <w:rsid w:val="0026016A"/>
    <w:rsid w:val="00261730"/>
    <w:rsid w:val="002649A4"/>
    <w:rsid w:val="00277257"/>
    <w:rsid w:val="002864FB"/>
    <w:rsid w:val="002A2B87"/>
    <w:rsid w:val="002A358C"/>
    <w:rsid w:val="002A3CA8"/>
    <w:rsid w:val="002A7592"/>
    <w:rsid w:val="002B0DC8"/>
    <w:rsid w:val="002B3D51"/>
    <w:rsid w:val="002B4554"/>
    <w:rsid w:val="002B4D72"/>
    <w:rsid w:val="002E368A"/>
    <w:rsid w:val="002E3F02"/>
    <w:rsid w:val="002F0308"/>
    <w:rsid w:val="002F0B70"/>
    <w:rsid w:val="002F5578"/>
    <w:rsid w:val="002F735D"/>
    <w:rsid w:val="0030166F"/>
    <w:rsid w:val="00301912"/>
    <w:rsid w:val="00313FFC"/>
    <w:rsid w:val="0031742C"/>
    <w:rsid w:val="00323B1A"/>
    <w:rsid w:val="00323CA7"/>
    <w:rsid w:val="00330B93"/>
    <w:rsid w:val="003505BE"/>
    <w:rsid w:val="00360D80"/>
    <w:rsid w:val="00365B59"/>
    <w:rsid w:val="0038116B"/>
    <w:rsid w:val="003843AB"/>
    <w:rsid w:val="003918AB"/>
    <w:rsid w:val="00394401"/>
    <w:rsid w:val="0039665E"/>
    <w:rsid w:val="003B224F"/>
    <w:rsid w:val="003C1FA9"/>
    <w:rsid w:val="003C5550"/>
    <w:rsid w:val="003D54B1"/>
    <w:rsid w:val="003E09F6"/>
    <w:rsid w:val="003E28E0"/>
    <w:rsid w:val="00402695"/>
    <w:rsid w:val="00433C38"/>
    <w:rsid w:val="00456C3F"/>
    <w:rsid w:val="00461F5D"/>
    <w:rsid w:val="00462C84"/>
    <w:rsid w:val="00465F3A"/>
    <w:rsid w:val="00472640"/>
    <w:rsid w:val="00475758"/>
    <w:rsid w:val="004757FA"/>
    <w:rsid w:val="00482BF3"/>
    <w:rsid w:val="004856C4"/>
    <w:rsid w:val="004858E5"/>
    <w:rsid w:val="004861B9"/>
    <w:rsid w:val="0049218A"/>
    <w:rsid w:val="004A1D22"/>
    <w:rsid w:val="004B4595"/>
    <w:rsid w:val="004C0EF7"/>
    <w:rsid w:val="004C2A73"/>
    <w:rsid w:val="004C6A1D"/>
    <w:rsid w:val="004D4A1F"/>
    <w:rsid w:val="004D4E1B"/>
    <w:rsid w:val="004F0DB9"/>
    <w:rsid w:val="004F0FFC"/>
    <w:rsid w:val="004F1E01"/>
    <w:rsid w:val="004F5958"/>
    <w:rsid w:val="00511467"/>
    <w:rsid w:val="0051201E"/>
    <w:rsid w:val="0051391A"/>
    <w:rsid w:val="005179B9"/>
    <w:rsid w:val="0052523F"/>
    <w:rsid w:val="00527015"/>
    <w:rsid w:val="00527608"/>
    <w:rsid w:val="00537789"/>
    <w:rsid w:val="00537CBA"/>
    <w:rsid w:val="00552D3F"/>
    <w:rsid w:val="00572270"/>
    <w:rsid w:val="005730C7"/>
    <w:rsid w:val="005733B4"/>
    <w:rsid w:val="005850B3"/>
    <w:rsid w:val="0059435D"/>
    <w:rsid w:val="00596B97"/>
    <w:rsid w:val="00596E36"/>
    <w:rsid w:val="005A0963"/>
    <w:rsid w:val="005A1369"/>
    <w:rsid w:val="005B2C58"/>
    <w:rsid w:val="005B565D"/>
    <w:rsid w:val="005D3F2B"/>
    <w:rsid w:val="005D54C3"/>
    <w:rsid w:val="005E683F"/>
    <w:rsid w:val="005E6D33"/>
    <w:rsid w:val="005E7C21"/>
    <w:rsid w:val="005F1546"/>
    <w:rsid w:val="005F1F14"/>
    <w:rsid w:val="005F6781"/>
    <w:rsid w:val="00600341"/>
    <w:rsid w:val="00601FAE"/>
    <w:rsid w:val="00603E6D"/>
    <w:rsid w:val="00605F7C"/>
    <w:rsid w:val="00617F4B"/>
    <w:rsid w:val="00620AC0"/>
    <w:rsid w:val="00623986"/>
    <w:rsid w:val="00632F52"/>
    <w:rsid w:val="00634930"/>
    <w:rsid w:val="006437CC"/>
    <w:rsid w:val="00644595"/>
    <w:rsid w:val="006470E4"/>
    <w:rsid w:val="00662CD1"/>
    <w:rsid w:val="0066422E"/>
    <w:rsid w:val="00667369"/>
    <w:rsid w:val="00670FEB"/>
    <w:rsid w:val="0067746A"/>
    <w:rsid w:val="00677BCA"/>
    <w:rsid w:val="00687404"/>
    <w:rsid w:val="006879C3"/>
    <w:rsid w:val="00692C86"/>
    <w:rsid w:val="006A150A"/>
    <w:rsid w:val="006A66B6"/>
    <w:rsid w:val="006B07D2"/>
    <w:rsid w:val="006B79EE"/>
    <w:rsid w:val="006C68BD"/>
    <w:rsid w:val="006D7B8F"/>
    <w:rsid w:val="006E0475"/>
    <w:rsid w:val="006E227E"/>
    <w:rsid w:val="006E73CB"/>
    <w:rsid w:val="00702A8F"/>
    <w:rsid w:val="00712C8D"/>
    <w:rsid w:val="007176F4"/>
    <w:rsid w:val="00736695"/>
    <w:rsid w:val="00736FF7"/>
    <w:rsid w:val="00737B2A"/>
    <w:rsid w:val="007804DD"/>
    <w:rsid w:val="00781AD3"/>
    <w:rsid w:val="00792EC4"/>
    <w:rsid w:val="007979E1"/>
    <w:rsid w:val="007A0303"/>
    <w:rsid w:val="007A27A5"/>
    <w:rsid w:val="007A53F6"/>
    <w:rsid w:val="007C2166"/>
    <w:rsid w:val="007C32EA"/>
    <w:rsid w:val="007C5FEC"/>
    <w:rsid w:val="007C7C48"/>
    <w:rsid w:val="007D3965"/>
    <w:rsid w:val="007D5BCB"/>
    <w:rsid w:val="007D7001"/>
    <w:rsid w:val="007E23C7"/>
    <w:rsid w:val="007F3E45"/>
    <w:rsid w:val="007F6590"/>
    <w:rsid w:val="008015C0"/>
    <w:rsid w:val="008132C4"/>
    <w:rsid w:val="0081683B"/>
    <w:rsid w:val="00821331"/>
    <w:rsid w:val="0082267A"/>
    <w:rsid w:val="0082326D"/>
    <w:rsid w:val="00826D45"/>
    <w:rsid w:val="008326F4"/>
    <w:rsid w:val="008329C4"/>
    <w:rsid w:val="00844F55"/>
    <w:rsid w:val="008469EC"/>
    <w:rsid w:val="00865C88"/>
    <w:rsid w:val="008673C8"/>
    <w:rsid w:val="00874314"/>
    <w:rsid w:val="00880BBE"/>
    <w:rsid w:val="00881C4A"/>
    <w:rsid w:val="008825B6"/>
    <w:rsid w:val="0089203C"/>
    <w:rsid w:val="00897B22"/>
    <w:rsid w:val="008A0ED6"/>
    <w:rsid w:val="008A1B6A"/>
    <w:rsid w:val="008A3526"/>
    <w:rsid w:val="008A531A"/>
    <w:rsid w:val="008A5C9E"/>
    <w:rsid w:val="008B14C3"/>
    <w:rsid w:val="008B3304"/>
    <w:rsid w:val="008B6BFF"/>
    <w:rsid w:val="008C09E9"/>
    <w:rsid w:val="008C1A33"/>
    <w:rsid w:val="008D34EE"/>
    <w:rsid w:val="008D3840"/>
    <w:rsid w:val="008D793B"/>
    <w:rsid w:val="008E55EC"/>
    <w:rsid w:val="008E6DC8"/>
    <w:rsid w:val="008E7FF2"/>
    <w:rsid w:val="008F4A9E"/>
    <w:rsid w:val="008F56BE"/>
    <w:rsid w:val="008F6299"/>
    <w:rsid w:val="00901B36"/>
    <w:rsid w:val="009172F5"/>
    <w:rsid w:val="00936A5B"/>
    <w:rsid w:val="00943A45"/>
    <w:rsid w:val="0095594B"/>
    <w:rsid w:val="00964F35"/>
    <w:rsid w:val="00970A31"/>
    <w:rsid w:val="00974CC8"/>
    <w:rsid w:val="00975CA7"/>
    <w:rsid w:val="00983366"/>
    <w:rsid w:val="00983654"/>
    <w:rsid w:val="00984E1E"/>
    <w:rsid w:val="0099646D"/>
    <w:rsid w:val="00996E55"/>
    <w:rsid w:val="009B7DCC"/>
    <w:rsid w:val="009C5163"/>
    <w:rsid w:val="009D3D08"/>
    <w:rsid w:val="009D4C2F"/>
    <w:rsid w:val="009D5393"/>
    <w:rsid w:val="009D65FD"/>
    <w:rsid w:val="009E5B2C"/>
    <w:rsid w:val="009F5975"/>
    <w:rsid w:val="009F72A5"/>
    <w:rsid w:val="009F7E7E"/>
    <w:rsid w:val="00A01B62"/>
    <w:rsid w:val="00A15F90"/>
    <w:rsid w:val="00A2326A"/>
    <w:rsid w:val="00A26CD3"/>
    <w:rsid w:val="00A27685"/>
    <w:rsid w:val="00A34E49"/>
    <w:rsid w:val="00A35284"/>
    <w:rsid w:val="00A423C9"/>
    <w:rsid w:val="00A44852"/>
    <w:rsid w:val="00A4612C"/>
    <w:rsid w:val="00A67EFD"/>
    <w:rsid w:val="00A747A7"/>
    <w:rsid w:val="00AC7CCD"/>
    <w:rsid w:val="00AD13CA"/>
    <w:rsid w:val="00AD370F"/>
    <w:rsid w:val="00AD5D12"/>
    <w:rsid w:val="00AD6E2A"/>
    <w:rsid w:val="00AE12A9"/>
    <w:rsid w:val="00AE5353"/>
    <w:rsid w:val="00AE7154"/>
    <w:rsid w:val="00AF05AC"/>
    <w:rsid w:val="00B03FD5"/>
    <w:rsid w:val="00B07288"/>
    <w:rsid w:val="00B12AB2"/>
    <w:rsid w:val="00B26BCA"/>
    <w:rsid w:val="00B31ECA"/>
    <w:rsid w:val="00B33E5B"/>
    <w:rsid w:val="00B34221"/>
    <w:rsid w:val="00B54AF5"/>
    <w:rsid w:val="00B56C38"/>
    <w:rsid w:val="00B606D7"/>
    <w:rsid w:val="00B63A81"/>
    <w:rsid w:val="00B67FED"/>
    <w:rsid w:val="00B822CD"/>
    <w:rsid w:val="00B82863"/>
    <w:rsid w:val="00B8547B"/>
    <w:rsid w:val="00BA14C2"/>
    <w:rsid w:val="00BB20C9"/>
    <w:rsid w:val="00BD17F2"/>
    <w:rsid w:val="00BD29EA"/>
    <w:rsid w:val="00BD5C26"/>
    <w:rsid w:val="00BE7028"/>
    <w:rsid w:val="00BF04FB"/>
    <w:rsid w:val="00BF3FE1"/>
    <w:rsid w:val="00BF5518"/>
    <w:rsid w:val="00BF5666"/>
    <w:rsid w:val="00C15205"/>
    <w:rsid w:val="00C35AE7"/>
    <w:rsid w:val="00C36F60"/>
    <w:rsid w:val="00C54B95"/>
    <w:rsid w:val="00C71698"/>
    <w:rsid w:val="00C72DF4"/>
    <w:rsid w:val="00C8559F"/>
    <w:rsid w:val="00CA288D"/>
    <w:rsid w:val="00CA5EA7"/>
    <w:rsid w:val="00CB0E3F"/>
    <w:rsid w:val="00CB18C4"/>
    <w:rsid w:val="00CB5065"/>
    <w:rsid w:val="00CC1B83"/>
    <w:rsid w:val="00CD0226"/>
    <w:rsid w:val="00CD0894"/>
    <w:rsid w:val="00CE5E21"/>
    <w:rsid w:val="00CF4E6E"/>
    <w:rsid w:val="00D16CD8"/>
    <w:rsid w:val="00D24923"/>
    <w:rsid w:val="00D311E7"/>
    <w:rsid w:val="00D37E10"/>
    <w:rsid w:val="00D40E31"/>
    <w:rsid w:val="00D42E39"/>
    <w:rsid w:val="00D54D80"/>
    <w:rsid w:val="00D571F4"/>
    <w:rsid w:val="00D70A72"/>
    <w:rsid w:val="00D70DF0"/>
    <w:rsid w:val="00D90944"/>
    <w:rsid w:val="00D92F1D"/>
    <w:rsid w:val="00D9696F"/>
    <w:rsid w:val="00D97FFC"/>
    <w:rsid w:val="00DA7997"/>
    <w:rsid w:val="00DB6BB3"/>
    <w:rsid w:val="00DC1394"/>
    <w:rsid w:val="00DC676A"/>
    <w:rsid w:val="00DD47FE"/>
    <w:rsid w:val="00DE27E6"/>
    <w:rsid w:val="00DE3CD9"/>
    <w:rsid w:val="00DF3018"/>
    <w:rsid w:val="00DF49FE"/>
    <w:rsid w:val="00DF5842"/>
    <w:rsid w:val="00E00CB0"/>
    <w:rsid w:val="00E06128"/>
    <w:rsid w:val="00E108C6"/>
    <w:rsid w:val="00E125A3"/>
    <w:rsid w:val="00E14FD0"/>
    <w:rsid w:val="00E16FAA"/>
    <w:rsid w:val="00E22437"/>
    <w:rsid w:val="00E23C9A"/>
    <w:rsid w:val="00E469F0"/>
    <w:rsid w:val="00E53E8D"/>
    <w:rsid w:val="00E56B7B"/>
    <w:rsid w:val="00E624F2"/>
    <w:rsid w:val="00E62568"/>
    <w:rsid w:val="00E70F13"/>
    <w:rsid w:val="00E810E6"/>
    <w:rsid w:val="00E85007"/>
    <w:rsid w:val="00E860CD"/>
    <w:rsid w:val="00E86337"/>
    <w:rsid w:val="00E91D80"/>
    <w:rsid w:val="00EA489D"/>
    <w:rsid w:val="00EA6029"/>
    <w:rsid w:val="00EB1513"/>
    <w:rsid w:val="00EB7ECB"/>
    <w:rsid w:val="00EC224E"/>
    <w:rsid w:val="00EE1EE9"/>
    <w:rsid w:val="00EE2162"/>
    <w:rsid w:val="00EE26E9"/>
    <w:rsid w:val="00EE72A2"/>
    <w:rsid w:val="00EF2AC3"/>
    <w:rsid w:val="00F02664"/>
    <w:rsid w:val="00F027AC"/>
    <w:rsid w:val="00F0365F"/>
    <w:rsid w:val="00F068E2"/>
    <w:rsid w:val="00F10520"/>
    <w:rsid w:val="00F166F5"/>
    <w:rsid w:val="00F2139C"/>
    <w:rsid w:val="00F23799"/>
    <w:rsid w:val="00F31151"/>
    <w:rsid w:val="00F335BE"/>
    <w:rsid w:val="00F41588"/>
    <w:rsid w:val="00F415C7"/>
    <w:rsid w:val="00F42DB1"/>
    <w:rsid w:val="00F51606"/>
    <w:rsid w:val="00F53943"/>
    <w:rsid w:val="00F54429"/>
    <w:rsid w:val="00F5516C"/>
    <w:rsid w:val="00F6257A"/>
    <w:rsid w:val="00F62EB3"/>
    <w:rsid w:val="00F655FB"/>
    <w:rsid w:val="00F86EBE"/>
    <w:rsid w:val="00F87E78"/>
    <w:rsid w:val="00F9386C"/>
    <w:rsid w:val="00F94F0E"/>
    <w:rsid w:val="00F97A19"/>
    <w:rsid w:val="00FA5B72"/>
    <w:rsid w:val="00FA6E4C"/>
    <w:rsid w:val="00FB1B24"/>
    <w:rsid w:val="00FB57B5"/>
    <w:rsid w:val="00FC5D91"/>
    <w:rsid w:val="00FE3239"/>
    <w:rsid w:val="00FE49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59B8"/>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aliases w:val="e,a,Part,Contenido,Estilo Título 1 + Antes:  0 pto Después:  0 pto,ARTÍCULO,CAPÍTULO,CAPÍTULO1,CAPÍTULO2,CAPÍTULO3,CAPÍTULO4,CAPÍTULO11,CAPÍTULO21,CAPÍTULO31,CAPÍTULO5,CAPÍTULO12,CAPÍTULO22,DOCUMENTO Nº 1,DOCUMENTO Nº 11,título 1,Sener 1,chapte"/>
    <w:basedOn w:val="Normal"/>
    <w:next w:val="Normal"/>
    <w:link w:val="Ttulo1Car"/>
    <w:qFormat/>
    <w:rsid w:val="008A0ED6"/>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aliases w:val=" Char Car,Char Car"/>
    <w:basedOn w:val="Normal"/>
    <w:next w:val="Normal"/>
    <w:link w:val="Ttulo2Car"/>
    <w:unhideWhenUsed/>
    <w:qFormat/>
    <w:rsid w:val="008A0ED6"/>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aliases w:val="Heading 3 Char Car,Heading 3 Char Car Car"/>
    <w:basedOn w:val="Normal"/>
    <w:next w:val="Normal"/>
    <w:link w:val="Ttulo3Car"/>
    <w:uiPriority w:val="9"/>
    <w:unhideWhenUsed/>
    <w:qFormat/>
    <w:rsid w:val="008A0ED6"/>
    <w:pPr>
      <w:keepNext/>
      <w:keepLines/>
      <w:spacing w:before="40" w:after="0"/>
      <w:outlineLvl w:val="2"/>
    </w:pPr>
    <w:rPr>
      <w:rFonts w:eastAsia="Times New Roman" w:cs="Times New Roman"/>
      <w:color w:val="0F4761"/>
      <w:sz w:val="28"/>
      <w:szCs w:val="28"/>
    </w:rPr>
  </w:style>
  <w:style w:type="paragraph" w:styleId="Ttulo4">
    <w:name w:val="heading 4"/>
    <w:aliases w:val="Título 4A,Char1 Car, Char1 Car"/>
    <w:basedOn w:val="Normal"/>
    <w:next w:val="Normal"/>
    <w:link w:val="Ttulo4Car"/>
    <w:uiPriority w:val="9"/>
    <w:unhideWhenUsed/>
    <w:qFormat/>
    <w:rsid w:val="008A0ED6"/>
    <w:pPr>
      <w:keepNext/>
      <w:keepLines/>
      <w:spacing w:before="40" w:after="0"/>
      <w:outlineLvl w:val="3"/>
    </w:pPr>
    <w:rPr>
      <w:rFonts w:eastAsia="Times New Roman" w:cs="Times New Roman"/>
      <w:i/>
      <w:iCs/>
      <w:color w:val="0F4761"/>
    </w:rPr>
  </w:style>
  <w:style w:type="paragraph" w:styleId="Ttulo5">
    <w:name w:val="heading 5"/>
    <w:aliases w:val="Título 5A"/>
    <w:basedOn w:val="Normal"/>
    <w:next w:val="Normal"/>
    <w:link w:val="Ttulo5Car"/>
    <w:uiPriority w:val="9"/>
    <w:unhideWhenUsed/>
    <w:qFormat/>
    <w:rsid w:val="008A0ED6"/>
    <w:pPr>
      <w:keepNext/>
      <w:keepLines/>
      <w:spacing w:before="40" w:after="0"/>
      <w:outlineLvl w:val="4"/>
    </w:pPr>
    <w:rPr>
      <w:rFonts w:eastAsia="Times New Roman" w:cs="Times New Roman"/>
      <w:color w:val="0F4761"/>
    </w:rPr>
  </w:style>
  <w:style w:type="paragraph" w:styleId="Ttulo6">
    <w:name w:val="heading 6"/>
    <w:aliases w:val="Título 6A,Car2, Car2"/>
    <w:basedOn w:val="Normal"/>
    <w:next w:val="Normal"/>
    <w:link w:val="Ttulo6Car"/>
    <w:unhideWhenUsed/>
    <w:qFormat/>
    <w:rsid w:val="008A0ED6"/>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unhideWhenUsed/>
    <w:qFormat/>
    <w:rsid w:val="008A0ED6"/>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unhideWhenUsed/>
    <w:qFormat/>
    <w:rsid w:val="008A0ED6"/>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unhideWhenUsed/>
    <w:qFormat/>
    <w:rsid w:val="008A0ED6"/>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16,Encabezado Car Car Car Car Car Car Car Car,Car16,Car,Encabezado Car Car,Encabezado Car Car Car Car Car,Encabezado Car Car Car Car,Encabezado Car Car Car,Encabezado Car Car Car Car Car Car, Car1,Car Car Car Car,Car Car Car Car Car"/>
    <w:basedOn w:val="Normal"/>
    <w:link w:val="EncabezadoCar"/>
    <w:unhideWhenUsed/>
    <w:qFormat/>
    <w:rsid w:val="001105DF"/>
    <w:pPr>
      <w:tabs>
        <w:tab w:val="center" w:pos="4419"/>
        <w:tab w:val="right" w:pos="8838"/>
      </w:tabs>
      <w:spacing w:after="0" w:line="240" w:lineRule="auto"/>
    </w:pPr>
  </w:style>
  <w:style w:type="character" w:customStyle="1" w:styleId="EncabezadoCar">
    <w:name w:val="Encabezado Car"/>
    <w:aliases w:val=" Car Car1, Car16 Car,Encabezado Car Car Car Car Car Car Car Car Car,Car16 Car,Car Car,Encabezado Car Car Car1,Encabezado Car Car Car Car Car Car1,Encabezado Car Car Car Car Car1,Encabezado Car Car Car Car1, Car1 Car,Car Car Car Car Car1"/>
    <w:basedOn w:val="Fuentedeprrafopredeter"/>
    <w:link w:val="Encabezado"/>
    <w:qFormat/>
    <w:rsid w:val="001105DF"/>
  </w:style>
  <w:style w:type="paragraph" w:styleId="Piedepgina">
    <w:name w:val="footer"/>
    <w:aliases w:val=" Car Car Car Car"/>
    <w:basedOn w:val="Normal"/>
    <w:link w:val="PiedepginaCar"/>
    <w:uiPriority w:val="99"/>
    <w:unhideWhenUsed/>
    <w:qFormat/>
    <w:rsid w:val="001105DF"/>
    <w:pPr>
      <w:tabs>
        <w:tab w:val="center" w:pos="4419"/>
        <w:tab w:val="right" w:pos="8838"/>
      </w:tabs>
      <w:spacing w:after="0" w:line="240" w:lineRule="auto"/>
    </w:pPr>
  </w:style>
  <w:style w:type="character" w:customStyle="1" w:styleId="PiedepginaCar">
    <w:name w:val="Pie de página Car"/>
    <w:aliases w:val=" Car Car Car Car Car"/>
    <w:basedOn w:val="Fuentedeprrafopredeter"/>
    <w:link w:val="Piedepgina"/>
    <w:uiPriority w:val="99"/>
    <w:qFormat/>
    <w:rsid w:val="001105DF"/>
  </w:style>
  <w:style w:type="paragraph" w:styleId="Sinespaciado">
    <w:name w:val="No Spacing"/>
    <w:aliases w:val="MAPAS,Evidencias,notaria 30,Bullets,Francesa,Título3,Titulos,oficial"/>
    <w:link w:val="SinespaciadoCar"/>
    <w:uiPriority w:val="1"/>
    <w:qFormat/>
    <w:rsid w:val="00433C38"/>
    <w:pPr>
      <w:spacing w:after="0" w:line="240" w:lineRule="auto"/>
      <w:jc w:val="both"/>
    </w:pPr>
    <w:rPr>
      <w:rFonts w:ascii="Times New Roman" w:hAnsi="Times New Roman" w:cs="Times New Roman"/>
      <w:sz w:val="24"/>
      <w:szCs w:val="24"/>
    </w:rPr>
  </w:style>
  <w:style w:type="character" w:customStyle="1" w:styleId="SinespaciadoCar">
    <w:name w:val="Sin espaciado Car"/>
    <w:aliases w:val="MAPAS Car,Evidencias Car,notaria 30 Car,Bullets Car,Francesa Car,Título3 Car,Titulos Car,oficial Car"/>
    <w:link w:val="Sinespaciado"/>
    <w:uiPriority w:val="1"/>
    <w:qFormat/>
    <w:locked/>
    <w:rsid w:val="0082326D"/>
    <w:rPr>
      <w:rFonts w:ascii="Times New Roman" w:hAnsi="Times New Roman" w:cs="Times New Roman"/>
      <w:sz w:val="24"/>
      <w:szCs w:val="24"/>
    </w:rPr>
  </w:style>
  <w:style w:type="table" w:customStyle="1" w:styleId="Tablaconcuadrcula1">
    <w:name w:val="Tabla con cuadrícula1"/>
    <w:basedOn w:val="Tablanormal"/>
    <w:next w:val="Tablaconcuadrcula"/>
    <w:uiPriority w:val="39"/>
    <w:rsid w:val="00AE535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concolores1">
    <w:name w:val="Tabla con cuadrícula 6 con colores1"/>
    <w:basedOn w:val="Tablanormal"/>
    <w:next w:val="Tablaconcuadrcula6concolores"/>
    <w:uiPriority w:val="51"/>
    <w:rsid w:val="00AE5353"/>
    <w:pPr>
      <w:spacing w:after="0" w:line="240" w:lineRule="auto"/>
    </w:pPr>
    <w:rPr>
      <w:color w:val="000000"/>
      <w:kern w:val="2"/>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aconcuadrcula">
    <w:name w:val="Table Grid"/>
    <w:basedOn w:val="Tablanormal"/>
    <w:uiPriority w:val="39"/>
    <w:rsid w:val="00AE5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6concolores">
    <w:name w:val="Grid Table 6 Colorful"/>
    <w:basedOn w:val="Tablanormal"/>
    <w:uiPriority w:val="51"/>
    <w:rsid w:val="00AE535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tulo11">
    <w:name w:val="Título 11"/>
    <w:basedOn w:val="Normal"/>
    <w:next w:val="Normal"/>
    <w:uiPriority w:val="1"/>
    <w:qFormat/>
    <w:rsid w:val="008A0ED6"/>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1"/>
    <w:unhideWhenUsed/>
    <w:qFormat/>
    <w:rsid w:val="008A0ED6"/>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1"/>
    <w:unhideWhenUsed/>
    <w:qFormat/>
    <w:rsid w:val="008A0ED6"/>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1"/>
    <w:unhideWhenUsed/>
    <w:qFormat/>
    <w:rsid w:val="008A0ED6"/>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8A0ED6"/>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8A0ED6"/>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8A0ED6"/>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8A0ED6"/>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8A0ED6"/>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8A0ED6"/>
  </w:style>
  <w:style w:type="character" w:customStyle="1" w:styleId="Ttulo1Car">
    <w:name w:val="Título 1 Car"/>
    <w:aliases w:val="e Car,a Car,Part Car,Contenido Car,Estilo Título 1 + Antes:  0 pto Después:  0 pto Car,ARTÍCULO Car,CAPÍTULO Car,CAPÍTULO1 Car,CAPÍTULO2 Car,CAPÍTULO3 Car,CAPÍTULO4 Car,CAPÍTULO11 Car,CAPÍTULO21 Car,CAPÍTULO31 Car,CAPÍTULO5 Car,título 1 Car"/>
    <w:basedOn w:val="Fuentedeprrafopredeter"/>
    <w:link w:val="Ttulo1"/>
    <w:rsid w:val="008A0ED6"/>
    <w:rPr>
      <w:rFonts w:ascii="Aptos Display" w:eastAsia="Times New Roman" w:hAnsi="Aptos Display" w:cs="Times New Roman"/>
      <w:color w:val="0F4761"/>
      <w:sz w:val="40"/>
      <w:szCs w:val="40"/>
    </w:rPr>
  </w:style>
  <w:style w:type="character" w:customStyle="1" w:styleId="Ttulo2Car">
    <w:name w:val="Título 2 Car"/>
    <w:aliases w:val=" Char Car Car,Char Car Car"/>
    <w:basedOn w:val="Fuentedeprrafopredeter"/>
    <w:link w:val="Ttulo2"/>
    <w:rsid w:val="008A0ED6"/>
    <w:rPr>
      <w:rFonts w:ascii="Aptos Display" w:eastAsia="Times New Roman" w:hAnsi="Aptos Display" w:cs="Times New Roman"/>
      <w:color w:val="0F4761"/>
      <w:sz w:val="32"/>
      <w:szCs w:val="32"/>
    </w:rPr>
  </w:style>
  <w:style w:type="character" w:customStyle="1" w:styleId="Ttulo3Car">
    <w:name w:val="Título 3 Car"/>
    <w:aliases w:val="Heading 3 Char Car Car1,Heading 3 Char Car Car Car"/>
    <w:basedOn w:val="Fuentedeprrafopredeter"/>
    <w:link w:val="Ttulo3"/>
    <w:uiPriority w:val="9"/>
    <w:rsid w:val="008A0ED6"/>
    <w:rPr>
      <w:rFonts w:eastAsia="Times New Roman" w:cs="Times New Roman"/>
      <w:color w:val="0F4761"/>
      <w:sz w:val="28"/>
      <w:szCs w:val="28"/>
    </w:rPr>
  </w:style>
  <w:style w:type="character" w:customStyle="1" w:styleId="Ttulo4Car">
    <w:name w:val="Título 4 Car"/>
    <w:aliases w:val="Título 4A Car,Char1 Car Car, Char1 Car Car"/>
    <w:basedOn w:val="Fuentedeprrafopredeter"/>
    <w:link w:val="Ttulo4"/>
    <w:uiPriority w:val="9"/>
    <w:rsid w:val="008A0ED6"/>
    <w:rPr>
      <w:rFonts w:eastAsia="Times New Roman" w:cs="Times New Roman"/>
      <w:i/>
      <w:iCs/>
      <w:color w:val="0F4761"/>
    </w:rPr>
  </w:style>
  <w:style w:type="character" w:customStyle="1" w:styleId="Ttulo5Car">
    <w:name w:val="Título 5 Car"/>
    <w:aliases w:val="Título 5A Car"/>
    <w:basedOn w:val="Fuentedeprrafopredeter"/>
    <w:link w:val="Ttulo5"/>
    <w:uiPriority w:val="9"/>
    <w:rsid w:val="008A0ED6"/>
    <w:rPr>
      <w:rFonts w:eastAsia="Times New Roman" w:cs="Times New Roman"/>
      <w:color w:val="0F4761"/>
    </w:rPr>
  </w:style>
  <w:style w:type="character" w:customStyle="1" w:styleId="Ttulo6Car">
    <w:name w:val="Título 6 Car"/>
    <w:aliases w:val="Título 6A Car,Car2 Car, Car2 Car"/>
    <w:basedOn w:val="Fuentedeprrafopredeter"/>
    <w:link w:val="Ttulo6"/>
    <w:qFormat/>
    <w:rsid w:val="008A0ED6"/>
    <w:rPr>
      <w:rFonts w:eastAsia="Times New Roman" w:cs="Times New Roman"/>
      <w:i/>
      <w:iCs/>
      <w:color w:val="595959"/>
    </w:rPr>
  </w:style>
  <w:style w:type="character" w:customStyle="1" w:styleId="Ttulo7Car">
    <w:name w:val="Título 7 Car"/>
    <w:basedOn w:val="Fuentedeprrafopredeter"/>
    <w:link w:val="Ttulo7"/>
    <w:uiPriority w:val="9"/>
    <w:qFormat/>
    <w:rsid w:val="008A0ED6"/>
    <w:rPr>
      <w:rFonts w:eastAsia="Times New Roman" w:cs="Times New Roman"/>
      <w:color w:val="595959"/>
    </w:rPr>
  </w:style>
  <w:style w:type="character" w:customStyle="1" w:styleId="Ttulo8Car">
    <w:name w:val="Título 8 Car"/>
    <w:basedOn w:val="Fuentedeprrafopredeter"/>
    <w:link w:val="Ttulo8"/>
    <w:uiPriority w:val="9"/>
    <w:rsid w:val="008A0ED6"/>
    <w:rPr>
      <w:rFonts w:eastAsia="Times New Roman" w:cs="Times New Roman"/>
      <w:i/>
      <w:iCs/>
      <w:color w:val="272727"/>
    </w:rPr>
  </w:style>
  <w:style w:type="character" w:customStyle="1" w:styleId="Ttulo9Car">
    <w:name w:val="Título 9 Car"/>
    <w:basedOn w:val="Fuentedeprrafopredeter"/>
    <w:link w:val="Ttulo9"/>
    <w:uiPriority w:val="9"/>
    <w:rsid w:val="008A0ED6"/>
    <w:rPr>
      <w:rFonts w:eastAsia="Times New Roman" w:cs="Times New Roman"/>
      <w:color w:val="272727"/>
    </w:rPr>
  </w:style>
  <w:style w:type="paragraph" w:customStyle="1" w:styleId="Ttulo10">
    <w:name w:val="Título1"/>
    <w:basedOn w:val="Normal"/>
    <w:next w:val="Normal"/>
    <w:qFormat/>
    <w:rsid w:val="008A0ED6"/>
    <w:pPr>
      <w:spacing w:after="80" w:line="240" w:lineRule="auto"/>
      <w:contextualSpacing/>
    </w:pPr>
    <w:rPr>
      <w:rFonts w:ascii="Aptos Display" w:eastAsia="Times New Roman" w:hAnsi="Aptos Display" w:cs="Times New Roman"/>
      <w:spacing w:val="-10"/>
      <w:kern w:val="28"/>
      <w:sz w:val="56"/>
      <w:szCs w:val="56"/>
      <w14:ligatures w14:val="standardContextual"/>
    </w:rPr>
  </w:style>
  <w:style w:type="character" w:customStyle="1" w:styleId="TtuloCar">
    <w:name w:val="Título Car"/>
    <w:aliases w:val="Título5 Car"/>
    <w:basedOn w:val="Fuentedeprrafopredeter"/>
    <w:link w:val="Ttulo"/>
    <w:rsid w:val="008A0ED6"/>
    <w:rPr>
      <w:rFonts w:ascii="Aptos Display" w:eastAsia="Times New Roman" w:hAnsi="Aptos Display" w:cs="Times New Roman"/>
      <w:spacing w:val="-10"/>
      <w:kern w:val="28"/>
      <w:sz w:val="56"/>
      <w:szCs w:val="56"/>
    </w:rPr>
  </w:style>
  <w:style w:type="paragraph" w:customStyle="1" w:styleId="Subttulo1">
    <w:name w:val="Subtítulo1"/>
    <w:basedOn w:val="Normal"/>
    <w:next w:val="Normal"/>
    <w:uiPriority w:val="11"/>
    <w:qFormat/>
    <w:rsid w:val="008A0ED6"/>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8A0ED6"/>
    <w:rPr>
      <w:rFonts w:eastAsia="Times New Roman" w:cs="Times New Roman"/>
      <w:color w:val="595959"/>
      <w:spacing w:val="15"/>
      <w:sz w:val="28"/>
      <w:szCs w:val="28"/>
    </w:rPr>
  </w:style>
  <w:style w:type="paragraph" w:customStyle="1" w:styleId="Cita1">
    <w:name w:val="Cita1"/>
    <w:basedOn w:val="Normal"/>
    <w:next w:val="Normal"/>
    <w:uiPriority w:val="99"/>
    <w:qFormat/>
    <w:rsid w:val="008A0ED6"/>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8A0ED6"/>
    <w:rPr>
      <w:i/>
      <w:iCs/>
      <w:color w:val="404040"/>
    </w:rPr>
  </w:style>
  <w:style w:type="paragraph" w:customStyle="1" w:styleId="Prrafodelista1">
    <w:name w:val="Párrafo de lista1"/>
    <w:basedOn w:val="Normal"/>
    <w:next w:val="Prrafodelista"/>
    <w:uiPriority w:val="99"/>
    <w:qFormat/>
    <w:rsid w:val="008A0ED6"/>
    <w:pPr>
      <w:spacing w:line="278" w:lineRule="auto"/>
      <w:ind w:left="720"/>
      <w:contextualSpacing/>
    </w:pPr>
    <w:rPr>
      <w:kern w:val="2"/>
      <w:sz w:val="24"/>
      <w:szCs w:val="24"/>
      <w14:ligatures w14:val="standardContextual"/>
    </w:rPr>
  </w:style>
  <w:style w:type="character" w:customStyle="1" w:styleId="nfasisintenso1">
    <w:name w:val="Énfasis intenso1"/>
    <w:basedOn w:val="Fuentedeprrafopredeter"/>
    <w:uiPriority w:val="21"/>
    <w:qFormat/>
    <w:rsid w:val="008A0ED6"/>
    <w:rPr>
      <w:i/>
      <w:iCs/>
      <w:color w:val="0F4761"/>
    </w:rPr>
  </w:style>
  <w:style w:type="paragraph" w:customStyle="1" w:styleId="Citadestacada1">
    <w:name w:val="Cita destacada1"/>
    <w:basedOn w:val="Normal"/>
    <w:next w:val="Normal"/>
    <w:uiPriority w:val="30"/>
    <w:qFormat/>
    <w:rsid w:val="008A0ED6"/>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8A0ED6"/>
    <w:rPr>
      <w:i/>
      <w:iCs/>
      <w:color w:val="0F4761"/>
    </w:rPr>
  </w:style>
  <w:style w:type="character" w:customStyle="1" w:styleId="Referenciaintensa1">
    <w:name w:val="Referencia intensa1"/>
    <w:basedOn w:val="Fuentedeprrafopredeter"/>
    <w:uiPriority w:val="32"/>
    <w:qFormat/>
    <w:rsid w:val="008A0ED6"/>
    <w:rPr>
      <w:b/>
      <w:bCs/>
      <w:smallCaps/>
      <w:color w:val="0F4761"/>
      <w:spacing w:val="5"/>
    </w:rPr>
  </w:style>
  <w:style w:type="table" w:customStyle="1" w:styleId="Tablaconcuadrcula2">
    <w:name w:val="Tabla con cuadrícula2"/>
    <w:basedOn w:val="Tablanormal"/>
    <w:next w:val="Tablaconcuadrcula"/>
    <w:uiPriority w:val="39"/>
    <w:rsid w:val="008A0ED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1clara1">
    <w:name w:val="Tabla de lista 1 clara1"/>
    <w:basedOn w:val="Tablanormal"/>
    <w:next w:val="Tabladelista1clara"/>
    <w:uiPriority w:val="46"/>
    <w:rsid w:val="008A0ED6"/>
    <w:pPr>
      <w:spacing w:after="0" w:line="240" w:lineRule="auto"/>
    </w:pPr>
    <w:rPr>
      <w:kern w:val="2"/>
      <w:sz w:val="24"/>
      <w:szCs w:val="24"/>
      <w14:ligatures w14:val="standardContextu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21">
    <w:name w:val="Tabla de lista 21"/>
    <w:basedOn w:val="Tablanormal"/>
    <w:next w:val="Tabladelista2"/>
    <w:uiPriority w:val="47"/>
    <w:rsid w:val="008A0ED6"/>
    <w:pPr>
      <w:spacing w:after="0" w:line="240" w:lineRule="auto"/>
    </w:pPr>
    <w:rPr>
      <w:kern w:val="2"/>
      <w:sz w:val="24"/>
      <w:szCs w:val="24"/>
      <w14:ligatures w14:val="standardContextu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concuadrcula6concolores2">
    <w:name w:val="Tabla con cuadrícula 6 con colores2"/>
    <w:basedOn w:val="Tablanormal"/>
    <w:next w:val="Tablaconcuadrcula6concolores"/>
    <w:uiPriority w:val="51"/>
    <w:rsid w:val="008A0ED6"/>
    <w:pPr>
      <w:spacing w:after="0" w:line="240" w:lineRule="auto"/>
    </w:pPr>
    <w:rPr>
      <w:color w:val="000000"/>
      <w:kern w:val="2"/>
      <w:sz w:val="24"/>
      <w:szCs w:val="24"/>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textrun">
    <w:name w:val="normaltextrun"/>
    <w:basedOn w:val="Fuentedeprrafopredeter"/>
    <w:qFormat/>
    <w:rsid w:val="008A0ED6"/>
  </w:style>
  <w:style w:type="character" w:customStyle="1" w:styleId="eop">
    <w:name w:val="eop"/>
    <w:basedOn w:val="Fuentedeprrafopredeter"/>
    <w:rsid w:val="008A0ED6"/>
  </w:style>
  <w:style w:type="paragraph" w:customStyle="1" w:styleId="Revisin1">
    <w:name w:val="Revisión1"/>
    <w:next w:val="Revisin"/>
    <w:hidden/>
    <w:uiPriority w:val="99"/>
    <w:semiHidden/>
    <w:rsid w:val="008A0ED6"/>
    <w:pPr>
      <w:spacing w:after="0" w:line="240" w:lineRule="auto"/>
    </w:pPr>
    <w:rPr>
      <w:kern w:val="2"/>
      <w:sz w:val="24"/>
      <w:szCs w:val="24"/>
      <w14:ligatures w14:val="standardContextual"/>
    </w:rPr>
  </w:style>
  <w:style w:type="paragraph" w:customStyle="1" w:styleId="Textodeglobo1">
    <w:name w:val="Texto de globo1"/>
    <w:basedOn w:val="Normal"/>
    <w:next w:val="Textodeglobo"/>
    <w:link w:val="TextodegloboCar"/>
    <w:semiHidden/>
    <w:unhideWhenUsed/>
    <w:qFormat/>
    <w:rsid w:val="008A0E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1"/>
    <w:uiPriority w:val="99"/>
    <w:qFormat/>
    <w:rsid w:val="008A0ED6"/>
    <w:rPr>
      <w:rFonts w:ascii="Segoe UI" w:hAnsi="Segoe UI" w:cs="Segoe UI"/>
      <w:sz w:val="18"/>
      <w:szCs w:val="18"/>
    </w:rPr>
  </w:style>
  <w:style w:type="paragraph" w:styleId="Textoindependiente">
    <w:name w:val="Body Text"/>
    <w:aliases w:val=" Car Car,b,body text,body,Specs,Body Text Char + 10 orpt,Car Car Car Car Car Car Car, Car Car Car Car Car Car Car,Car Car Car Car Car Car Car Car Car Car Car"/>
    <w:basedOn w:val="Normal"/>
    <w:link w:val="TextoindependienteCar"/>
    <w:uiPriority w:val="1"/>
    <w:unhideWhenUsed/>
    <w:qFormat/>
    <w:rsid w:val="008A0ED6"/>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aliases w:val=" Car Car Car,b Car,body text Car,body Car,Specs Car,Body Text Char + 10 orpt Car,Car Car Car Car Car Car Car Car, Car Car Car Car Car Car Car Car,Car Car Car Car Car Car Car Car Car Car Car Car1"/>
    <w:basedOn w:val="Fuentedeprrafopredeter"/>
    <w:link w:val="Textoindependiente"/>
    <w:uiPriority w:val="1"/>
    <w:qFormat/>
    <w:rsid w:val="008A0ED6"/>
    <w:rPr>
      <w:rFonts w:ascii="Arial MT" w:eastAsia="Arial MT" w:hAnsi="Arial MT" w:cs="Arial MT"/>
      <w:sz w:val="24"/>
      <w:szCs w:val="24"/>
      <w:lang w:val="es-ES"/>
    </w:rPr>
  </w:style>
  <w:style w:type="character" w:customStyle="1" w:styleId="Ttulo1Car1">
    <w:name w:val="Título 1 Car1"/>
    <w:aliases w:val="e Car1,a Car1,Part Car1,Contenido Car1,Estilo Título 1 + Antes:  0 pto Después:  0 pto Car1,ARTÍCULO Car1,CAPÍTULO Car1,CAPÍTULO1 Car1,CAPÍTULO2 Car1,CAPÍTULO3 Car1,CAPÍTULO4 Car1,CAPÍTULO11 Car1,CAPÍTULO21 Car1,CAPÍTULO31 Car1,Sener 1 Car"/>
    <w:basedOn w:val="Fuentedeprrafopredeter"/>
    <w:rsid w:val="008A0ED6"/>
    <w:rPr>
      <w:rFonts w:asciiTheme="majorHAnsi" w:eastAsiaTheme="majorEastAsia" w:hAnsiTheme="majorHAnsi" w:cstheme="majorBidi"/>
      <w:color w:val="2F5496" w:themeColor="accent1" w:themeShade="BF"/>
      <w:sz w:val="32"/>
      <w:szCs w:val="32"/>
    </w:rPr>
  </w:style>
  <w:style w:type="character" w:customStyle="1" w:styleId="Ttulo2Car1">
    <w:name w:val="Título 2 Car1"/>
    <w:aliases w:val="Char Car Car1"/>
    <w:basedOn w:val="Fuentedeprrafopredeter"/>
    <w:uiPriority w:val="9"/>
    <w:rsid w:val="008A0ED6"/>
    <w:rPr>
      <w:rFonts w:asciiTheme="majorHAnsi" w:eastAsiaTheme="majorEastAsia" w:hAnsiTheme="majorHAnsi" w:cstheme="majorBidi"/>
      <w:color w:val="2F5496" w:themeColor="accent1" w:themeShade="BF"/>
      <w:sz w:val="26"/>
      <w:szCs w:val="26"/>
    </w:rPr>
  </w:style>
  <w:style w:type="character" w:customStyle="1" w:styleId="Ttulo3Car1">
    <w:name w:val="Título 3 Car1"/>
    <w:aliases w:val="Heading 3 Char Car Car2,Heading 3 Char Car Car Car1"/>
    <w:basedOn w:val="Fuentedeprrafopredeter"/>
    <w:uiPriority w:val="9"/>
    <w:semiHidden/>
    <w:rsid w:val="008A0ED6"/>
    <w:rPr>
      <w:rFonts w:asciiTheme="majorHAnsi" w:eastAsiaTheme="majorEastAsia" w:hAnsiTheme="majorHAnsi" w:cstheme="majorBidi"/>
      <w:color w:val="1F3763" w:themeColor="accent1" w:themeShade="7F"/>
      <w:sz w:val="24"/>
      <w:szCs w:val="24"/>
    </w:rPr>
  </w:style>
  <w:style w:type="character" w:customStyle="1" w:styleId="Ttulo4Car1">
    <w:name w:val="Título 4 Car1"/>
    <w:aliases w:val="Título 4A Car1,Char1 Car Car1"/>
    <w:basedOn w:val="Fuentedeprrafopredeter"/>
    <w:uiPriority w:val="9"/>
    <w:semiHidden/>
    <w:rsid w:val="008A0ED6"/>
    <w:rPr>
      <w:rFonts w:asciiTheme="majorHAnsi" w:eastAsiaTheme="majorEastAsia" w:hAnsiTheme="majorHAnsi" w:cstheme="majorBidi"/>
      <w:i/>
      <w:iCs/>
      <w:color w:val="2F5496" w:themeColor="accent1" w:themeShade="BF"/>
    </w:rPr>
  </w:style>
  <w:style w:type="character" w:customStyle="1" w:styleId="Ttulo5Car1">
    <w:name w:val="Título 5 Car1"/>
    <w:aliases w:val="Título 5A Car1"/>
    <w:basedOn w:val="Fuentedeprrafopredeter"/>
    <w:uiPriority w:val="9"/>
    <w:semiHidden/>
    <w:rsid w:val="008A0ED6"/>
    <w:rPr>
      <w:rFonts w:asciiTheme="majorHAnsi" w:eastAsiaTheme="majorEastAsia" w:hAnsiTheme="majorHAnsi" w:cstheme="majorBidi"/>
      <w:color w:val="2F5496" w:themeColor="accent1" w:themeShade="BF"/>
    </w:rPr>
  </w:style>
  <w:style w:type="character" w:customStyle="1" w:styleId="Ttulo6Car1">
    <w:name w:val="Título 6 Car1"/>
    <w:aliases w:val="Título 6A Car1,Car2 Car1"/>
    <w:basedOn w:val="Fuentedeprrafopredeter"/>
    <w:semiHidden/>
    <w:rsid w:val="008A0ED6"/>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8A0ED6"/>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8A0ED6"/>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8A0ED6"/>
    <w:rPr>
      <w:rFonts w:asciiTheme="majorHAnsi" w:eastAsiaTheme="majorEastAsia" w:hAnsiTheme="majorHAnsi" w:cstheme="majorBidi"/>
      <w:i/>
      <w:iCs/>
      <w:color w:val="272727" w:themeColor="text1" w:themeTint="D8"/>
      <w:sz w:val="21"/>
      <w:szCs w:val="21"/>
    </w:rPr>
  </w:style>
  <w:style w:type="paragraph" w:styleId="Ttulo">
    <w:name w:val="Title"/>
    <w:aliases w:val="Título5"/>
    <w:basedOn w:val="Normal"/>
    <w:next w:val="Normal"/>
    <w:link w:val="TtuloCar"/>
    <w:qFormat/>
    <w:rsid w:val="008A0ED6"/>
    <w:pPr>
      <w:spacing w:after="0" w:line="240" w:lineRule="auto"/>
      <w:contextualSpacing/>
    </w:pPr>
    <w:rPr>
      <w:rFonts w:ascii="Aptos Display" w:eastAsia="Times New Roman" w:hAnsi="Aptos Display" w:cs="Times New Roman"/>
      <w:spacing w:val="-10"/>
      <w:kern w:val="28"/>
      <w:sz w:val="56"/>
      <w:szCs w:val="56"/>
    </w:rPr>
  </w:style>
  <w:style w:type="character" w:customStyle="1" w:styleId="TtuloCar1">
    <w:name w:val="Título Car1"/>
    <w:aliases w:val="Título5 Car1"/>
    <w:basedOn w:val="Fuentedeprrafopredeter"/>
    <w:uiPriority w:val="10"/>
    <w:rsid w:val="008A0ED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A0ED6"/>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rsid w:val="008A0ED6"/>
    <w:rPr>
      <w:rFonts w:eastAsiaTheme="minorEastAsia"/>
      <w:color w:val="5A5A5A" w:themeColor="text1" w:themeTint="A5"/>
      <w:spacing w:val="15"/>
    </w:rPr>
  </w:style>
  <w:style w:type="paragraph" w:styleId="Cita">
    <w:name w:val="Quote"/>
    <w:basedOn w:val="Normal"/>
    <w:next w:val="Normal"/>
    <w:link w:val="CitaCar"/>
    <w:uiPriority w:val="29"/>
    <w:qFormat/>
    <w:rsid w:val="008A0ED6"/>
    <w:pPr>
      <w:spacing w:before="200"/>
      <w:ind w:left="864" w:right="864"/>
      <w:jc w:val="center"/>
    </w:pPr>
    <w:rPr>
      <w:i/>
      <w:iCs/>
      <w:color w:val="404040"/>
    </w:rPr>
  </w:style>
  <w:style w:type="character" w:customStyle="1" w:styleId="CitaCar1">
    <w:name w:val="Cita Car1"/>
    <w:basedOn w:val="Fuentedeprrafopredeter"/>
    <w:uiPriority w:val="29"/>
    <w:rsid w:val="008A0ED6"/>
    <w:rPr>
      <w:i/>
      <w:iCs/>
      <w:color w:val="404040" w:themeColor="text1" w:themeTint="BF"/>
    </w:rPr>
  </w:style>
  <w:style w:type="paragraph" w:styleId="Prrafodelista">
    <w:name w:val="List Paragraph"/>
    <w:aliases w:val="Footnote,Párrafo de lista2,List Paragraph,Cita texto,List Paragraph1,Colorful List - Accent 11,Cuadrícula clara - Énfasis 31,TEXTO GENERAL SENTENCIAS,AB List 1,Bullet Points,Bullet List,FooterText,numbered,Paragraphe de liste1,Parrafo 1"/>
    <w:basedOn w:val="Normal"/>
    <w:link w:val="PrrafodelistaCar"/>
    <w:uiPriority w:val="34"/>
    <w:qFormat/>
    <w:rsid w:val="008A0ED6"/>
    <w:pPr>
      <w:ind w:left="720"/>
      <w:contextualSpacing/>
    </w:pPr>
  </w:style>
  <w:style w:type="character" w:styleId="nfasisintenso">
    <w:name w:val="Intense Emphasis"/>
    <w:basedOn w:val="Fuentedeprrafopredeter"/>
    <w:uiPriority w:val="21"/>
    <w:qFormat/>
    <w:rsid w:val="008A0ED6"/>
    <w:rPr>
      <w:i/>
      <w:iCs/>
      <w:color w:val="4472C4" w:themeColor="accent1"/>
    </w:rPr>
  </w:style>
  <w:style w:type="paragraph" w:styleId="Citadestacada">
    <w:name w:val="Intense Quote"/>
    <w:basedOn w:val="Normal"/>
    <w:next w:val="Normal"/>
    <w:link w:val="CitadestacadaCar"/>
    <w:uiPriority w:val="30"/>
    <w:qFormat/>
    <w:rsid w:val="008A0ED6"/>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8A0ED6"/>
    <w:rPr>
      <w:i/>
      <w:iCs/>
      <w:color w:val="4472C4" w:themeColor="accent1"/>
    </w:rPr>
  </w:style>
  <w:style w:type="character" w:styleId="Referenciaintensa">
    <w:name w:val="Intense Reference"/>
    <w:basedOn w:val="Fuentedeprrafopredeter"/>
    <w:uiPriority w:val="32"/>
    <w:qFormat/>
    <w:rsid w:val="008A0ED6"/>
    <w:rPr>
      <w:b/>
      <w:bCs/>
      <w:smallCaps/>
      <w:color w:val="4472C4" w:themeColor="accent1"/>
      <w:spacing w:val="5"/>
    </w:rPr>
  </w:style>
  <w:style w:type="table" w:styleId="Tabladelista1clara">
    <w:name w:val="List Table 1 Light"/>
    <w:basedOn w:val="Tablanormal"/>
    <w:uiPriority w:val="46"/>
    <w:rsid w:val="008A0ED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
    <w:name w:val="List Table 2"/>
    <w:basedOn w:val="Tablanormal"/>
    <w:uiPriority w:val="47"/>
    <w:rsid w:val="008A0ED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n">
    <w:name w:val="Revision"/>
    <w:hidden/>
    <w:uiPriority w:val="99"/>
    <w:rsid w:val="008A0ED6"/>
    <w:pPr>
      <w:spacing w:after="0" w:line="240" w:lineRule="auto"/>
    </w:pPr>
  </w:style>
  <w:style w:type="paragraph" w:styleId="Textodeglobo">
    <w:name w:val="Balloon Text"/>
    <w:basedOn w:val="Normal"/>
    <w:link w:val="TextodegloboCar1"/>
    <w:uiPriority w:val="99"/>
    <w:unhideWhenUsed/>
    <w:qFormat/>
    <w:rsid w:val="008A0ED6"/>
    <w:pPr>
      <w:spacing w:after="0" w:line="240" w:lineRule="auto"/>
    </w:pPr>
    <w:rPr>
      <w:rFonts w:ascii="Segoe UI" w:hAnsi="Segoe UI" w:cs="Segoe UI"/>
      <w:sz w:val="18"/>
      <w:szCs w:val="18"/>
    </w:rPr>
  </w:style>
  <w:style w:type="character" w:customStyle="1" w:styleId="TextodegloboCar1">
    <w:name w:val="Texto de globo Car1"/>
    <w:basedOn w:val="Fuentedeprrafopredeter"/>
    <w:link w:val="Textodeglobo"/>
    <w:uiPriority w:val="99"/>
    <w:rsid w:val="008A0ED6"/>
    <w:rPr>
      <w:rFonts w:ascii="Segoe UI" w:hAnsi="Segoe UI" w:cs="Segoe UI"/>
      <w:sz w:val="18"/>
      <w:szCs w:val="18"/>
    </w:rPr>
  </w:style>
  <w:style w:type="table" w:customStyle="1" w:styleId="Tablaconcuadrcula3">
    <w:name w:val="Tabla con cuadrícula3"/>
    <w:basedOn w:val="Tablanormal"/>
    <w:next w:val="Tablaconcuadrcula"/>
    <w:uiPriority w:val="59"/>
    <w:unhideWhenUsed/>
    <w:rsid w:val="00DC676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unhideWhenUsed/>
    <w:rsid w:val="006C68B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unhideWhenUsed/>
    <w:rsid w:val="00146FA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unhideWhenUsed/>
    <w:rsid w:val="005F1F1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unhideWhenUsed/>
    <w:rsid w:val="002F0B7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B822C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5E7C21"/>
  </w:style>
  <w:style w:type="table" w:customStyle="1" w:styleId="TableNormal">
    <w:name w:val="Table Normal"/>
    <w:uiPriority w:val="2"/>
    <w:semiHidden/>
    <w:unhideWhenUsed/>
    <w:qFormat/>
    <w:rsid w:val="005E7C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E7C21"/>
    <w:pPr>
      <w:widowControl w:val="0"/>
      <w:autoSpaceDE w:val="0"/>
      <w:autoSpaceDN w:val="0"/>
      <w:spacing w:after="0" w:line="240" w:lineRule="auto"/>
    </w:pPr>
    <w:rPr>
      <w:rFonts w:ascii="Arial MT" w:eastAsia="Arial MT" w:hAnsi="Arial MT" w:cs="Arial MT"/>
      <w:lang w:val="es-ES"/>
    </w:rPr>
  </w:style>
  <w:style w:type="table" w:customStyle="1" w:styleId="Tablaconcuadrcula9">
    <w:name w:val="Tabla con cuadrícula9"/>
    <w:basedOn w:val="Tablanormal"/>
    <w:next w:val="Tablaconcuadrcula"/>
    <w:uiPriority w:val="39"/>
    <w:rsid w:val="005E7C2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unhideWhenUsed/>
    <w:rsid w:val="004861B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unhideWhenUsed/>
    <w:rsid w:val="0081683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DE3CD9"/>
  </w:style>
  <w:style w:type="paragraph" w:customStyle="1" w:styleId="MEB">
    <w:name w:val="MEB"/>
    <w:basedOn w:val="Ttulo1"/>
    <w:link w:val="MEBCar"/>
    <w:qFormat/>
    <w:rsid w:val="00DE3CD9"/>
    <w:pPr>
      <w:spacing w:line="259" w:lineRule="auto"/>
      <w:jc w:val="both"/>
    </w:pPr>
    <w:rPr>
      <w:rFonts w:ascii="Montserrat ExtraBold" w:hAnsi="Montserrat ExtraBold"/>
      <w:color w:val="000000"/>
      <w:sz w:val="24"/>
      <w:szCs w:val="32"/>
    </w:rPr>
  </w:style>
  <w:style w:type="character" w:customStyle="1" w:styleId="MEBCar">
    <w:name w:val="MEB Car"/>
    <w:basedOn w:val="Ttulo1Car"/>
    <w:link w:val="MEB"/>
    <w:rsid w:val="00DE3CD9"/>
    <w:rPr>
      <w:rFonts w:ascii="Montserrat ExtraBold" w:eastAsia="Times New Roman" w:hAnsi="Montserrat ExtraBold" w:cs="Times New Roman"/>
      <w:color w:val="000000"/>
      <w:sz w:val="24"/>
      <w:szCs w:val="32"/>
    </w:rPr>
  </w:style>
  <w:style w:type="paragraph" w:customStyle="1" w:styleId="MLB">
    <w:name w:val="MLB"/>
    <w:basedOn w:val="Normal"/>
    <w:link w:val="MLBCar"/>
    <w:qFormat/>
    <w:rsid w:val="00DE3CD9"/>
    <w:pPr>
      <w:spacing w:after="0" w:line="259" w:lineRule="auto"/>
      <w:jc w:val="both"/>
    </w:pPr>
    <w:rPr>
      <w:rFonts w:ascii="Montserrat Light" w:eastAsia="Batang" w:hAnsi="Montserrat Light"/>
      <w:sz w:val="24"/>
      <w:szCs w:val="24"/>
    </w:rPr>
  </w:style>
  <w:style w:type="character" w:customStyle="1" w:styleId="MLBCar">
    <w:name w:val="MLB Car"/>
    <w:basedOn w:val="Fuentedeprrafopredeter"/>
    <w:link w:val="MLB"/>
    <w:rsid w:val="00DE3CD9"/>
    <w:rPr>
      <w:rFonts w:ascii="Montserrat Light" w:eastAsia="Batang" w:hAnsi="Montserrat Light"/>
      <w:sz w:val="24"/>
      <w:szCs w:val="24"/>
    </w:rPr>
  </w:style>
  <w:style w:type="character" w:styleId="Hipervnculo">
    <w:name w:val="Hyperlink"/>
    <w:basedOn w:val="Fuentedeprrafopredeter"/>
    <w:uiPriority w:val="99"/>
    <w:unhideWhenUsed/>
    <w:qFormat/>
    <w:rsid w:val="00DE3CD9"/>
    <w:rPr>
      <w:color w:val="0000FF"/>
      <w:u w:val="single"/>
    </w:rPr>
  </w:style>
  <w:style w:type="character" w:styleId="Hipervnculovisitado">
    <w:name w:val="FollowedHyperlink"/>
    <w:basedOn w:val="Fuentedeprrafopredeter"/>
    <w:uiPriority w:val="99"/>
    <w:unhideWhenUsed/>
    <w:qFormat/>
    <w:rsid w:val="00DE3CD9"/>
    <w:rPr>
      <w:color w:val="C00000"/>
      <w:u w:val="single"/>
    </w:rPr>
  </w:style>
  <w:style w:type="paragraph" w:customStyle="1" w:styleId="msonormal0">
    <w:name w:val="msonormal"/>
    <w:basedOn w:val="Normal"/>
    <w:qFormat/>
    <w:rsid w:val="00DE3CD9"/>
    <w:pPr>
      <w:spacing w:before="100" w:beforeAutospacing="1" w:after="100" w:afterAutospacing="1" w:line="240" w:lineRule="auto"/>
      <w:jc w:val="both"/>
    </w:pPr>
    <w:rPr>
      <w:rFonts w:ascii="Times New Roman" w:eastAsia="Times New Roman" w:hAnsi="Times New Roman" w:cs="Times New Roman"/>
      <w:sz w:val="24"/>
      <w:szCs w:val="24"/>
      <w:lang w:eastAsia="es-MX"/>
    </w:rPr>
  </w:style>
  <w:style w:type="paragraph" w:customStyle="1" w:styleId="xl491">
    <w:name w:val="xl491"/>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color w:val="000000"/>
      <w:sz w:val="24"/>
      <w:szCs w:val="24"/>
      <w:lang w:eastAsia="es-MX"/>
    </w:rPr>
  </w:style>
  <w:style w:type="paragraph" w:customStyle="1" w:styleId="xl492">
    <w:name w:val="xl492"/>
    <w:basedOn w:val="Normal"/>
    <w:rsid w:val="00DE3CD9"/>
    <w:pPr>
      <w:shd w:val="clear" w:color="000000" w:fill="FFFFFF"/>
      <w:spacing w:before="100" w:beforeAutospacing="1" w:after="100" w:afterAutospacing="1" w:line="240" w:lineRule="auto"/>
      <w:jc w:val="right"/>
      <w:textAlignment w:val="top"/>
    </w:pPr>
    <w:rPr>
      <w:rFonts w:ascii="Montserrat" w:eastAsia="Times New Roman" w:hAnsi="Montserrat" w:cs="Times New Roman"/>
      <w:b/>
      <w:bCs/>
      <w:sz w:val="24"/>
      <w:szCs w:val="24"/>
      <w:lang w:eastAsia="es-MX"/>
    </w:rPr>
  </w:style>
  <w:style w:type="paragraph" w:customStyle="1" w:styleId="xl493">
    <w:name w:val="xl493"/>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b/>
      <w:bCs/>
      <w:sz w:val="24"/>
      <w:szCs w:val="24"/>
      <w:lang w:eastAsia="es-MX"/>
    </w:rPr>
  </w:style>
  <w:style w:type="paragraph" w:customStyle="1" w:styleId="xl494">
    <w:name w:val="xl494"/>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b/>
      <w:bCs/>
      <w:color w:val="000000"/>
      <w:sz w:val="24"/>
      <w:szCs w:val="24"/>
      <w:lang w:eastAsia="es-MX"/>
    </w:rPr>
  </w:style>
  <w:style w:type="paragraph" w:customStyle="1" w:styleId="xl495">
    <w:name w:val="xl495"/>
    <w:basedOn w:val="Normal"/>
    <w:rsid w:val="00DE3CD9"/>
    <w:pPr>
      <w:spacing w:before="100" w:beforeAutospacing="1" w:after="100" w:afterAutospacing="1" w:line="240" w:lineRule="auto"/>
      <w:jc w:val="both"/>
      <w:textAlignment w:val="top"/>
    </w:pPr>
    <w:rPr>
      <w:rFonts w:ascii="Montserrat" w:eastAsia="Times New Roman" w:hAnsi="Montserrat" w:cs="Times New Roman"/>
      <w:color w:val="000000"/>
      <w:sz w:val="24"/>
      <w:szCs w:val="24"/>
      <w:lang w:eastAsia="es-MX"/>
    </w:rPr>
  </w:style>
  <w:style w:type="paragraph" w:customStyle="1" w:styleId="xl496">
    <w:name w:val="xl496"/>
    <w:basedOn w:val="Normal"/>
    <w:rsid w:val="00DE3CD9"/>
    <w:pPr>
      <w:spacing w:before="100" w:beforeAutospacing="1" w:after="100" w:afterAutospacing="1" w:line="240" w:lineRule="auto"/>
      <w:jc w:val="both"/>
      <w:textAlignment w:val="top"/>
    </w:pPr>
    <w:rPr>
      <w:rFonts w:ascii="Montserrat" w:eastAsia="Times New Roman" w:hAnsi="Montserrat" w:cs="Times New Roman"/>
      <w:color w:val="FF0000"/>
      <w:sz w:val="24"/>
      <w:szCs w:val="24"/>
      <w:lang w:eastAsia="es-MX"/>
    </w:rPr>
  </w:style>
  <w:style w:type="paragraph" w:customStyle="1" w:styleId="xl497">
    <w:name w:val="xl497"/>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498">
    <w:name w:val="xl498"/>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499">
    <w:name w:val="xl499"/>
    <w:basedOn w:val="Normal"/>
    <w:rsid w:val="00DE3CD9"/>
    <w:pPr>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500">
    <w:name w:val="xl500"/>
    <w:basedOn w:val="Normal"/>
    <w:rsid w:val="00DE3CD9"/>
    <w:pPr>
      <w:spacing w:before="100" w:beforeAutospacing="1" w:after="100" w:afterAutospacing="1" w:line="240" w:lineRule="auto"/>
      <w:jc w:val="right"/>
      <w:textAlignment w:val="top"/>
    </w:pPr>
    <w:rPr>
      <w:rFonts w:ascii="Montserrat" w:eastAsia="Times New Roman" w:hAnsi="Montserrat" w:cs="Times New Roman"/>
      <w:sz w:val="24"/>
      <w:szCs w:val="24"/>
      <w:lang w:eastAsia="es-MX"/>
    </w:rPr>
  </w:style>
  <w:style w:type="paragraph" w:customStyle="1" w:styleId="xl501">
    <w:name w:val="xl501"/>
    <w:basedOn w:val="Normal"/>
    <w:rsid w:val="00DE3CD9"/>
    <w:pPr>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502">
    <w:name w:val="xl502"/>
    <w:basedOn w:val="Normal"/>
    <w:rsid w:val="00DE3CD9"/>
    <w:pPr>
      <w:spacing w:before="100" w:beforeAutospacing="1" w:after="100" w:afterAutospacing="1" w:line="240" w:lineRule="auto"/>
      <w:jc w:val="both"/>
      <w:textAlignment w:val="top"/>
    </w:pPr>
    <w:rPr>
      <w:rFonts w:ascii="Montserrat" w:eastAsia="Times New Roman" w:hAnsi="Montserrat" w:cs="Times New Roman"/>
      <w:b/>
      <w:bCs/>
      <w:sz w:val="24"/>
      <w:szCs w:val="24"/>
      <w:lang w:eastAsia="es-MX"/>
    </w:rPr>
  </w:style>
  <w:style w:type="paragraph" w:customStyle="1" w:styleId="xl503">
    <w:name w:val="xl503"/>
    <w:basedOn w:val="Normal"/>
    <w:rsid w:val="00DE3CD9"/>
    <w:pPr>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504">
    <w:name w:val="xl504"/>
    <w:basedOn w:val="Normal"/>
    <w:rsid w:val="00DE3CD9"/>
    <w:pPr>
      <w:spacing w:before="100" w:beforeAutospacing="1" w:after="100" w:afterAutospacing="1" w:line="240" w:lineRule="auto"/>
      <w:jc w:val="both"/>
      <w:textAlignment w:val="top"/>
    </w:pPr>
    <w:rPr>
      <w:rFonts w:ascii="Montserrat" w:eastAsia="Times New Roman" w:hAnsi="Montserrat" w:cs="Times New Roman"/>
      <w:color w:val="000000"/>
      <w:sz w:val="24"/>
      <w:szCs w:val="24"/>
      <w:lang w:eastAsia="es-MX"/>
    </w:rPr>
  </w:style>
  <w:style w:type="paragraph" w:customStyle="1" w:styleId="xl505">
    <w:name w:val="xl505"/>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color w:val="000000"/>
      <w:sz w:val="24"/>
      <w:szCs w:val="24"/>
      <w:lang w:eastAsia="es-MX"/>
    </w:rPr>
  </w:style>
  <w:style w:type="paragraph" w:customStyle="1" w:styleId="xl506">
    <w:name w:val="xl506"/>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507">
    <w:name w:val="xl507"/>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color w:val="000000"/>
      <w:sz w:val="24"/>
      <w:szCs w:val="24"/>
      <w:lang w:eastAsia="es-MX"/>
    </w:rPr>
  </w:style>
  <w:style w:type="paragraph" w:customStyle="1" w:styleId="xl508">
    <w:name w:val="xl508"/>
    <w:basedOn w:val="Normal"/>
    <w:rsid w:val="00DE3CD9"/>
    <w:pPr>
      <w:spacing w:before="100" w:beforeAutospacing="1" w:after="100" w:afterAutospacing="1" w:line="240" w:lineRule="auto"/>
      <w:jc w:val="both"/>
      <w:textAlignment w:val="top"/>
    </w:pPr>
    <w:rPr>
      <w:rFonts w:ascii="Montserrat" w:eastAsia="Times New Roman" w:hAnsi="Montserrat" w:cs="Times New Roman"/>
      <w:color w:val="000000"/>
      <w:sz w:val="24"/>
      <w:szCs w:val="24"/>
      <w:lang w:eastAsia="es-MX"/>
    </w:rPr>
  </w:style>
  <w:style w:type="paragraph" w:customStyle="1" w:styleId="xl509">
    <w:name w:val="xl509"/>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b/>
      <w:bCs/>
      <w:color w:val="000000"/>
      <w:sz w:val="24"/>
      <w:szCs w:val="24"/>
      <w:lang w:eastAsia="es-MX"/>
    </w:rPr>
  </w:style>
  <w:style w:type="paragraph" w:customStyle="1" w:styleId="xl510">
    <w:name w:val="xl510"/>
    <w:basedOn w:val="Normal"/>
    <w:rsid w:val="00DE3CD9"/>
    <w:pPr>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511">
    <w:name w:val="xl511"/>
    <w:basedOn w:val="Normal"/>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512">
    <w:name w:val="xl512"/>
    <w:basedOn w:val="Normal"/>
    <w:rsid w:val="00DE3CD9"/>
    <w:pPr>
      <w:spacing w:before="100" w:beforeAutospacing="1" w:after="100" w:afterAutospacing="1" w:line="240" w:lineRule="auto"/>
      <w:jc w:val="both"/>
      <w:textAlignment w:val="top"/>
    </w:pPr>
    <w:rPr>
      <w:rFonts w:ascii="Times New Roman" w:eastAsia="Times New Roman" w:hAnsi="Times New Roman" w:cs="Times New Roman"/>
      <w:sz w:val="24"/>
      <w:szCs w:val="24"/>
      <w:lang w:eastAsia="es-MX"/>
    </w:rPr>
  </w:style>
  <w:style w:type="table" w:customStyle="1" w:styleId="Tablaconcuadrcula12">
    <w:name w:val="Tabla con cuadrícula12"/>
    <w:basedOn w:val="Tablanormal"/>
    <w:next w:val="Tablaconcuadrcula"/>
    <w:rsid w:val="00DE3CD9"/>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qFormat/>
    <w:rsid w:val="00DE3CD9"/>
    <w:pPr>
      <w:autoSpaceDE w:val="0"/>
      <w:autoSpaceDN w:val="0"/>
      <w:adjustRightInd w:val="0"/>
      <w:spacing w:after="0" w:line="240" w:lineRule="auto"/>
    </w:pPr>
    <w:rPr>
      <w:rFonts w:ascii="Adobe Garamond Pro" w:eastAsia="Batang" w:hAnsi="Adobe Garamond Pro" w:cs="Adobe Garamond Pro"/>
      <w:color w:val="000000"/>
      <w:sz w:val="24"/>
      <w:szCs w:val="24"/>
    </w:rPr>
  </w:style>
  <w:style w:type="character" w:styleId="Refdecomentario">
    <w:name w:val="annotation reference"/>
    <w:basedOn w:val="Fuentedeprrafopredeter"/>
    <w:uiPriority w:val="99"/>
    <w:unhideWhenUsed/>
    <w:qFormat/>
    <w:rsid w:val="00DE3CD9"/>
    <w:rPr>
      <w:sz w:val="16"/>
      <w:szCs w:val="16"/>
    </w:rPr>
  </w:style>
  <w:style w:type="paragraph" w:customStyle="1" w:styleId="Textocomentario1">
    <w:name w:val="Texto comentario1"/>
    <w:basedOn w:val="Normal"/>
    <w:next w:val="Textocomentario"/>
    <w:link w:val="TextocomentarioCar"/>
    <w:unhideWhenUsed/>
    <w:qFormat/>
    <w:rsid w:val="00DE3CD9"/>
    <w:pPr>
      <w:spacing w:after="0" w:line="240" w:lineRule="auto"/>
      <w:jc w:val="both"/>
    </w:pPr>
    <w:rPr>
      <w:sz w:val="20"/>
      <w:szCs w:val="20"/>
    </w:rPr>
  </w:style>
  <w:style w:type="character" w:customStyle="1" w:styleId="TextocomentarioCar">
    <w:name w:val="Texto comentario Car"/>
    <w:basedOn w:val="Fuentedeprrafopredeter"/>
    <w:link w:val="Textocomentario1"/>
    <w:uiPriority w:val="99"/>
    <w:qFormat/>
    <w:rsid w:val="00DE3CD9"/>
    <w:rPr>
      <w:sz w:val="20"/>
      <w:szCs w:val="20"/>
    </w:rPr>
  </w:style>
  <w:style w:type="paragraph" w:customStyle="1" w:styleId="Asuntodelcomentario1">
    <w:name w:val="Asunto del comentario1"/>
    <w:basedOn w:val="Textocomentario"/>
    <w:next w:val="Textocomentario"/>
    <w:unhideWhenUsed/>
    <w:rsid w:val="00DE3CD9"/>
    <w:pPr>
      <w:spacing w:after="0"/>
      <w:jc w:val="both"/>
    </w:pPr>
    <w:rPr>
      <w:rFonts w:ascii="Montserrat" w:eastAsia="Batang" w:hAnsi="Montserrat"/>
      <w:b/>
      <w:bCs/>
    </w:rPr>
  </w:style>
  <w:style w:type="character" w:customStyle="1" w:styleId="AsuntodelcomentarioCar">
    <w:name w:val="Asunto del comentario Car"/>
    <w:basedOn w:val="TextocomentarioCar"/>
    <w:link w:val="Asuntodelcomentario"/>
    <w:uiPriority w:val="99"/>
    <w:qFormat/>
    <w:rsid w:val="00DE3CD9"/>
    <w:rPr>
      <w:sz w:val="20"/>
      <w:szCs w:val="20"/>
    </w:rPr>
  </w:style>
  <w:style w:type="paragraph" w:customStyle="1" w:styleId="Textonotaalfinal1">
    <w:name w:val="Texto nota al final1"/>
    <w:basedOn w:val="Normal"/>
    <w:next w:val="Textonotaalfinal"/>
    <w:link w:val="TextonotaalfinalCar"/>
    <w:uiPriority w:val="99"/>
    <w:semiHidden/>
    <w:unhideWhenUsed/>
    <w:rsid w:val="00DE3CD9"/>
    <w:pPr>
      <w:spacing w:after="0" w:line="240" w:lineRule="auto"/>
      <w:jc w:val="both"/>
    </w:pPr>
    <w:rPr>
      <w:sz w:val="20"/>
      <w:szCs w:val="20"/>
    </w:rPr>
  </w:style>
  <w:style w:type="character" w:customStyle="1" w:styleId="TextonotaalfinalCar">
    <w:name w:val="Texto nota al final Car"/>
    <w:basedOn w:val="Fuentedeprrafopredeter"/>
    <w:link w:val="Textonotaalfinal1"/>
    <w:uiPriority w:val="99"/>
    <w:rsid w:val="00DE3CD9"/>
    <w:rPr>
      <w:sz w:val="20"/>
      <w:szCs w:val="20"/>
    </w:rPr>
  </w:style>
  <w:style w:type="character" w:styleId="Refdenotaalfinal">
    <w:name w:val="endnote reference"/>
    <w:basedOn w:val="Fuentedeprrafopredeter"/>
    <w:uiPriority w:val="99"/>
    <w:unhideWhenUsed/>
    <w:rsid w:val="00DE3CD9"/>
    <w:rPr>
      <w:vertAlign w:val="superscript"/>
    </w:rPr>
  </w:style>
  <w:style w:type="paragraph" w:customStyle="1" w:styleId="Textonotapie1">
    <w:name w:val="Texto nota pie1"/>
    <w:basedOn w:val="Normal"/>
    <w:next w:val="Textonotapie"/>
    <w:link w:val="TextonotapieCar"/>
    <w:uiPriority w:val="99"/>
    <w:unhideWhenUsed/>
    <w:rsid w:val="00DE3CD9"/>
    <w:pPr>
      <w:spacing w:after="0" w:line="240" w:lineRule="auto"/>
      <w:jc w:val="both"/>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C Car"/>
    <w:basedOn w:val="Fuentedeprrafopredeter"/>
    <w:link w:val="Textonotapie1"/>
    <w:uiPriority w:val="99"/>
    <w:qFormat/>
    <w:rsid w:val="00DE3CD9"/>
    <w:rPr>
      <w:sz w:val="20"/>
      <w:szCs w:val="20"/>
    </w:rPr>
  </w:style>
  <w:style w:type="character" w:styleId="Refdenotaalpie">
    <w:name w:val="footnote reference"/>
    <w:aliases w:val="Texto de nota al pie,Appel note de bas de page,Footnotes refss,f,Ref. de nota al pie 2,referencia nota al pie,BVI fnr,Footnote number,4_G,16 Point,Superscript 6 Point,Texto nota al pie,Footnote Reference Char3,Ref,de nota al pie,ftre"/>
    <w:basedOn w:val="Fuentedeprrafopredeter"/>
    <w:link w:val="4GChar"/>
    <w:uiPriority w:val="99"/>
    <w:unhideWhenUsed/>
    <w:qFormat/>
    <w:rsid w:val="00DE3CD9"/>
    <w:rPr>
      <w:vertAlign w:val="superscript"/>
    </w:rPr>
  </w:style>
  <w:style w:type="paragraph" w:customStyle="1" w:styleId="xl91">
    <w:name w:val="xl91"/>
    <w:basedOn w:val="Normal"/>
    <w:qFormat/>
    <w:rsid w:val="00DE3CD9"/>
    <w:pPr>
      <w:spacing w:before="100" w:beforeAutospacing="1" w:after="100" w:afterAutospacing="1" w:line="240" w:lineRule="auto"/>
      <w:textAlignment w:val="top"/>
    </w:pPr>
    <w:rPr>
      <w:rFonts w:ascii="Montserrat" w:eastAsia="Times New Roman" w:hAnsi="Montserrat" w:cs="Times New Roman"/>
      <w:sz w:val="24"/>
      <w:szCs w:val="24"/>
      <w:lang w:eastAsia="es-MX"/>
    </w:rPr>
  </w:style>
  <w:style w:type="paragraph" w:customStyle="1" w:styleId="xl92">
    <w:name w:val="xl92"/>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sz w:val="24"/>
      <w:szCs w:val="24"/>
      <w:lang w:eastAsia="es-MX"/>
    </w:rPr>
  </w:style>
  <w:style w:type="paragraph" w:customStyle="1" w:styleId="xl93">
    <w:name w:val="xl93"/>
    <w:basedOn w:val="Normal"/>
    <w:qFormat/>
    <w:rsid w:val="00DE3CD9"/>
    <w:pPr>
      <w:spacing w:before="100" w:beforeAutospacing="1" w:after="100" w:afterAutospacing="1" w:line="240" w:lineRule="auto"/>
      <w:textAlignment w:val="top"/>
    </w:pPr>
    <w:rPr>
      <w:rFonts w:ascii="Montserrat" w:eastAsia="Times New Roman" w:hAnsi="Montserrat" w:cs="Times New Roman"/>
      <w:sz w:val="24"/>
      <w:szCs w:val="24"/>
      <w:lang w:eastAsia="es-MX"/>
    </w:rPr>
  </w:style>
  <w:style w:type="paragraph" w:customStyle="1" w:styleId="xl94">
    <w:name w:val="xl94"/>
    <w:basedOn w:val="Normal"/>
    <w:qFormat/>
    <w:rsid w:val="00DE3CD9"/>
    <w:pPr>
      <w:shd w:val="clear" w:color="000000" w:fill="FFFFFF"/>
      <w:spacing w:before="100" w:beforeAutospacing="1" w:after="100" w:afterAutospacing="1" w:line="240" w:lineRule="auto"/>
      <w:jc w:val="right"/>
      <w:textAlignment w:val="top"/>
    </w:pPr>
    <w:rPr>
      <w:rFonts w:ascii="Montserrat" w:eastAsia="Times New Roman" w:hAnsi="Montserrat" w:cs="Times New Roman"/>
      <w:b/>
      <w:bCs/>
      <w:sz w:val="24"/>
      <w:szCs w:val="24"/>
      <w:lang w:eastAsia="es-MX"/>
    </w:rPr>
  </w:style>
  <w:style w:type="paragraph" w:customStyle="1" w:styleId="xl95">
    <w:name w:val="xl95"/>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b/>
      <w:bCs/>
      <w:sz w:val="24"/>
      <w:szCs w:val="24"/>
      <w:lang w:eastAsia="es-MX"/>
    </w:rPr>
  </w:style>
  <w:style w:type="paragraph" w:customStyle="1" w:styleId="xl96">
    <w:name w:val="xl96"/>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b/>
      <w:bCs/>
      <w:color w:val="000000"/>
      <w:sz w:val="24"/>
      <w:szCs w:val="24"/>
      <w:lang w:eastAsia="es-MX"/>
    </w:rPr>
  </w:style>
  <w:style w:type="paragraph" w:customStyle="1" w:styleId="xl97">
    <w:name w:val="xl97"/>
    <w:basedOn w:val="Normal"/>
    <w:qFormat/>
    <w:rsid w:val="00DE3CD9"/>
    <w:pPr>
      <w:spacing w:before="100" w:beforeAutospacing="1" w:after="100" w:afterAutospacing="1" w:line="240" w:lineRule="auto"/>
      <w:textAlignment w:val="top"/>
    </w:pPr>
    <w:rPr>
      <w:rFonts w:ascii="Montserrat" w:eastAsia="Times New Roman" w:hAnsi="Montserrat" w:cs="Times New Roman"/>
      <w:b/>
      <w:bCs/>
      <w:sz w:val="24"/>
      <w:szCs w:val="24"/>
      <w:lang w:eastAsia="es-MX"/>
    </w:rPr>
  </w:style>
  <w:style w:type="paragraph" w:customStyle="1" w:styleId="xl98">
    <w:name w:val="xl98"/>
    <w:basedOn w:val="Normal"/>
    <w:qFormat/>
    <w:rsid w:val="00DE3CD9"/>
    <w:pPr>
      <w:spacing w:before="100" w:beforeAutospacing="1" w:after="100" w:afterAutospacing="1" w:line="240" w:lineRule="auto"/>
      <w:textAlignment w:val="top"/>
    </w:pPr>
    <w:rPr>
      <w:rFonts w:ascii="Montserrat" w:eastAsia="Times New Roman" w:hAnsi="Montserrat" w:cs="Times New Roman"/>
      <w:color w:val="FF0000"/>
      <w:sz w:val="24"/>
      <w:szCs w:val="24"/>
      <w:lang w:eastAsia="es-MX"/>
    </w:rPr>
  </w:style>
  <w:style w:type="paragraph" w:customStyle="1" w:styleId="xl99">
    <w:name w:val="xl99"/>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color w:val="000000"/>
      <w:sz w:val="24"/>
      <w:szCs w:val="24"/>
      <w:lang w:eastAsia="es-MX"/>
    </w:rPr>
  </w:style>
  <w:style w:type="paragraph" w:customStyle="1" w:styleId="xl100">
    <w:name w:val="xl100"/>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sz w:val="24"/>
      <w:szCs w:val="24"/>
      <w:lang w:eastAsia="es-MX"/>
    </w:rPr>
  </w:style>
  <w:style w:type="paragraph" w:customStyle="1" w:styleId="xl101">
    <w:name w:val="xl101"/>
    <w:basedOn w:val="Normal"/>
    <w:qFormat/>
    <w:rsid w:val="00DE3CD9"/>
    <w:pPr>
      <w:shd w:val="clear" w:color="000000" w:fill="FFFFFF"/>
      <w:spacing w:before="100" w:beforeAutospacing="1" w:after="100" w:afterAutospacing="1" w:line="240" w:lineRule="auto"/>
      <w:ind w:firstLineChars="200" w:firstLine="200"/>
      <w:textAlignment w:val="top"/>
    </w:pPr>
    <w:rPr>
      <w:rFonts w:ascii="Arial" w:eastAsia="Times New Roman" w:hAnsi="Arial" w:cs="Arial"/>
      <w:sz w:val="24"/>
      <w:szCs w:val="24"/>
      <w:lang w:eastAsia="es-MX"/>
    </w:rPr>
  </w:style>
  <w:style w:type="paragraph" w:customStyle="1" w:styleId="xl102">
    <w:name w:val="xl102"/>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color w:val="000000"/>
      <w:sz w:val="24"/>
      <w:szCs w:val="24"/>
      <w:lang w:eastAsia="es-MX"/>
    </w:rPr>
  </w:style>
  <w:style w:type="paragraph" w:customStyle="1" w:styleId="xl103">
    <w:name w:val="xl103"/>
    <w:basedOn w:val="Normal"/>
    <w:qFormat/>
    <w:rsid w:val="00DE3CD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4">
    <w:name w:val="xl104"/>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sz w:val="24"/>
      <w:szCs w:val="24"/>
      <w:lang w:eastAsia="es-MX"/>
    </w:rPr>
  </w:style>
  <w:style w:type="paragraph" w:customStyle="1" w:styleId="xl105">
    <w:name w:val="xl105"/>
    <w:basedOn w:val="Normal"/>
    <w:qFormat/>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color w:val="000000"/>
      <w:sz w:val="24"/>
      <w:szCs w:val="24"/>
      <w:lang w:eastAsia="es-MX"/>
    </w:rPr>
  </w:style>
  <w:style w:type="paragraph" w:customStyle="1" w:styleId="xl106">
    <w:name w:val="xl106"/>
    <w:basedOn w:val="Normal"/>
    <w:qFormat/>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sz w:val="24"/>
      <w:szCs w:val="24"/>
      <w:lang w:eastAsia="es-MX"/>
    </w:rPr>
  </w:style>
  <w:style w:type="paragraph" w:customStyle="1" w:styleId="xl107">
    <w:name w:val="xl107"/>
    <w:basedOn w:val="Normal"/>
    <w:qFormat/>
    <w:rsid w:val="00DE3CD9"/>
    <w:pPr>
      <w:shd w:val="clear" w:color="000000" w:fill="FFFFFF"/>
      <w:spacing w:before="100" w:beforeAutospacing="1" w:after="100" w:afterAutospacing="1" w:line="240" w:lineRule="auto"/>
      <w:textAlignment w:val="center"/>
    </w:pPr>
    <w:rPr>
      <w:rFonts w:ascii="Montserrat" w:eastAsia="Times New Roman" w:hAnsi="Montserrat" w:cs="Times New Roman"/>
      <w:sz w:val="24"/>
      <w:szCs w:val="24"/>
      <w:lang w:eastAsia="es-MX"/>
    </w:rPr>
  </w:style>
  <w:style w:type="paragraph" w:customStyle="1" w:styleId="xl108">
    <w:name w:val="xl108"/>
    <w:basedOn w:val="Normal"/>
    <w:qFormat/>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b/>
      <w:bCs/>
      <w:color w:val="000000"/>
      <w:sz w:val="24"/>
      <w:szCs w:val="24"/>
      <w:lang w:eastAsia="es-MX"/>
    </w:rPr>
  </w:style>
  <w:style w:type="paragraph" w:customStyle="1" w:styleId="xl109">
    <w:name w:val="xl109"/>
    <w:basedOn w:val="Normal"/>
    <w:qFormat/>
    <w:rsid w:val="00DE3CD9"/>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es-MX"/>
    </w:rPr>
  </w:style>
  <w:style w:type="paragraph" w:customStyle="1" w:styleId="xl110">
    <w:name w:val="xl110"/>
    <w:basedOn w:val="Normal"/>
    <w:qFormat/>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color w:val="000000"/>
      <w:sz w:val="24"/>
      <w:szCs w:val="24"/>
      <w:lang w:eastAsia="es-MX"/>
    </w:rPr>
  </w:style>
  <w:style w:type="character" w:styleId="nfasis">
    <w:name w:val="Emphasis"/>
    <w:basedOn w:val="Fuentedeprrafopredeter"/>
    <w:uiPriority w:val="20"/>
    <w:qFormat/>
    <w:rsid w:val="00DE3CD9"/>
    <w:rPr>
      <w:i/>
      <w:iCs/>
    </w:rPr>
  </w:style>
  <w:style w:type="character" w:customStyle="1" w:styleId="Mencinsinresolver1">
    <w:name w:val="Mención sin resolver1"/>
    <w:basedOn w:val="Fuentedeprrafopredeter"/>
    <w:uiPriority w:val="99"/>
    <w:semiHidden/>
    <w:unhideWhenUsed/>
    <w:rsid w:val="00DE3CD9"/>
    <w:rPr>
      <w:color w:val="605E5C"/>
      <w:shd w:val="clear" w:color="auto" w:fill="E1DFDD"/>
    </w:rPr>
  </w:style>
  <w:style w:type="character" w:customStyle="1" w:styleId="Mencinsinresolver2">
    <w:name w:val="Mención sin resolver2"/>
    <w:basedOn w:val="Fuentedeprrafopredeter"/>
    <w:uiPriority w:val="99"/>
    <w:rsid w:val="00DE3CD9"/>
    <w:rPr>
      <w:color w:val="605E5C"/>
      <w:shd w:val="clear" w:color="auto" w:fill="E1DFDD"/>
    </w:rPr>
  </w:style>
  <w:style w:type="character" w:customStyle="1" w:styleId="Mencinsinresolver3">
    <w:name w:val="Mención sin resolver3"/>
    <w:basedOn w:val="Fuentedeprrafopredeter"/>
    <w:uiPriority w:val="99"/>
    <w:rsid w:val="00DE3CD9"/>
    <w:rPr>
      <w:color w:val="605E5C"/>
      <w:shd w:val="clear" w:color="auto" w:fill="E1DFDD"/>
    </w:rPr>
  </w:style>
  <w:style w:type="paragraph" w:customStyle="1" w:styleId="xl67">
    <w:name w:val="xl67"/>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sz w:val="20"/>
      <w:szCs w:val="20"/>
      <w:lang w:eastAsia="es-MX"/>
    </w:rPr>
  </w:style>
  <w:style w:type="paragraph" w:customStyle="1" w:styleId="xl68">
    <w:name w:val="xl68"/>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sz w:val="20"/>
      <w:szCs w:val="20"/>
      <w:lang w:eastAsia="es-MX"/>
    </w:rPr>
  </w:style>
  <w:style w:type="paragraph" w:customStyle="1" w:styleId="xl69">
    <w:name w:val="xl69"/>
    <w:basedOn w:val="Normal"/>
    <w:qFormat/>
    <w:rsid w:val="00DE3CD9"/>
    <w:pPr>
      <w:spacing w:before="100" w:beforeAutospacing="1" w:after="100" w:afterAutospacing="1" w:line="240" w:lineRule="auto"/>
      <w:textAlignment w:val="top"/>
    </w:pPr>
    <w:rPr>
      <w:rFonts w:ascii="Montserrat" w:eastAsia="Times New Roman" w:hAnsi="Montserrat" w:cs="Times New Roman"/>
      <w:sz w:val="20"/>
      <w:szCs w:val="20"/>
      <w:lang w:eastAsia="es-MX"/>
    </w:rPr>
  </w:style>
  <w:style w:type="paragraph" w:customStyle="1" w:styleId="xl70">
    <w:name w:val="xl70"/>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b/>
      <w:bCs/>
      <w:sz w:val="20"/>
      <w:szCs w:val="20"/>
      <w:lang w:eastAsia="es-MX"/>
    </w:rPr>
  </w:style>
  <w:style w:type="paragraph" w:customStyle="1" w:styleId="xl71">
    <w:name w:val="xl71"/>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sz w:val="20"/>
      <w:szCs w:val="20"/>
      <w:lang w:eastAsia="es-MX"/>
    </w:rPr>
  </w:style>
  <w:style w:type="paragraph" w:customStyle="1" w:styleId="xl72">
    <w:name w:val="xl72"/>
    <w:basedOn w:val="Normal"/>
    <w:qFormat/>
    <w:rsid w:val="00DE3CD9"/>
    <w:pPr>
      <w:spacing w:before="100" w:beforeAutospacing="1" w:after="100" w:afterAutospacing="1" w:line="240" w:lineRule="auto"/>
      <w:textAlignment w:val="top"/>
    </w:pPr>
    <w:rPr>
      <w:rFonts w:ascii="Montserrat" w:eastAsia="Times New Roman" w:hAnsi="Montserrat" w:cs="Times New Roman"/>
      <w:sz w:val="20"/>
      <w:szCs w:val="20"/>
      <w:lang w:eastAsia="es-MX"/>
    </w:rPr>
  </w:style>
  <w:style w:type="paragraph" w:customStyle="1" w:styleId="xl73">
    <w:name w:val="xl73"/>
    <w:basedOn w:val="Normal"/>
    <w:qFormat/>
    <w:rsid w:val="00DE3CD9"/>
    <w:pPr>
      <w:shd w:val="clear" w:color="000000" w:fill="FFFFFF"/>
      <w:spacing w:before="100" w:beforeAutospacing="1" w:after="100" w:afterAutospacing="1" w:line="240" w:lineRule="auto"/>
      <w:jc w:val="right"/>
      <w:textAlignment w:val="top"/>
    </w:pPr>
    <w:rPr>
      <w:rFonts w:ascii="Montserrat" w:eastAsia="Times New Roman" w:hAnsi="Montserrat" w:cs="Times New Roman"/>
      <w:b/>
      <w:bCs/>
      <w:sz w:val="20"/>
      <w:szCs w:val="20"/>
      <w:lang w:eastAsia="es-MX"/>
    </w:rPr>
  </w:style>
  <w:style w:type="paragraph" w:customStyle="1" w:styleId="xl74">
    <w:name w:val="xl74"/>
    <w:basedOn w:val="Normal"/>
    <w:qFormat/>
    <w:rsid w:val="00DE3CD9"/>
    <w:pPr>
      <w:spacing w:before="100" w:beforeAutospacing="1" w:after="100" w:afterAutospacing="1" w:line="240" w:lineRule="auto"/>
    </w:pPr>
    <w:rPr>
      <w:rFonts w:ascii="Arial" w:eastAsia="Times New Roman" w:hAnsi="Arial" w:cs="Arial"/>
      <w:sz w:val="20"/>
      <w:szCs w:val="20"/>
      <w:lang w:eastAsia="es-MX"/>
    </w:rPr>
  </w:style>
  <w:style w:type="paragraph" w:customStyle="1" w:styleId="xl75">
    <w:name w:val="xl75"/>
    <w:basedOn w:val="Normal"/>
    <w:qFormat/>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b/>
      <w:bCs/>
      <w:color w:val="000000"/>
      <w:sz w:val="20"/>
      <w:szCs w:val="20"/>
      <w:lang w:eastAsia="es-MX"/>
    </w:rPr>
  </w:style>
  <w:style w:type="paragraph" w:customStyle="1" w:styleId="xl76">
    <w:name w:val="xl76"/>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b/>
      <w:bCs/>
      <w:color w:val="000000"/>
      <w:sz w:val="20"/>
      <w:szCs w:val="20"/>
      <w:lang w:eastAsia="es-MX"/>
    </w:rPr>
  </w:style>
  <w:style w:type="paragraph" w:customStyle="1" w:styleId="xl77">
    <w:name w:val="xl77"/>
    <w:basedOn w:val="Normal"/>
    <w:qFormat/>
    <w:rsid w:val="00DE3CD9"/>
    <w:pPr>
      <w:spacing w:before="100" w:beforeAutospacing="1" w:after="100" w:afterAutospacing="1" w:line="240" w:lineRule="auto"/>
      <w:textAlignment w:val="top"/>
    </w:pPr>
    <w:rPr>
      <w:rFonts w:ascii="Montserrat" w:eastAsia="Times New Roman" w:hAnsi="Montserrat" w:cs="Times New Roman"/>
      <w:b/>
      <w:bCs/>
      <w:sz w:val="20"/>
      <w:szCs w:val="20"/>
      <w:lang w:eastAsia="es-MX"/>
    </w:rPr>
  </w:style>
  <w:style w:type="paragraph" w:customStyle="1" w:styleId="xl78">
    <w:name w:val="xl78"/>
    <w:basedOn w:val="Normal"/>
    <w:qFormat/>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color w:val="000000"/>
      <w:sz w:val="20"/>
      <w:szCs w:val="20"/>
      <w:lang w:eastAsia="es-MX"/>
    </w:rPr>
  </w:style>
  <w:style w:type="paragraph" w:customStyle="1" w:styleId="xl79">
    <w:name w:val="xl79"/>
    <w:basedOn w:val="Normal"/>
    <w:qFormat/>
    <w:rsid w:val="00DE3CD9"/>
    <w:pPr>
      <w:shd w:val="clear" w:color="000000" w:fill="FFFFFF"/>
      <w:spacing w:before="100" w:beforeAutospacing="1" w:after="100" w:afterAutospacing="1" w:line="240" w:lineRule="auto"/>
      <w:jc w:val="both"/>
      <w:textAlignment w:val="top"/>
    </w:pPr>
    <w:rPr>
      <w:rFonts w:ascii="Arial" w:eastAsia="Times New Roman" w:hAnsi="Arial" w:cs="Arial"/>
      <w:sz w:val="20"/>
      <w:szCs w:val="20"/>
      <w:lang w:eastAsia="es-MX"/>
    </w:rPr>
  </w:style>
  <w:style w:type="paragraph" w:customStyle="1" w:styleId="xl80">
    <w:name w:val="xl80"/>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color w:val="000000"/>
      <w:sz w:val="20"/>
      <w:szCs w:val="20"/>
      <w:lang w:eastAsia="es-MX"/>
    </w:rPr>
  </w:style>
  <w:style w:type="paragraph" w:customStyle="1" w:styleId="xl81">
    <w:name w:val="xl81"/>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color w:val="000000"/>
      <w:sz w:val="20"/>
      <w:szCs w:val="20"/>
      <w:lang w:eastAsia="es-MX"/>
    </w:rPr>
  </w:style>
  <w:style w:type="paragraph" w:customStyle="1" w:styleId="xl82">
    <w:name w:val="xl82"/>
    <w:basedOn w:val="Normal"/>
    <w:qFormat/>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color w:val="000000"/>
      <w:sz w:val="20"/>
      <w:szCs w:val="20"/>
      <w:lang w:eastAsia="es-MX"/>
    </w:rPr>
  </w:style>
  <w:style w:type="paragraph" w:customStyle="1" w:styleId="xl83">
    <w:name w:val="xl83"/>
    <w:basedOn w:val="Normal"/>
    <w:qFormat/>
    <w:rsid w:val="00DE3CD9"/>
    <w:pPr>
      <w:shd w:val="clear" w:color="000000" w:fill="FFFFFF"/>
      <w:spacing w:before="100" w:beforeAutospacing="1" w:after="100" w:afterAutospacing="1" w:line="240" w:lineRule="auto"/>
      <w:textAlignment w:val="top"/>
    </w:pPr>
    <w:rPr>
      <w:rFonts w:ascii="Montserrat" w:eastAsia="Times New Roman" w:hAnsi="Montserrat" w:cs="Times New Roman"/>
      <w:color w:val="000000"/>
      <w:sz w:val="20"/>
      <w:szCs w:val="20"/>
      <w:lang w:eastAsia="es-MX"/>
    </w:rPr>
  </w:style>
  <w:style w:type="paragraph" w:customStyle="1" w:styleId="xl84">
    <w:name w:val="xl84"/>
    <w:basedOn w:val="Normal"/>
    <w:qFormat/>
    <w:rsid w:val="00DE3CD9"/>
    <w:pPr>
      <w:spacing w:before="100" w:beforeAutospacing="1" w:after="100" w:afterAutospacing="1" w:line="240" w:lineRule="auto"/>
      <w:textAlignment w:val="top"/>
    </w:pPr>
    <w:rPr>
      <w:rFonts w:ascii="Montserrat" w:eastAsia="Times New Roman" w:hAnsi="Montserrat" w:cs="Times New Roman"/>
      <w:color w:val="FF0000"/>
      <w:sz w:val="20"/>
      <w:szCs w:val="20"/>
      <w:lang w:eastAsia="es-MX"/>
    </w:rPr>
  </w:style>
  <w:style w:type="paragraph" w:customStyle="1" w:styleId="xl85">
    <w:name w:val="xl85"/>
    <w:basedOn w:val="Normal"/>
    <w:qFormat/>
    <w:rsid w:val="00DE3CD9"/>
    <w:pPr>
      <w:shd w:val="clear" w:color="000000" w:fill="FFFFFF"/>
      <w:spacing w:before="100" w:beforeAutospacing="1" w:after="100" w:afterAutospacing="1" w:line="240" w:lineRule="auto"/>
      <w:jc w:val="right"/>
      <w:textAlignment w:val="top"/>
    </w:pPr>
    <w:rPr>
      <w:rFonts w:ascii="Montserrat" w:eastAsia="Times New Roman" w:hAnsi="Montserrat" w:cs="Times New Roman"/>
      <w:sz w:val="20"/>
      <w:szCs w:val="20"/>
      <w:lang w:eastAsia="es-MX"/>
    </w:rPr>
  </w:style>
  <w:style w:type="paragraph" w:customStyle="1" w:styleId="xl86">
    <w:name w:val="xl86"/>
    <w:basedOn w:val="Normal"/>
    <w:qFormat/>
    <w:rsid w:val="00DE3CD9"/>
    <w:pPr>
      <w:shd w:val="clear" w:color="000000" w:fill="FFFFFF"/>
      <w:spacing w:before="100" w:beforeAutospacing="1" w:after="100" w:afterAutospacing="1" w:line="240" w:lineRule="auto"/>
      <w:textAlignment w:val="center"/>
    </w:pPr>
    <w:rPr>
      <w:rFonts w:ascii="Montserrat" w:eastAsia="Times New Roman" w:hAnsi="Montserrat" w:cs="Times New Roman"/>
      <w:sz w:val="20"/>
      <w:szCs w:val="20"/>
      <w:lang w:eastAsia="es-MX"/>
    </w:rPr>
  </w:style>
  <w:style w:type="paragraph" w:customStyle="1" w:styleId="xl87">
    <w:name w:val="xl87"/>
    <w:basedOn w:val="Normal"/>
    <w:qFormat/>
    <w:rsid w:val="00DE3CD9"/>
    <w:pPr>
      <w:shd w:val="clear" w:color="000000" w:fill="FFFFFF"/>
      <w:spacing w:before="100" w:beforeAutospacing="1" w:after="100" w:afterAutospacing="1" w:line="240" w:lineRule="auto"/>
      <w:ind w:firstLineChars="200" w:firstLine="200"/>
      <w:textAlignment w:val="top"/>
    </w:pPr>
    <w:rPr>
      <w:rFonts w:ascii="Arial" w:eastAsia="Times New Roman" w:hAnsi="Arial" w:cs="Arial"/>
      <w:sz w:val="20"/>
      <w:szCs w:val="20"/>
      <w:lang w:eastAsia="es-MX"/>
    </w:rPr>
  </w:style>
  <w:style w:type="paragraph" w:customStyle="1" w:styleId="xl88">
    <w:name w:val="xl88"/>
    <w:basedOn w:val="Normal"/>
    <w:qFormat/>
    <w:rsid w:val="00DE3CD9"/>
    <w:pPr>
      <w:shd w:val="clear" w:color="000000" w:fill="FFFFFF"/>
      <w:spacing w:before="100" w:beforeAutospacing="1" w:after="100" w:afterAutospacing="1" w:line="240" w:lineRule="auto"/>
      <w:jc w:val="both"/>
      <w:textAlignment w:val="top"/>
    </w:pPr>
    <w:rPr>
      <w:rFonts w:ascii="Montserrat" w:eastAsia="Times New Roman" w:hAnsi="Montserrat" w:cs="Times New Roman"/>
      <w:sz w:val="20"/>
      <w:szCs w:val="20"/>
      <w:lang w:eastAsia="es-MX"/>
    </w:rPr>
  </w:style>
  <w:style w:type="paragraph" w:customStyle="1" w:styleId="xl89">
    <w:name w:val="xl89"/>
    <w:basedOn w:val="Normal"/>
    <w:qFormat/>
    <w:rsid w:val="00DE3CD9"/>
    <w:pPr>
      <w:shd w:val="clear" w:color="000000" w:fill="FFFFFF"/>
      <w:spacing w:before="100" w:beforeAutospacing="1" w:after="100" w:afterAutospacing="1" w:line="240" w:lineRule="auto"/>
    </w:pPr>
    <w:rPr>
      <w:rFonts w:ascii="Arial" w:eastAsia="Times New Roman" w:hAnsi="Arial" w:cs="Arial"/>
      <w:sz w:val="20"/>
      <w:szCs w:val="20"/>
      <w:lang w:eastAsia="es-MX"/>
    </w:rPr>
  </w:style>
  <w:style w:type="table" w:customStyle="1" w:styleId="TableNormal1">
    <w:name w:val="Table Normal1"/>
    <w:uiPriority w:val="2"/>
    <w:semiHidden/>
    <w:unhideWhenUsed/>
    <w:qFormat/>
    <w:rsid w:val="00DE3C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DE3CD9"/>
    <w:rPr>
      <w:color w:val="605E5C"/>
      <w:shd w:val="clear" w:color="auto" w:fill="E1DFDD"/>
    </w:rPr>
  </w:style>
  <w:style w:type="paragraph" w:customStyle="1" w:styleId="Texto">
    <w:name w:val="Texto"/>
    <w:aliases w:val="independiente,independiente Car Car Car"/>
    <w:basedOn w:val="Normal"/>
    <w:link w:val="TextoCar"/>
    <w:qFormat/>
    <w:rsid w:val="00DE3CD9"/>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DE3CD9"/>
    <w:rPr>
      <w:rFonts w:ascii="Arial" w:eastAsia="Times New Roman" w:hAnsi="Arial" w:cs="Arial"/>
      <w:sz w:val="18"/>
      <w:szCs w:val="20"/>
      <w:lang w:val="es-ES" w:eastAsia="es-ES"/>
    </w:rPr>
  </w:style>
  <w:style w:type="character" w:customStyle="1" w:styleId="TextosinformatoCar">
    <w:name w:val="Texto sin formato Car"/>
    <w:aliases w:val=" Car Car Car Car Car Car Car Car Car Car,Car Car Car Car Car Car Car Car Car Car, Car Car Car Car Car Car Car Car Car Car Car Car Car Car Car1, Car Car Car Car Car Car Car Car Car Car Car Car Car Car Car Car Car Car"/>
    <w:basedOn w:val="Fuentedeprrafopredeter"/>
    <w:link w:val="Textosinformato"/>
    <w:uiPriority w:val="99"/>
    <w:qFormat/>
    <w:rsid w:val="00DE3CD9"/>
    <w:rPr>
      <w:rFonts w:ascii="Courier New" w:eastAsia="Times New Roman" w:hAnsi="Courier New" w:cs="Times New Roman"/>
      <w:sz w:val="20"/>
      <w:szCs w:val="20"/>
      <w:lang w:val="es-ES" w:eastAsia="es-ES"/>
    </w:rPr>
  </w:style>
  <w:style w:type="paragraph" w:styleId="Textosinformato">
    <w:name w:val="Plain Text"/>
    <w:aliases w:val=" Car Car Car Car Car Car Car Car Car,Car Car Car Car Car Car Car Car Car, Car Car Car Car Car Car Car Car Car Car Car Car Car Car, Car Car Car Car Car Car Car Car Car Car Car Car Car Car Car Car Car,Texto sin formato3 Car"/>
    <w:basedOn w:val="Normal"/>
    <w:link w:val="TextosinformatoCar"/>
    <w:uiPriority w:val="99"/>
    <w:qFormat/>
    <w:rsid w:val="00DE3CD9"/>
    <w:pPr>
      <w:spacing w:after="0" w:line="240" w:lineRule="auto"/>
    </w:pPr>
    <w:rPr>
      <w:rFonts w:ascii="Courier New" w:eastAsia="Times New Roman" w:hAnsi="Courier New" w:cs="Times New Roman"/>
      <w:sz w:val="20"/>
      <w:szCs w:val="20"/>
      <w:lang w:val="es-ES" w:eastAsia="es-ES"/>
    </w:rPr>
  </w:style>
  <w:style w:type="character" w:customStyle="1" w:styleId="TextosinformatoCar1">
    <w:name w:val="Texto sin formato Car1"/>
    <w:aliases w:val="Texto sin formato Car Car Car Car1,Texto sin formato Car Car Car1,Texto sin formato Car Car2,Texto sin formato Car Car Car Car Car"/>
    <w:basedOn w:val="Fuentedeprrafopredeter"/>
    <w:rsid w:val="00DE3CD9"/>
    <w:rPr>
      <w:rFonts w:ascii="Consolas" w:hAnsi="Consolas"/>
      <w:sz w:val="21"/>
      <w:szCs w:val="21"/>
    </w:rPr>
  </w:style>
  <w:style w:type="character" w:styleId="Textoennegrita">
    <w:name w:val="Strong"/>
    <w:basedOn w:val="Fuentedeprrafopredeter"/>
    <w:uiPriority w:val="22"/>
    <w:qFormat/>
    <w:rsid w:val="00DE3CD9"/>
    <w:rPr>
      <w:b/>
      <w:bCs/>
    </w:rPr>
  </w:style>
  <w:style w:type="paragraph" w:styleId="Textocomentario">
    <w:name w:val="annotation text"/>
    <w:basedOn w:val="Normal"/>
    <w:link w:val="TextocomentarioCar1"/>
    <w:uiPriority w:val="99"/>
    <w:unhideWhenUsed/>
    <w:qFormat/>
    <w:rsid w:val="00DE3CD9"/>
    <w:pPr>
      <w:spacing w:line="240" w:lineRule="auto"/>
    </w:pPr>
    <w:rPr>
      <w:sz w:val="20"/>
      <w:szCs w:val="20"/>
    </w:rPr>
  </w:style>
  <w:style w:type="character" w:customStyle="1" w:styleId="TextocomentarioCar1">
    <w:name w:val="Texto comentario Car1"/>
    <w:basedOn w:val="Fuentedeprrafopredeter"/>
    <w:link w:val="Textocomentario"/>
    <w:uiPriority w:val="99"/>
    <w:rsid w:val="00DE3CD9"/>
    <w:rPr>
      <w:sz w:val="20"/>
      <w:szCs w:val="20"/>
    </w:rPr>
  </w:style>
  <w:style w:type="paragraph" w:styleId="Asuntodelcomentario">
    <w:name w:val="annotation subject"/>
    <w:basedOn w:val="Textocomentario"/>
    <w:next w:val="Textocomentario"/>
    <w:link w:val="AsuntodelcomentarioCar"/>
    <w:uiPriority w:val="99"/>
    <w:unhideWhenUsed/>
    <w:qFormat/>
    <w:rsid w:val="00DE3CD9"/>
  </w:style>
  <w:style w:type="character" w:customStyle="1" w:styleId="AsuntodelcomentarioCar1">
    <w:name w:val="Asunto del comentario Car1"/>
    <w:basedOn w:val="TextocomentarioCar1"/>
    <w:uiPriority w:val="99"/>
    <w:rsid w:val="00DE3CD9"/>
    <w:rPr>
      <w:b/>
      <w:bCs/>
      <w:sz w:val="20"/>
      <w:szCs w:val="20"/>
    </w:rPr>
  </w:style>
  <w:style w:type="paragraph" w:styleId="Textonotaalfinal">
    <w:name w:val="endnote text"/>
    <w:basedOn w:val="Normal"/>
    <w:link w:val="TextonotaalfinalCar1"/>
    <w:uiPriority w:val="99"/>
    <w:unhideWhenUsed/>
    <w:rsid w:val="00DE3CD9"/>
    <w:pPr>
      <w:spacing w:after="0" w:line="240" w:lineRule="auto"/>
    </w:pPr>
    <w:rPr>
      <w:sz w:val="20"/>
      <w:szCs w:val="20"/>
    </w:rPr>
  </w:style>
  <w:style w:type="character" w:customStyle="1" w:styleId="TextonotaalfinalCar1">
    <w:name w:val="Texto nota al final Car1"/>
    <w:basedOn w:val="Fuentedeprrafopredeter"/>
    <w:link w:val="Textonotaalfinal"/>
    <w:uiPriority w:val="99"/>
    <w:semiHidden/>
    <w:rsid w:val="00DE3CD9"/>
    <w:rPr>
      <w:sz w:val="20"/>
      <w:szCs w:val="20"/>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ﬂnotentext,FA,no,C"/>
    <w:basedOn w:val="Normal"/>
    <w:link w:val="TextonotapieCar1"/>
    <w:uiPriority w:val="99"/>
    <w:unhideWhenUsed/>
    <w:qFormat/>
    <w:rsid w:val="00DE3CD9"/>
    <w:pPr>
      <w:spacing w:after="0" w:line="240" w:lineRule="auto"/>
    </w:pPr>
    <w:rPr>
      <w:sz w:val="20"/>
      <w:szCs w:val="20"/>
    </w:rPr>
  </w:style>
  <w:style w:type="character" w:customStyle="1" w:styleId="TextonotapieCar1">
    <w:name w:val="Texto nota pie Car1"/>
    <w:aliases w:val="Footnote Text Char Char Char Char Char Car1,Footnote Text Char Char Char Char Car1,Footnote reference Car1,FA Fu Car1,Footnote Text Char Char Char Car1,Footnote Text Cha Car1,FA Fußnotentext Car1,FA Fuﬂnotentext Car1,Ca Car,FA Car"/>
    <w:basedOn w:val="Fuentedeprrafopredeter"/>
    <w:link w:val="Textonotapie"/>
    <w:uiPriority w:val="99"/>
    <w:rsid w:val="00DE3CD9"/>
    <w:rPr>
      <w:sz w:val="20"/>
      <w:szCs w:val="20"/>
    </w:rPr>
  </w:style>
  <w:style w:type="numbering" w:customStyle="1" w:styleId="Sinlista4">
    <w:name w:val="Sin lista4"/>
    <w:next w:val="Sinlista"/>
    <w:uiPriority w:val="99"/>
    <w:semiHidden/>
    <w:unhideWhenUsed/>
    <w:rsid w:val="00B63A81"/>
  </w:style>
  <w:style w:type="table" w:customStyle="1" w:styleId="Tablaconcuadrcula13">
    <w:name w:val="Tabla con cuadrícula13"/>
    <w:basedOn w:val="Tablanormal"/>
    <w:next w:val="Tablaconcuadrcula"/>
    <w:uiPriority w:val="59"/>
    <w:rsid w:val="00B63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B63A81"/>
  </w:style>
  <w:style w:type="paragraph" w:customStyle="1" w:styleId="temp">
    <w:name w:val="temp"/>
    <w:basedOn w:val="Normal"/>
    <w:rsid w:val="00B63A8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B63A81"/>
  </w:style>
  <w:style w:type="character" w:customStyle="1" w:styleId="ng-star-inserted">
    <w:name w:val="ng-star-inserted"/>
    <w:basedOn w:val="Fuentedeprrafopredeter"/>
    <w:rsid w:val="00B63A81"/>
  </w:style>
  <w:style w:type="paragraph" w:styleId="NormalWeb">
    <w:name w:val="Normal (Web)"/>
    <w:aliases w:val="Normal (Web) Car1,Normal (Web) Car Car,Normal (Web) Car1 Car Car,Normal (Web) Car Car Car,Normal (Web) Car Car Car Car,Car Car Car,Normal (Web) Car1 Car Car Car Car,Normal (Web) Car Car Car Car Car Car Car Car Car Car,Car Car Car Ca"/>
    <w:basedOn w:val="Normal"/>
    <w:link w:val="NormalWebCar"/>
    <w:uiPriority w:val="99"/>
    <w:unhideWhenUsed/>
    <w:qFormat/>
    <w:rsid w:val="00B63A81"/>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anormal11">
    <w:name w:val="Tabla normal 11"/>
    <w:basedOn w:val="Tablanormal"/>
    <w:uiPriority w:val="41"/>
    <w:rsid w:val="00B63A81"/>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1">
    <w:name w:val="A1"/>
    <w:uiPriority w:val="99"/>
    <w:rsid w:val="00B63A81"/>
    <w:rPr>
      <w:rFonts w:cs="Montserrat"/>
      <w:color w:val="000000"/>
      <w:sz w:val="18"/>
      <w:szCs w:val="18"/>
    </w:rPr>
  </w:style>
  <w:style w:type="paragraph" w:customStyle="1" w:styleId="Bibliografa1">
    <w:name w:val="Bibliografía1"/>
    <w:basedOn w:val="Normal"/>
    <w:next w:val="Normal"/>
    <w:uiPriority w:val="37"/>
    <w:unhideWhenUsed/>
    <w:rsid w:val="00B63A81"/>
    <w:pPr>
      <w:spacing w:after="200" w:line="276" w:lineRule="auto"/>
    </w:pPr>
  </w:style>
  <w:style w:type="character" w:customStyle="1" w:styleId="PrrafodelistaCar">
    <w:name w:val="Párrafo de lista Car"/>
    <w:aliases w:val="Footnote Car,Párrafo de lista2 Car,List Paragraph Car,Cita texto Car,List Paragraph1 Car,Colorful List - Accent 11 Car,Cuadrícula clara - Énfasis 31 Car,TEXTO GENERAL SENTENCIAS Car,AB List 1 Car,Bullet Points Car,Bullet List Car"/>
    <w:link w:val="Prrafodelista"/>
    <w:uiPriority w:val="34"/>
    <w:qFormat/>
    <w:locked/>
    <w:rsid w:val="00B63A81"/>
  </w:style>
  <w:style w:type="numbering" w:customStyle="1" w:styleId="Sinlista5">
    <w:name w:val="Sin lista5"/>
    <w:next w:val="Sinlista"/>
    <w:uiPriority w:val="99"/>
    <w:semiHidden/>
    <w:unhideWhenUsed/>
    <w:rsid w:val="00A26CD3"/>
  </w:style>
  <w:style w:type="character" w:styleId="Nmerodepgina">
    <w:name w:val="page number"/>
    <w:qFormat/>
    <w:rsid w:val="00A26CD3"/>
  </w:style>
  <w:style w:type="table" w:customStyle="1" w:styleId="Tablaconcuadrcula14">
    <w:name w:val="Tabla con cuadrícula14"/>
    <w:basedOn w:val="Tablanormal"/>
    <w:next w:val="Tablaconcuadrcula"/>
    <w:qFormat/>
    <w:rsid w:val="00A26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rsid w:val="00A26CD3"/>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A26CD3"/>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qFormat/>
    <w:rsid w:val="00A26CD3"/>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A26CD3"/>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iPriority w:val="99"/>
    <w:rsid w:val="00A26CD3"/>
    <w:pPr>
      <w:spacing w:after="0" w:line="240" w:lineRule="auto"/>
      <w:ind w:left="360"/>
      <w:jc w:val="both"/>
    </w:pPr>
    <w:rPr>
      <w:rFonts w:ascii="Arial" w:eastAsia="Times New Roman" w:hAnsi="Arial" w:cs="Times New Roman"/>
      <w:b/>
      <w:bCs/>
      <w:szCs w:val="24"/>
      <w:lang w:val="es-ES" w:eastAsia="es-ES"/>
    </w:rPr>
  </w:style>
  <w:style w:type="character" w:customStyle="1" w:styleId="SangradetextonormalCar">
    <w:name w:val="Sangría de texto normal Car"/>
    <w:basedOn w:val="Fuentedeprrafopredeter"/>
    <w:link w:val="Sangradetextonormal"/>
    <w:uiPriority w:val="99"/>
    <w:rsid w:val="00A26CD3"/>
    <w:rPr>
      <w:rFonts w:ascii="Arial" w:eastAsia="Times New Roman" w:hAnsi="Arial" w:cs="Times New Roman"/>
      <w:b/>
      <w:bCs/>
      <w:szCs w:val="24"/>
      <w:lang w:val="es-ES" w:eastAsia="es-ES"/>
    </w:rPr>
  </w:style>
  <w:style w:type="paragraph" w:styleId="Sangra2detindependiente">
    <w:name w:val="Body Text Indent 2"/>
    <w:aliases w:val=" Car Car Car Ca Car Car Car Car, Car Car Car Ca Car Car, Car Car Car Ca Car, Car Car Car Ca"/>
    <w:basedOn w:val="Normal"/>
    <w:link w:val="Sangra2detindependienteCar"/>
    <w:rsid w:val="00A26CD3"/>
    <w:pPr>
      <w:spacing w:before="240" w:after="0" w:line="240" w:lineRule="auto"/>
      <w:ind w:left="357" w:firstLine="709"/>
      <w:jc w:val="both"/>
    </w:pPr>
    <w:rPr>
      <w:rFonts w:ascii="Arial" w:eastAsia="Times New Roman" w:hAnsi="Arial" w:cs="Times New Roman"/>
      <w:szCs w:val="24"/>
      <w:lang w:eastAsia="es-MX"/>
    </w:rPr>
  </w:style>
  <w:style w:type="character" w:customStyle="1" w:styleId="Sangra2detindependienteCar">
    <w:name w:val="Sangría 2 de t. independiente Car"/>
    <w:aliases w:val=" Car Car Car Ca Car Car Car Car Car, Car Car Car Ca Car Car Car, Car Car Car Ca Car Car1, Car Car Car Ca Car1"/>
    <w:basedOn w:val="Fuentedeprrafopredeter"/>
    <w:link w:val="Sangra2detindependiente"/>
    <w:rsid w:val="00A26CD3"/>
    <w:rPr>
      <w:rFonts w:ascii="Arial" w:eastAsia="Times New Roman" w:hAnsi="Arial" w:cs="Times New Roman"/>
      <w:szCs w:val="24"/>
      <w:lang w:eastAsia="es-MX"/>
    </w:rPr>
  </w:style>
  <w:style w:type="paragraph" w:styleId="Sangra3detindependiente">
    <w:name w:val="Body Text Indent 3"/>
    <w:basedOn w:val="Normal"/>
    <w:link w:val="Sangra3detindependienteCar"/>
    <w:rsid w:val="00A26CD3"/>
    <w:pPr>
      <w:spacing w:after="0" w:line="240" w:lineRule="auto"/>
      <w:ind w:left="426"/>
      <w:jc w:val="both"/>
    </w:pPr>
    <w:rPr>
      <w:rFonts w:ascii="Arial" w:eastAsia="Times New Roman" w:hAnsi="Arial" w:cs="Times New Roman"/>
      <w:szCs w:val="24"/>
      <w:lang w:val="es-ES" w:eastAsia="es-ES"/>
    </w:rPr>
  </w:style>
  <w:style w:type="character" w:customStyle="1" w:styleId="Sangra3detindependienteCar">
    <w:name w:val="Sangría 3 de t. independiente Car"/>
    <w:basedOn w:val="Fuentedeprrafopredeter"/>
    <w:link w:val="Sangra3detindependiente"/>
    <w:rsid w:val="00A26CD3"/>
    <w:rPr>
      <w:rFonts w:ascii="Arial" w:eastAsia="Times New Roman" w:hAnsi="Arial" w:cs="Times New Roman"/>
      <w:szCs w:val="24"/>
      <w:lang w:val="es-ES" w:eastAsia="es-ES"/>
    </w:rPr>
  </w:style>
  <w:style w:type="paragraph" w:styleId="TDC1">
    <w:name w:val="toc 1"/>
    <w:aliases w:val="titulo 1"/>
    <w:basedOn w:val="Normal"/>
    <w:next w:val="Normal"/>
    <w:autoRedefine/>
    <w:qFormat/>
    <w:rsid w:val="00A26CD3"/>
    <w:pPr>
      <w:tabs>
        <w:tab w:val="left" w:pos="440"/>
        <w:tab w:val="left" w:pos="851"/>
        <w:tab w:val="right" w:leader="dot" w:pos="9214"/>
      </w:tabs>
      <w:spacing w:before="240" w:after="0" w:line="240" w:lineRule="auto"/>
      <w:jc w:val="both"/>
    </w:pPr>
    <w:rPr>
      <w:rFonts w:ascii="Arial" w:eastAsia="Times New Roman" w:hAnsi="Arial" w:cs="Times New Roman"/>
      <w:noProof/>
      <w:szCs w:val="24"/>
      <w:lang w:val="es-ES" w:eastAsia="es-ES"/>
    </w:rPr>
  </w:style>
  <w:style w:type="paragraph" w:styleId="TDC2">
    <w:name w:val="toc 2"/>
    <w:basedOn w:val="Normal"/>
    <w:next w:val="Normal"/>
    <w:autoRedefine/>
    <w:uiPriority w:val="39"/>
    <w:qFormat/>
    <w:rsid w:val="00A26CD3"/>
    <w:pPr>
      <w:tabs>
        <w:tab w:val="left" w:pos="851"/>
        <w:tab w:val="left" w:pos="880"/>
        <w:tab w:val="right" w:leader="dot" w:pos="9214"/>
      </w:tabs>
      <w:spacing w:before="240" w:after="0" w:line="240" w:lineRule="auto"/>
      <w:ind w:left="851" w:hanging="631"/>
    </w:pPr>
    <w:rPr>
      <w:rFonts w:ascii="Gill Sans" w:eastAsia="Times New Roman" w:hAnsi="Gill Sans" w:cs="Times New Roman"/>
      <w:noProof/>
      <w:sz w:val="24"/>
      <w:szCs w:val="24"/>
      <w:lang w:val="es-ES" w:eastAsia="es-ES"/>
    </w:rPr>
  </w:style>
  <w:style w:type="paragraph" w:styleId="TDC3">
    <w:name w:val="toc 3"/>
    <w:basedOn w:val="Normal"/>
    <w:next w:val="Normal"/>
    <w:autoRedefine/>
    <w:qFormat/>
    <w:rsid w:val="00A26CD3"/>
    <w:pPr>
      <w:tabs>
        <w:tab w:val="left" w:pos="1276"/>
        <w:tab w:val="right" w:leader="dot" w:pos="8789"/>
      </w:tabs>
      <w:spacing w:before="240" w:after="0" w:line="240" w:lineRule="auto"/>
      <w:ind w:left="1276" w:right="474" w:hanging="836"/>
      <w:jc w:val="both"/>
    </w:pPr>
    <w:rPr>
      <w:rFonts w:ascii="Arial" w:eastAsia="Times New Roman" w:hAnsi="Arial" w:cs="Times New Roman"/>
      <w:noProof/>
      <w:szCs w:val="24"/>
      <w:lang w:val="es-ES" w:eastAsia="es-ES"/>
    </w:rPr>
  </w:style>
  <w:style w:type="paragraph" w:customStyle="1" w:styleId="Textoindependiente31">
    <w:name w:val="Texto independiente 31"/>
    <w:basedOn w:val="Normal"/>
    <w:qFormat/>
    <w:rsid w:val="00A26CD3"/>
    <w:pPr>
      <w:spacing w:after="0" w:line="240" w:lineRule="auto"/>
      <w:jc w:val="both"/>
    </w:pPr>
    <w:rPr>
      <w:rFonts w:ascii="Arial" w:eastAsia="Times New Roman" w:hAnsi="Arial" w:cs="Times New Roman"/>
      <w:sz w:val="16"/>
      <w:szCs w:val="20"/>
      <w:lang w:val="es-ES_tradnl" w:eastAsia="es-ES"/>
    </w:rPr>
  </w:style>
  <w:style w:type="paragraph" w:styleId="Descripcin">
    <w:name w:val="caption"/>
    <w:aliases w:val="Epígrafe Car Car"/>
    <w:basedOn w:val="Normal"/>
    <w:next w:val="Normal"/>
    <w:qFormat/>
    <w:rsid w:val="00A26CD3"/>
    <w:pPr>
      <w:spacing w:after="120" w:line="240" w:lineRule="auto"/>
      <w:jc w:val="both"/>
    </w:pPr>
    <w:rPr>
      <w:rFonts w:ascii="Gill Sans MT" w:eastAsia="Times New Roman" w:hAnsi="Gill Sans MT" w:cs="Arial"/>
      <w:b/>
      <w:bCs/>
      <w:sz w:val="20"/>
      <w:szCs w:val="24"/>
      <w:lang w:eastAsia="es-MX"/>
    </w:rPr>
  </w:style>
  <w:style w:type="paragraph" w:styleId="Lista">
    <w:name w:val="List"/>
    <w:basedOn w:val="Normal"/>
    <w:rsid w:val="00A26CD3"/>
    <w:pPr>
      <w:spacing w:after="0" w:line="240" w:lineRule="auto"/>
      <w:ind w:left="283" w:hanging="283"/>
      <w:contextualSpacing/>
    </w:pPr>
    <w:rPr>
      <w:rFonts w:ascii="Times New Roman" w:eastAsia="Times New Roman" w:hAnsi="Times New Roman" w:cs="Times New Roman"/>
      <w:sz w:val="24"/>
      <w:szCs w:val="24"/>
      <w:lang w:eastAsia="es-MX"/>
    </w:rPr>
  </w:style>
  <w:style w:type="paragraph" w:styleId="Lista2">
    <w:name w:val="List 2"/>
    <w:basedOn w:val="Normal"/>
    <w:link w:val="Lista2Car"/>
    <w:rsid w:val="00A26CD3"/>
    <w:pPr>
      <w:spacing w:after="0" w:line="240" w:lineRule="auto"/>
      <w:ind w:left="566" w:hanging="283"/>
      <w:contextualSpacing/>
    </w:pPr>
    <w:rPr>
      <w:rFonts w:ascii="Times New Roman" w:eastAsia="Times New Roman" w:hAnsi="Times New Roman" w:cs="Times New Roman"/>
      <w:sz w:val="24"/>
      <w:szCs w:val="24"/>
      <w:lang w:eastAsia="es-MX"/>
    </w:rPr>
  </w:style>
  <w:style w:type="paragraph" w:styleId="Lista3">
    <w:name w:val="List 3"/>
    <w:basedOn w:val="Normal"/>
    <w:uiPriority w:val="99"/>
    <w:rsid w:val="00A26CD3"/>
    <w:pPr>
      <w:spacing w:after="0" w:line="240" w:lineRule="auto"/>
      <w:ind w:left="849" w:hanging="283"/>
      <w:contextualSpacing/>
    </w:pPr>
    <w:rPr>
      <w:rFonts w:ascii="Times New Roman" w:eastAsia="Times New Roman" w:hAnsi="Times New Roman" w:cs="Times New Roman"/>
      <w:sz w:val="24"/>
      <w:szCs w:val="24"/>
      <w:lang w:eastAsia="es-MX"/>
    </w:rPr>
  </w:style>
  <w:style w:type="paragraph" w:styleId="Lista4">
    <w:name w:val="List 4"/>
    <w:basedOn w:val="Normal"/>
    <w:uiPriority w:val="99"/>
    <w:rsid w:val="00A26CD3"/>
    <w:pPr>
      <w:spacing w:after="0" w:line="240" w:lineRule="auto"/>
      <w:ind w:left="1132" w:hanging="283"/>
      <w:contextualSpacing/>
    </w:pPr>
    <w:rPr>
      <w:rFonts w:ascii="Times New Roman" w:eastAsia="Times New Roman" w:hAnsi="Times New Roman" w:cs="Times New Roman"/>
      <w:sz w:val="24"/>
      <w:szCs w:val="24"/>
      <w:lang w:eastAsia="es-MX"/>
    </w:rPr>
  </w:style>
  <w:style w:type="paragraph" w:styleId="Listaconvietas2">
    <w:name w:val="List Bullet 2"/>
    <w:basedOn w:val="Normal"/>
    <w:uiPriority w:val="99"/>
    <w:rsid w:val="00A26CD3"/>
    <w:pPr>
      <w:numPr>
        <w:numId w:val="22"/>
      </w:numPr>
      <w:spacing w:after="0" w:line="240" w:lineRule="auto"/>
      <w:contextualSpacing/>
    </w:pPr>
    <w:rPr>
      <w:rFonts w:ascii="Times New Roman" w:eastAsia="Times New Roman" w:hAnsi="Times New Roman" w:cs="Times New Roman"/>
      <w:sz w:val="24"/>
      <w:szCs w:val="24"/>
      <w:lang w:eastAsia="es-MX"/>
    </w:rPr>
  </w:style>
  <w:style w:type="paragraph" w:styleId="Textoindependienteprimerasangra2">
    <w:name w:val="Body Text First Indent 2"/>
    <w:basedOn w:val="Sangradetextonormal"/>
    <w:link w:val="Textoindependienteprimerasangra2Car"/>
    <w:uiPriority w:val="99"/>
    <w:rsid w:val="00A26CD3"/>
    <w:pPr>
      <w:spacing w:after="120"/>
      <w:ind w:left="283" w:firstLine="210"/>
      <w:jc w:val="left"/>
    </w:pPr>
    <w:rPr>
      <w:rFonts w:ascii="Times New Roman" w:hAnsi="Times New Roman"/>
      <w:b w:val="0"/>
      <w:bCs w:val="0"/>
      <w:sz w:val="24"/>
      <w:lang w:val="es-MX" w:eastAsia="es-MX"/>
    </w:rPr>
  </w:style>
  <w:style w:type="character" w:customStyle="1" w:styleId="Textoindependienteprimerasangra2Car">
    <w:name w:val="Texto independiente primera sangría 2 Car"/>
    <w:basedOn w:val="SangradetextonormalCar"/>
    <w:link w:val="Textoindependienteprimerasangra2"/>
    <w:uiPriority w:val="99"/>
    <w:rsid w:val="00A26CD3"/>
    <w:rPr>
      <w:rFonts w:ascii="Times New Roman" w:eastAsia="Times New Roman" w:hAnsi="Times New Roman" w:cs="Times New Roman"/>
      <w:b w:val="0"/>
      <w:bCs w:val="0"/>
      <w:sz w:val="24"/>
      <w:szCs w:val="24"/>
      <w:lang w:val="es-ES" w:eastAsia="es-MX"/>
    </w:rPr>
  </w:style>
  <w:style w:type="table" w:styleId="Cuadrculaclara-nfasis3">
    <w:name w:val="Light Grid Accent 3"/>
    <w:basedOn w:val="Tablanormal"/>
    <w:uiPriority w:val="62"/>
    <w:rsid w:val="00A26CD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Tablaconcuadrcula15">
    <w:name w:val="Tabla con cuadrícula15"/>
    <w:basedOn w:val="Tablanormal"/>
    <w:next w:val="Tablaconcuadrcula"/>
    <w:uiPriority w:val="39"/>
    <w:rsid w:val="00A26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A26CD3"/>
  </w:style>
  <w:style w:type="character" w:customStyle="1" w:styleId="st">
    <w:name w:val="st"/>
    <w:basedOn w:val="Fuentedeprrafopredeter"/>
    <w:rsid w:val="00A26CD3"/>
  </w:style>
  <w:style w:type="paragraph" w:customStyle="1" w:styleId="TextoLGerarquizadas">
    <w:name w:val="TextoLGerarquizadas"/>
    <w:basedOn w:val="Normal"/>
    <w:autoRedefine/>
    <w:rsid w:val="00A26CD3"/>
    <w:pPr>
      <w:tabs>
        <w:tab w:val="left" w:pos="-720"/>
        <w:tab w:val="left" w:pos="0"/>
      </w:tabs>
      <w:suppressAutoHyphens/>
      <w:autoSpaceDE w:val="0"/>
      <w:autoSpaceDN w:val="0"/>
      <w:spacing w:after="54" w:line="240" w:lineRule="auto"/>
    </w:pPr>
    <w:rPr>
      <w:rFonts w:ascii="Gill Sans MT" w:eastAsia="Times New Roman" w:hAnsi="Gill Sans MT" w:cs="Arial"/>
      <w:bCs/>
      <w:color w:val="000000"/>
      <w:sz w:val="24"/>
      <w:szCs w:val="24"/>
      <w:lang w:val="es-ES" w:eastAsia="es-ES"/>
    </w:rPr>
  </w:style>
  <w:style w:type="paragraph" w:styleId="ndice1">
    <w:name w:val="index 1"/>
    <w:basedOn w:val="Normal"/>
    <w:next w:val="Normal"/>
    <w:autoRedefine/>
    <w:unhideWhenUsed/>
    <w:rsid w:val="00A26CD3"/>
    <w:pPr>
      <w:spacing w:after="0" w:line="240" w:lineRule="auto"/>
      <w:ind w:left="240" w:hanging="240"/>
    </w:pPr>
    <w:rPr>
      <w:rFonts w:ascii="Times New Roman" w:eastAsia="Times New Roman" w:hAnsi="Times New Roman" w:cs="Times New Roman"/>
      <w:sz w:val="24"/>
      <w:szCs w:val="24"/>
      <w:lang w:eastAsia="es-MX"/>
    </w:rPr>
  </w:style>
  <w:style w:type="character" w:styleId="Nmerodelnea">
    <w:name w:val="line number"/>
    <w:basedOn w:val="Fuentedeprrafopredeter"/>
    <w:unhideWhenUsed/>
    <w:rsid w:val="00A26CD3"/>
  </w:style>
  <w:style w:type="character" w:styleId="Textodelmarcadordeposicin">
    <w:name w:val="Placeholder Text"/>
    <w:basedOn w:val="Fuentedeprrafopredeter"/>
    <w:uiPriority w:val="99"/>
    <w:semiHidden/>
    <w:rsid w:val="00A26CD3"/>
    <w:rPr>
      <w:color w:val="808080"/>
    </w:rPr>
  </w:style>
  <w:style w:type="table" w:customStyle="1" w:styleId="Tablaconcuadrcula21">
    <w:name w:val="Tabla con cuadrícula21"/>
    <w:basedOn w:val="Tablanormal"/>
    <w:next w:val="Tablaconcuadrcula"/>
    <w:uiPriority w:val="59"/>
    <w:qFormat/>
    <w:rsid w:val="00A26CD3"/>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ndar">
    <w:name w:val="Estándar"/>
    <w:basedOn w:val="Normal"/>
    <w:qFormat/>
    <w:rsid w:val="00A26CD3"/>
    <w:pPr>
      <w:widowControl w:val="0"/>
      <w:autoSpaceDE w:val="0"/>
      <w:autoSpaceDN w:val="0"/>
      <w:adjustRightInd w:val="0"/>
      <w:spacing w:after="0" w:line="240" w:lineRule="auto"/>
    </w:pPr>
    <w:rPr>
      <w:rFonts w:ascii="Times New Roman" w:eastAsia="Calibri" w:hAnsi="Times New Roman" w:cs="Times New Roman"/>
      <w:sz w:val="24"/>
      <w:szCs w:val="24"/>
      <w:lang w:eastAsia="es-ES"/>
    </w:rPr>
  </w:style>
  <w:style w:type="character" w:customStyle="1" w:styleId="chapternum">
    <w:name w:val="chapternum"/>
    <w:basedOn w:val="Fuentedeprrafopredeter"/>
    <w:rsid w:val="00A26CD3"/>
  </w:style>
  <w:style w:type="table" w:styleId="Tablaelegante">
    <w:name w:val="Table Elegant"/>
    <w:basedOn w:val="Tablanormal"/>
    <w:rsid w:val="00A26CD3"/>
    <w:pPr>
      <w:widowControl w:val="0"/>
      <w:autoSpaceDE w:val="0"/>
      <w:autoSpaceDN w:val="0"/>
      <w:adjustRightInd w:val="0"/>
      <w:spacing w:after="0" w:line="360" w:lineRule="atLeast"/>
      <w:jc w:val="both"/>
      <w:textAlignment w:val="baseline"/>
    </w:pPr>
    <w:rPr>
      <w:rFonts w:ascii="Times New Roman" w:eastAsia="Times New Roman" w:hAnsi="Times New Roman" w:cs="Times New Roman"/>
      <w:sz w:val="20"/>
      <w:szCs w:val="20"/>
      <w:lang w:eastAsia="es-MX"/>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6">
    <w:name w:val="Table Grid 1"/>
    <w:basedOn w:val="Tablanormal"/>
    <w:rsid w:val="00A26CD3"/>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o">
    <w:name w:val="To"/>
    <w:basedOn w:val="Normal"/>
    <w:rsid w:val="00A26CD3"/>
    <w:pPr>
      <w:spacing w:after="0" w:line="240" w:lineRule="auto"/>
    </w:pPr>
    <w:rPr>
      <w:rFonts w:ascii="Futura Bk BT" w:eastAsia="Times New Roman" w:hAnsi="Futura Bk BT" w:cs="Times New Roman"/>
      <w:sz w:val="24"/>
      <w:szCs w:val="20"/>
      <w:lang w:val="es-ES_tradnl" w:eastAsia="es-ES"/>
    </w:rPr>
  </w:style>
  <w:style w:type="paragraph" w:customStyle="1" w:styleId="Epgrafe1">
    <w:name w:val="Epígrafe1"/>
    <w:basedOn w:val="Normal"/>
    <w:next w:val="Normal"/>
    <w:uiPriority w:val="99"/>
    <w:qFormat/>
    <w:rsid w:val="00A26CD3"/>
    <w:pPr>
      <w:spacing w:after="120" w:line="240" w:lineRule="auto"/>
      <w:jc w:val="both"/>
    </w:pPr>
    <w:rPr>
      <w:rFonts w:ascii="Gill Sans MT" w:eastAsia="Times New Roman" w:hAnsi="Gill Sans MT" w:cs="Arial"/>
      <w:b/>
      <w:bCs/>
      <w:sz w:val="20"/>
      <w:szCs w:val="24"/>
      <w:lang w:eastAsia="es-MX"/>
    </w:rPr>
  </w:style>
  <w:style w:type="paragraph" w:customStyle="1" w:styleId="vieta">
    <w:name w:val="viñeta"/>
    <w:basedOn w:val="Normal"/>
    <w:qFormat/>
    <w:rsid w:val="00A26CD3"/>
    <w:pPr>
      <w:numPr>
        <w:numId w:val="23"/>
      </w:numPr>
      <w:tabs>
        <w:tab w:val="right" w:leader="dot" w:pos="9405"/>
        <w:tab w:val="right" w:leader="dot" w:pos="9639"/>
      </w:tabs>
      <w:spacing w:before="120" w:after="0" w:line="240" w:lineRule="auto"/>
      <w:jc w:val="both"/>
    </w:pPr>
    <w:rPr>
      <w:rFonts w:ascii="Arial" w:eastAsia="Times New Roman" w:hAnsi="Arial" w:cs="Arial"/>
      <w:bCs/>
      <w:sz w:val="16"/>
      <w:szCs w:val="24"/>
      <w:lang w:eastAsia="es-ES"/>
    </w:rPr>
  </w:style>
  <w:style w:type="paragraph" w:customStyle="1" w:styleId="Estilo1">
    <w:name w:val="Estilo1"/>
    <w:basedOn w:val="Textocomentario"/>
    <w:link w:val="Estilo1Car"/>
    <w:qFormat/>
    <w:rsid w:val="00A26CD3"/>
    <w:pPr>
      <w:spacing w:after="0"/>
    </w:pPr>
    <w:rPr>
      <w:rFonts w:ascii="Gill Sans MT" w:eastAsia="Times New Roman" w:hAnsi="Gill Sans MT" w:cs="Times New Roman"/>
      <w:lang w:val="es-ES" w:eastAsia="es-ES"/>
    </w:rPr>
  </w:style>
  <w:style w:type="paragraph" w:styleId="Mapadeldocumento">
    <w:name w:val="Document Map"/>
    <w:basedOn w:val="Normal"/>
    <w:link w:val="MapadeldocumentoCar"/>
    <w:unhideWhenUsed/>
    <w:rsid w:val="00A26CD3"/>
    <w:pPr>
      <w:spacing w:after="0" w:line="240" w:lineRule="auto"/>
    </w:pPr>
    <w:rPr>
      <w:rFonts w:ascii="Tahoma" w:eastAsia="Times New Roman" w:hAnsi="Tahoma" w:cs="Tahoma"/>
      <w:sz w:val="16"/>
      <w:szCs w:val="16"/>
      <w:lang w:val="es-ES" w:eastAsia="es-ES"/>
    </w:rPr>
  </w:style>
  <w:style w:type="character" w:customStyle="1" w:styleId="MapadeldocumentoCar">
    <w:name w:val="Mapa del documento Car"/>
    <w:basedOn w:val="Fuentedeprrafopredeter"/>
    <w:link w:val="Mapadeldocumento"/>
    <w:rsid w:val="00A26CD3"/>
    <w:rPr>
      <w:rFonts w:ascii="Tahoma" w:eastAsia="Times New Roman" w:hAnsi="Tahoma" w:cs="Tahoma"/>
      <w:sz w:val="16"/>
      <w:szCs w:val="16"/>
      <w:lang w:val="es-ES" w:eastAsia="es-ES"/>
    </w:rPr>
  </w:style>
  <w:style w:type="character" w:customStyle="1" w:styleId="Estilo1Car">
    <w:name w:val="Estilo1 Car"/>
    <w:link w:val="Estilo1"/>
    <w:rsid w:val="00A26CD3"/>
    <w:rPr>
      <w:rFonts w:ascii="Gill Sans MT" w:eastAsia="Times New Roman" w:hAnsi="Gill Sans MT" w:cs="Times New Roman"/>
      <w:sz w:val="20"/>
      <w:szCs w:val="20"/>
      <w:lang w:val="es-ES" w:eastAsia="es-ES"/>
    </w:rPr>
  </w:style>
  <w:style w:type="paragraph" w:customStyle="1" w:styleId="Infodocumentosadjuntos">
    <w:name w:val="Info documentos adjuntos"/>
    <w:basedOn w:val="Normal"/>
    <w:qFormat/>
    <w:rsid w:val="00A26CD3"/>
    <w:pPr>
      <w:spacing w:after="0" w:line="240" w:lineRule="auto"/>
    </w:pPr>
    <w:rPr>
      <w:rFonts w:ascii="Times New Roman" w:eastAsia="Times New Roman" w:hAnsi="Times New Roman" w:cs="Times New Roman"/>
      <w:sz w:val="24"/>
      <w:szCs w:val="24"/>
      <w:lang w:val="es-ES" w:eastAsia="es-ES"/>
    </w:rPr>
  </w:style>
  <w:style w:type="paragraph" w:customStyle="1" w:styleId="xl39">
    <w:name w:val="xl39"/>
    <w:basedOn w:val="Normal"/>
    <w:qFormat/>
    <w:rsid w:val="00A26CD3"/>
    <w:pPr>
      <w:spacing w:before="100" w:beforeAutospacing="1" w:after="100" w:afterAutospacing="1" w:line="240" w:lineRule="auto"/>
      <w:jc w:val="center"/>
      <w:textAlignment w:val="center"/>
    </w:pPr>
    <w:rPr>
      <w:rFonts w:ascii="Arial" w:eastAsia="Arial Unicode MS" w:hAnsi="Arial" w:cs="Arial"/>
      <w:b/>
      <w:bCs/>
      <w:sz w:val="24"/>
      <w:szCs w:val="24"/>
      <w:lang w:eastAsia="es-ES"/>
    </w:rPr>
  </w:style>
  <w:style w:type="paragraph" w:customStyle="1" w:styleId="Prrafodelista3">
    <w:name w:val="Párrafo de lista3"/>
    <w:basedOn w:val="Normal"/>
    <w:qFormat/>
    <w:rsid w:val="00A26CD3"/>
    <w:pPr>
      <w:spacing w:after="0" w:line="240" w:lineRule="auto"/>
      <w:ind w:left="708"/>
    </w:pPr>
    <w:rPr>
      <w:rFonts w:ascii="Times New Roman" w:eastAsia="Calibri" w:hAnsi="Times New Roman" w:cs="Times New Roman"/>
      <w:sz w:val="24"/>
      <w:szCs w:val="24"/>
      <w:lang w:eastAsia="es-ES"/>
    </w:rPr>
  </w:style>
  <w:style w:type="character" w:customStyle="1" w:styleId="ereflema">
    <w:name w:val="ereflema"/>
    <w:rsid w:val="00A26CD3"/>
  </w:style>
  <w:style w:type="paragraph" w:customStyle="1" w:styleId="INDICE">
    <w:name w:val="INDICE"/>
    <w:basedOn w:val="Prrafodelista"/>
    <w:link w:val="INDICECar"/>
    <w:qFormat/>
    <w:rsid w:val="00A26CD3"/>
    <w:pPr>
      <w:numPr>
        <w:numId w:val="25"/>
      </w:numPr>
      <w:tabs>
        <w:tab w:val="right" w:leader="dot" w:pos="10206"/>
      </w:tabs>
      <w:autoSpaceDE w:val="0"/>
      <w:autoSpaceDN w:val="0"/>
      <w:adjustRightInd w:val="0"/>
      <w:spacing w:before="120" w:after="120" w:line="240" w:lineRule="auto"/>
      <w:ind w:left="1077"/>
      <w:contextualSpacing w:val="0"/>
      <w:jc w:val="both"/>
    </w:pPr>
    <w:rPr>
      <w:rFonts w:ascii="HelveticaNeueLT Std" w:eastAsiaTheme="minorEastAsia" w:hAnsi="HelveticaNeueLT Std" w:cs="Arial"/>
      <w:sz w:val="24"/>
      <w:szCs w:val="24"/>
      <w:lang w:val="es-ES_tradnl"/>
    </w:rPr>
  </w:style>
  <w:style w:type="paragraph" w:customStyle="1" w:styleId="APARTADO0">
    <w:name w:val="APARTADO"/>
    <w:basedOn w:val="Prrafodelista"/>
    <w:link w:val="APARTADOCar"/>
    <w:qFormat/>
    <w:rsid w:val="00A26CD3"/>
    <w:pPr>
      <w:numPr>
        <w:numId w:val="27"/>
      </w:numPr>
      <w:autoSpaceDE w:val="0"/>
      <w:autoSpaceDN w:val="0"/>
      <w:adjustRightInd w:val="0"/>
      <w:spacing w:before="360" w:after="360" w:line="240" w:lineRule="auto"/>
      <w:ind w:left="709"/>
      <w:contextualSpacing w:val="0"/>
      <w:jc w:val="both"/>
    </w:pPr>
    <w:rPr>
      <w:rFonts w:ascii="HelveticaNeueLT Std Blk" w:eastAsiaTheme="minorEastAsia" w:hAnsi="HelveticaNeueLT Std Blk" w:cs="Arial"/>
      <w:b/>
      <w:bCs/>
      <w:sz w:val="24"/>
      <w:szCs w:val="24"/>
      <w:lang w:val="es-ES_tradnl"/>
    </w:rPr>
  </w:style>
  <w:style w:type="character" w:customStyle="1" w:styleId="INDICECar">
    <w:name w:val="INDICE Car"/>
    <w:basedOn w:val="Fuentedeprrafopredeter"/>
    <w:link w:val="INDICE"/>
    <w:rsid w:val="00A26CD3"/>
    <w:rPr>
      <w:rFonts w:ascii="HelveticaNeueLT Std" w:eastAsiaTheme="minorEastAsia" w:hAnsi="HelveticaNeueLT Std" w:cs="Arial"/>
      <w:sz w:val="24"/>
      <w:szCs w:val="24"/>
      <w:lang w:val="es-ES_tradnl"/>
    </w:rPr>
  </w:style>
  <w:style w:type="paragraph" w:customStyle="1" w:styleId="BASE1">
    <w:name w:val="BASE1"/>
    <w:basedOn w:val="Prrafodelista"/>
    <w:link w:val="BASE1Car"/>
    <w:qFormat/>
    <w:rsid w:val="00A26CD3"/>
    <w:pPr>
      <w:numPr>
        <w:numId w:val="26"/>
      </w:numPr>
      <w:autoSpaceDE w:val="0"/>
      <w:autoSpaceDN w:val="0"/>
      <w:adjustRightInd w:val="0"/>
      <w:spacing w:before="100" w:after="0" w:line="240" w:lineRule="auto"/>
      <w:ind w:left="380" w:hanging="357"/>
      <w:contextualSpacing w:val="0"/>
      <w:jc w:val="both"/>
    </w:pPr>
    <w:rPr>
      <w:rFonts w:ascii="HelveticaNeueLT Std" w:eastAsiaTheme="minorEastAsia" w:hAnsi="HelveticaNeueLT Std" w:cs="Arial"/>
      <w:spacing w:val="-4"/>
      <w:sz w:val="24"/>
      <w:szCs w:val="24"/>
      <w:lang w:val="es-ES_tradnl"/>
    </w:rPr>
  </w:style>
  <w:style w:type="character" w:customStyle="1" w:styleId="APARTADOCar">
    <w:name w:val="APARTADO Car"/>
    <w:basedOn w:val="Fuentedeprrafopredeter"/>
    <w:link w:val="APARTADO0"/>
    <w:rsid w:val="00A26CD3"/>
    <w:rPr>
      <w:rFonts w:ascii="HelveticaNeueLT Std Blk" w:eastAsiaTheme="minorEastAsia" w:hAnsi="HelveticaNeueLT Std Blk" w:cs="Arial"/>
      <w:b/>
      <w:bCs/>
      <w:sz w:val="24"/>
      <w:szCs w:val="24"/>
      <w:lang w:val="es-ES_tradnl"/>
    </w:rPr>
  </w:style>
  <w:style w:type="paragraph" w:customStyle="1" w:styleId="BASE2">
    <w:name w:val="BASE2"/>
    <w:basedOn w:val="Normal"/>
    <w:link w:val="BASE2Car"/>
    <w:qFormat/>
    <w:rsid w:val="00A26CD3"/>
    <w:pPr>
      <w:autoSpaceDE w:val="0"/>
      <w:autoSpaceDN w:val="0"/>
      <w:adjustRightInd w:val="0"/>
      <w:spacing w:after="40" w:line="240" w:lineRule="auto"/>
      <w:ind w:left="380"/>
      <w:jc w:val="both"/>
    </w:pPr>
    <w:rPr>
      <w:rFonts w:ascii="HelveticaNeueLT Std" w:eastAsia="Times New Roman" w:hAnsi="HelveticaNeueLT Std" w:cs="Arial"/>
      <w:spacing w:val="-2"/>
      <w:sz w:val="24"/>
      <w:szCs w:val="24"/>
    </w:rPr>
  </w:style>
  <w:style w:type="character" w:customStyle="1" w:styleId="BASE1Car">
    <w:name w:val="BASE1 Car"/>
    <w:basedOn w:val="Fuentedeprrafopredeter"/>
    <w:link w:val="BASE1"/>
    <w:rsid w:val="00A26CD3"/>
    <w:rPr>
      <w:rFonts w:ascii="HelveticaNeueLT Std" w:eastAsiaTheme="minorEastAsia" w:hAnsi="HelveticaNeueLT Std" w:cs="Arial"/>
      <w:spacing w:val="-4"/>
      <w:sz w:val="24"/>
      <w:szCs w:val="24"/>
      <w:lang w:val="es-ES_tradnl"/>
    </w:rPr>
  </w:style>
  <w:style w:type="character" w:customStyle="1" w:styleId="BASE2Car">
    <w:name w:val="BASE2 Car"/>
    <w:basedOn w:val="Fuentedeprrafopredeter"/>
    <w:link w:val="BASE2"/>
    <w:rsid w:val="00A26CD3"/>
    <w:rPr>
      <w:rFonts w:ascii="HelveticaNeueLT Std" w:eastAsia="Times New Roman" w:hAnsi="HelveticaNeueLT Std" w:cs="Arial"/>
      <w:spacing w:val="-2"/>
      <w:sz w:val="24"/>
      <w:szCs w:val="24"/>
    </w:rPr>
  </w:style>
  <w:style w:type="paragraph" w:customStyle="1" w:styleId="fraccion2">
    <w:name w:val="fraccion2"/>
    <w:basedOn w:val="Prrafodelista"/>
    <w:link w:val="fraccion2Car"/>
    <w:uiPriority w:val="99"/>
    <w:qFormat/>
    <w:rsid w:val="00A26CD3"/>
    <w:pPr>
      <w:numPr>
        <w:numId w:val="24"/>
      </w:numPr>
      <w:autoSpaceDE w:val="0"/>
      <w:autoSpaceDN w:val="0"/>
      <w:adjustRightInd w:val="0"/>
      <w:spacing w:before="240" w:after="240" w:line="240" w:lineRule="auto"/>
      <w:ind w:left="1701"/>
      <w:contextualSpacing w:val="0"/>
      <w:jc w:val="both"/>
    </w:pPr>
    <w:rPr>
      <w:rFonts w:ascii="HelveticaNeueLT Std" w:eastAsiaTheme="minorEastAsia" w:hAnsi="HelveticaNeueLT Std" w:cs="Arial"/>
      <w:sz w:val="24"/>
      <w:szCs w:val="24"/>
      <w:lang w:val="es-ES_tradnl"/>
    </w:rPr>
  </w:style>
  <w:style w:type="paragraph" w:customStyle="1" w:styleId="aparta2">
    <w:name w:val="aparta2"/>
    <w:basedOn w:val="Prrafodelista"/>
    <w:link w:val="aparta2Car"/>
    <w:qFormat/>
    <w:rsid w:val="00A26CD3"/>
    <w:pPr>
      <w:numPr>
        <w:ilvl w:val="1"/>
        <w:numId w:val="27"/>
      </w:numPr>
      <w:autoSpaceDE w:val="0"/>
      <w:autoSpaceDN w:val="0"/>
      <w:adjustRightInd w:val="0"/>
      <w:spacing w:before="240" w:after="240" w:line="240" w:lineRule="auto"/>
      <w:ind w:left="1134"/>
      <w:contextualSpacing w:val="0"/>
      <w:jc w:val="both"/>
    </w:pPr>
    <w:rPr>
      <w:rFonts w:ascii="HelveticaNeueLT Std" w:eastAsiaTheme="minorEastAsia" w:hAnsi="HelveticaNeueLT Std" w:cs="Arial"/>
      <w:sz w:val="24"/>
      <w:szCs w:val="24"/>
      <w:lang w:val="es-ES_tradnl"/>
    </w:rPr>
  </w:style>
  <w:style w:type="character" w:customStyle="1" w:styleId="fraccion2Car">
    <w:name w:val="fraccion2 Car"/>
    <w:basedOn w:val="Fuentedeprrafopredeter"/>
    <w:link w:val="fraccion2"/>
    <w:uiPriority w:val="99"/>
    <w:rsid w:val="00A26CD3"/>
    <w:rPr>
      <w:rFonts w:ascii="HelveticaNeueLT Std" w:eastAsiaTheme="minorEastAsia" w:hAnsi="HelveticaNeueLT Std" w:cs="Arial"/>
      <w:sz w:val="24"/>
      <w:szCs w:val="24"/>
      <w:lang w:val="es-ES_tradnl"/>
    </w:rPr>
  </w:style>
  <w:style w:type="character" w:customStyle="1" w:styleId="aparta2Car">
    <w:name w:val="aparta2 Car"/>
    <w:basedOn w:val="Fuentedeprrafopredeter"/>
    <w:link w:val="aparta2"/>
    <w:rsid w:val="00A26CD3"/>
    <w:rPr>
      <w:rFonts w:ascii="HelveticaNeueLT Std" w:eastAsiaTheme="minorEastAsia" w:hAnsi="HelveticaNeueLT Std" w:cs="Arial"/>
      <w:sz w:val="24"/>
      <w:szCs w:val="24"/>
      <w:lang w:val="es-ES_tradnl"/>
    </w:rPr>
  </w:style>
  <w:style w:type="paragraph" w:customStyle="1" w:styleId="CuerpoAA">
    <w:name w:val="Cuerpo A A"/>
    <w:rsid w:val="00A26CD3"/>
    <w:pPr>
      <w:spacing w:after="200" w:line="276" w:lineRule="auto"/>
    </w:pPr>
    <w:rPr>
      <w:rFonts w:ascii="Calibri" w:eastAsia="Calibri" w:hAnsi="Calibri" w:cs="Calibri"/>
      <w:color w:val="000000"/>
      <w:u w:color="000000"/>
      <w:lang w:val="es-ES_tradnl" w:eastAsia="es-MX"/>
    </w:rPr>
  </w:style>
  <w:style w:type="character" w:customStyle="1" w:styleId="Ninguno">
    <w:name w:val="Ninguno"/>
    <w:rsid w:val="00A26CD3"/>
  </w:style>
  <w:style w:type="character" w:customStyle="1" w:styleId="jpfdse">
    <w:name w:val="jpfdse"/>
    <w:basedOn w:val="Fuentedeprrafopredeter"/>
    <w:rsid w:val="00A26CD3"/>
  </w:style>
  <w:style w:type="paragraph" w:customStyle="1" w:styleId="CuerpoA">
    <w:name w:val="Cuerpo A"/>
    <w:qFormat/>
    <w:rsid w:val="00A26CD3"/>
    <w:pPr>
      <w:spacing w:after="0" w:line="240" w:lineRule="auto"/>
    </w:pPr>
    <w:rPr>
      <w:rFonts w:ascii="Helvetica Neue" w:eastAsia="Helvetica Neue" w:hAnsi="Helvetica Neue" w:cs="Helvetica Neue"/>
      <w:color w:val="000000"/>
      <w:u w:color="000000"/>
      <w:lang w:val="es-ES_tradnl" w:eastAsia="es-MX"/>
    </w:rPr>
  </w:style>
  <w:style w:type="paragraph" w:customStyle="1" w:styleId="Predeterminado">
    <w:name w:val="Predeterminado"/>
    <w:uiPriority w:val="99"/>
    <w:qFormat/>
    <w:rsid w:val="00A26CD3"/>
    <w:pPr>
      <w:spacing w:after="0" w:line="240" w:lineRule="auto"/>
    </w:pPr>
    <w:rPr>
      <w:rFonts w:ascii="Helvetica Neue" w:eastAsia="Arial Unicode MS" w:hAnsi="Helvetica Neue" w:cs="Arial Unicode MS"/>
      <w:color w:val="000000"/>
      <w:u w:color="000000"/>
      <w:lang w:val="es-ES_tradnl" w:eastAsia="es-MX"/>
    </w:rPr>
  </w:style>
  <w:style w:type="table" w:customStyle="1" w:styleId="TableNormal2">
    <w:name w:val="Table Normal2"/>
    <w:uiPriority w:val="2"/>
    <w:qFormat/>
    <w:rsid w:val="00A26CD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customStyle="1" w:styleId="ANOTACIONCar">
    <w:name w:val="ANOTACION Car"/>
    <w:link w:val="ANOTACION"/>
    <w:locked/>
    <w:rsid w:val="00A26CD3"/>
    <w:rPr>
      <w:rFonts w:ascii="Times New Roman" w:eastAsia="Times New Roman" w:hAnsi="Times New Roman" w:cs="Times New Roman"/>
      <w:b/>
      <w:sz w:val="18"/>
      <w:szCs w:val="20"/>
      <w:lang w:val="es-ES_tradnl" w:eastAsia="es-ES"/>
    </w:rPr>
  </w:style>
  <w:style w:type="paragraph" w:customStyle="1" w:styleId="ANOTACION">
    <w:name w:val="ANOTACION"/>
    <w:basedOn w:val="Normal"/>
    <w:link w:val="ANOTACIONCar"/>
    <w:qFormat/>
    <w:rsid w:val="00A26CD3"/>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Hipervnculo1">
    <w:name w:val="Hipervínculo1"/>
    <w:basedOn w:val="Fuentedeprrafopredeter"/>
    <w:uiPriority w:val="99"/>
    <w:rsid w:val="00A26CD3"/>
    <w:rPr>
      <w:color w:val="0563C1"/>
      <w:u w:val="single"/>
    </w:rPr>
  </w:style>
  <w:style w:type="paragraph" w:customStyle="1" w:styleId="BodyA">
    <w:name w:val="Body A"/>
    <w:qFormat/>
    <w:rsid w:val="00A26CD3"/>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s-ES_tradnl" w:eastAsia="es-MX"/>
    </w:rPr>
  </w:style>
  <w:style w:type="paragraph" w:styleId="DireccinHTML">
    <w:name w:val="HTML Address"/>
    <w:basedOn w:val="Normal"/>
    <w:link w:val="DireccinHTMLCar"/>
    <w:uiPriority w:val="99"/>
    <w:semiHidden/>
    <w:unhideWhenUsed/>
    <w:rsid w:val="00A26CD3"/>
    <w:pPr>
      <w:spacing w:after="0" w:line="240" w:lineRule="auto"/>
      <w:ind w:firstLine="567"/>
      <w:jc w:val="both"/>
    </w:pPr>
    <w:rPr>
      <w:rFonts w:ascii="Arial" w:eastAsia="Calibri" w:hAnsi="Arial" w:cs="Times New Roman"/>
      <w:i/>
      <w:iCs/>
      <w:lang w:val="es-ES"/>
    </w:rPr>
  </w:style>
  <w:style w:type="character" w:customStyle="1" w:styleId="DireccinHTMLCar">
    <w:name w:val="Dirección HTML Car"/>
    <w:basedOn w:val="Fuentedeprrafopredeter"/>
    <w:link w:val="DireccinHTML"/>
    <w:uiPriority w:val="99"/>
    <w:semiHidden/>
    <w:rsid w:val="00A26CD3"/>
    <w:rPr>
      <w:rFonts w:ascii="Arial" w:eastAsia="Calibri" w:hAnsi="Arial" w:cs="Times New Roman"/>
      <w:i/>
      <w:iCs/>
      <w:lang w:val="es-ES"/>
    </w:rPr>
  </w:style>
  <w:style w:type="paragraph" w:styleId="HTMLconformatoprevio">
    <w:name w:val="HTML Preformatted"/>
    <w:basedOn w:val="Normal"/>
    <w:link w:val="HTMLconformatoprevioCar"/>
    <w:unhideWhenUsed/>
    <w:rsid w:val="00A2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Arial Unicode MS" w:hAnsi="Courier New" w:cs="Courier New"/>
      <w:szCs w:val="20"/>
      <w:lang w:eastAsia="es-ES"/>
    </w:rPr>
  </w:style>
  <w:style w:type="character" w:customStyle="1" w:styleId="HTMLconformatoprevioCar">
    <w:name w:val="HTML con formato previo Car"/>
    <w:basedOn w:val="Fuentedeprrafopredeter"/>
    <w:link w:val="HTMLconformatoprevio"/>
    <w:rsid w:val="00A26CD3"/>
    <w:rPr>
      <w:rFonts w:ascii="Courier New" w:eastAsia="Arial Unicode MS" w:hAnsi="Courier New" w:cs="Courier New"/>
      <w:szCs w:val="20"/>
      <w:lang w:eastAsia="es-ES"/>
    </w:rPr>
  </w:style>
  <w:style w:type="character" w:customStyle="1" w:styleId="NormalWebCar">
    <w:name w:val="Normal (Web) Car"/>
    <w:aliases w:val="Normal (Web) Car1 Car,Normal (Web) Car Car Car1,Normal (Web) Car1 Car Car Car,Normal (Web) Car Car Car Car1,Normal (Web) Car Car Car Car Car,Car Car Car Car2,Normal (Web) Car1 Car Car Car Car Car,Car Car Car Ca Car"/>
    <w:link w:val="NormalWeb"/>
    <w:uiPriority w:val="99"/>
    <w:locked/>
    <w:rsid w:val="00A26CD3"/>
    <w:rPr>
      <w:rFonts w:ascii="Times New Roman" w:eastAsia="Times New Roman" w:hAnsi="Times New Roman" w:cs="Times New Roman"/>
      <w:sz w:val="24"/>
      <w:szCs w:val="24"/>
      <w:lang w:eastAsia="es-MX"/>
    </w:rPr>
  </w:style>
  <w:style w:type="character" w:customStyle="1" w:styleId="EncabezadoCar1">
    <w:name w:val="Encabezado Car1"/>
    <w:aliases w:val="Car16 Car1,Encabezado Car Car Car Car Car Car Car Car Car1,Car Car1,Encabezado Car Car Car2,Encabezado Car Car Car Car Car Car2,Encabezado Car Car Car Car Car2,Encabezado Car Car Car Car2,Encabezado Car Car Car Car Car Car Car,h Car1"/>
    <w:basedOn w:val="Fuentedeprrafopredeter"/>
    <w:uiPriority w:val="99"/>
    <w:semiHidden/>
    <w:rsid w:val="00A26CD3"/>
    <w:rPr>
      <w:rFonts w:ascii="Calibri" w:eastAsia="Calibri" w:hAnsi="Calibri" w:cs="Times New Roman"/>
      <w:kern w:val="0"/>
      <w14:ligatures w14:val="none"/>
    </w:rPr>
  </w:style>
  <w:style w:type="character" w:customStyle="1" w:styleId="TextomacroCar">
    <w:name w:val="Texto macro Car"/>
    <w:basedOn w:val="Fuentedeprrafopredeter"/>
    <w:link w:val="Textomacro"/>
    <w:uiPriority w:val="99"/>
    <w:semiHidden/>
    <w:locked/>
    <w:rsid w:val="00A26CD3"/>
    <w:rPr>
      <w:rFonts w:ascii="Consolas" w:eastAsia="Calibri" w:hAnsi="Consolas" w:cs="Times New Roman"/>
      <w:sz w:val="20"/>
      <w:szCs w:val="20"/>
      <w:lang w:val="es-ES"/>
    </w:rPr>
  </w:style>
  <w:style w:type="character" w:customStyle="1" w:styleId="Lista2Car">
    <w:name w:val="Lista 2 Car"/>
    <w:link w:val="Lista2"/>
    <w:locked/>
    <w:rsid w:val="00A26CD3"/>
    <w:rPr>
      <w:rFonts w:ascii="Times New Roman" w:eastAsia="Times New Roman" w:hAnsi="Times New Roman" w:cs="Times New Roman"/>
      <w:sz w:val="24"/>
      <w:szCs w:val="24"/>
      <w:lang w:eastAsia="es-MX"/>
    </w:rPr>
  </w:style>
  <w:style w:type="paragraph" w:styleId="Listaconnmeros">
    <w:name w:val="List Number"/>
    <w:basedOn w:val="Normal"/>
    <w:unhideWhenUsed/>
    <w:rsid w:val="00A26CD3"/>
    <w:pPr>
      <w:tabs>
        <w:tab w:val="num" w:pos="360"/>
      </w:tabs>
      <w:spacing w:after="0" w:line="240" w:lineRule="auto"/>
      <w:ind w:left="360" w:hanging="360"/>
      <w:jc w:val="both"/>
    </w:pPr>
    <w:rPr>
      <w:rFonts w:ascii="Arial" w:eastAsia="Times New Roman" w:hAnsi="Arial" w:cs="Times New Roman"/>
      <w:szCs w:val="20"/>
      <w:lang w:eastAsia="es-ES"/>
    </w:rPr>
  </w:style>
  <w:style w:type="character" w:customStyle="1" w:styleId="CierreCar">
    <w:name w:val="Cierre Car"/>
    <w:basedOn w:val="Fuentedeprrafopredeter"/>
    <w:link w:val="Cierre"/>
    <w:uiPriority w:val="99"/>
    <w:locked/>
    <w:rsid w:val="00A26CD3"/>
    <w:rPr>
      <w:rFonts w:ascii="Arial" w:eastAsia="Times New Roman" w:hAnsi="Arial" w:cs="Arial"/>
      <w:sz w:val="20"/>
      <w:szCs w:val="20"/>
      <w:lang w:val="en-US"/>
    </w:rPr>
  </w:style>
  <w:style w:type="character" w:customStyle="1" w:styleId="FirmaCar">
    <w:name w:val="Firma Car"/>
    <w:basedOn w:val="Fuentedeprrafopredeter"/>
    <w:link w:val="Firma"/>
    <w:uiPriority w:val="99"/>
    <w:locked/>
    <w:rsid w:val="00A26CD3"/>
    <w:rPr>
      <w:rFonts w:ascii="Arial" w:eastAsia="Times New Roman" w:hAnsi="Arial" w:cs="Arial"/>
      <w:sz w:val="20"/>
      <w:szCs w:val="20"/>
      <w:lang w:val="en-US"/>
    </w:rPr>
  </w:style>
  <w:style w:type="character" w:customStyle="1" w:styleId="EncabezadodemensajeCar">
    <w:name w:val="Encabezado de mensaje Car"/>
    <w:basedOn w:val="Fuentedeprrafopredeter"/>
    <w:link w:val="Encabezadodemensaje"/>
    <w:uiPriority w:val="99"/>
    <w:locked/>
    <w:rsid w:val="00A26CD3"/>
    <w:rPr>
      <w:rFonts w:ascii="Cambria" w:eastAsia="Times New Roman" w:hAnsi="Cambria" w:cs="Times New Roman"/>
      <w:sz w:val="24"/>
      <w:szCs w:val="24"/>
      <w:shd w:val="pct20" w:color="auto" w:fill="auto"/>
    </w:rPr>
  </w:style>
  <w:style w:type="character" w:customStyle="1" w:styleId="SaludoCar">
    <w:name w:val="Saludo Car"/>
    <w:basedOn w:val="Fuentedeprrafopredeter"/>
    <w:link w:val="Saludo"/>
    <w:uiPriority w:val="99"/>
    <w:locked/>
    <w:rsid w:val="00A26CD3"/>
    <w:rPr>
      <w:rFonts w:ascii="Calibri" w:eastAsia="Calibri" w:hAnsi="Calibri" w:cs="Times New Roman"/>
    </w:rPr>
  </w:style>
  <w:style w:type="character" w:customStyle="1" w:styleId="FechaCar">
    <w:name w:val="Fecha Car"/>
    <w:basedOn w:val="Fuentedeprrafopredeter"/>
    <w:link w:val="Fecha"/>
    <w:locked/>
    <w:rsid w:val="00A26CD3"/>
    <w:rPr>
      <w:rFonts w:ascii="Arial" w:eastAsia="Times New Roman" w:hAnsi="Arial" w:cs="Arial"/>
      <w:sz w:val="20"/>
      <w:szCs w:val="20"/>
      <w:lang w:val="en-US"/>
    </w:rPr>
  </w:style>
  <w:style w:type="character" w:customStyle="1" w:styleId="SangradetextonormalCar1">
    <w:name w:val="Sangría de texto normal Car1"/>
    <w:basedOn w:val="Fuentedeprrafopredeter"/>
    <w:rsid w:val="00A26CD3"/>
    <w:rPr>
      <w:rFonts w:ascii="Calibri" w:eastAsia="Calibri" w:hAnsi="Calibri" w:cs="Times New Roman"/>
      <w:kern w:val="0"/>
      <w14:ligatures w14:val="none"/>
    </w:rPr>
  </w:style>
  <w:style w:type="character" w:customStyle="1" w:styleId="EncabezadodenotaCar">
    <w:name w:val="Encabezado de nota Car"/>
    <w:basedOn w:val="Fuentedeprrafopredeter"/>
    <w:link w:val="Encabezadodenota"/>
    <w:uiPriority w:val="99"/>
    <w:semiHidden/>
    <w:locked/>
    <w:rsid w:val="00A26CD3"/>
    <w:rPr>
      <w:rFonts w:ascii="Arial" w:eastAsia="Calibri" w:hAnsi="Arial" w:cs="Times New Roman"/>
      <w:lang w:val="es-ES"/>
    </w:rPr>
  </w:style>
  <w:style w:type="character" w:customStyle="1" w:styleId="FirmadecorreoelectrnicoCar">
    <w:name w:val="Firma de correo electrónico Car"/>
    <w:basedOn w:val="Fuentedeprrafopredeter"/>
    <w:link w:val="Firmadecorreoelectrnico"/>
    <w:uiPriority w:val="99"/>
    <w:semiHidden/>
    <w:locked/>
    <w:rsid w:val="00A26CD3"/>
    <w:rPr>
      <w:rFonts w:ascii="Arial" w:eastAsia="Calibri" w:hAnsi="Arial" w:cs="Times New Roman"/>
      <w:lang w:val="es-ES"/>
    </w:rPr>
  </w:style>
  <w:style w:type="paragraph" w:customStyle="1" w:styleId="paragraph">
    <w:name w:val="paragraph"/>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corte1datosCar">
    <w:name w:val="corte1 datos Car"/>
    <w:link w:val="corte1datos"/>
    <w:locked/>
    <w:rsid w:val="00A26CD3"/>
    <w:rPr>
      <w:rFonts w:ascii="Arial" w:hAnsi="Arial" w:cs="Arial"/>
      <w:b/>
      <w:caps/>
      <w:sz w:val="30"/>
      <w:lang w:val="es-ES_tradnl" w:eastAsia="es-ES"/>
    </w:rPr>
  </w:style>
  <w:style w:type="paragraph" w:customStyle="1" w:styleId="corte1datos">
    <w:name w:val="corte1 datos"/>
    <w:basedOn w:val="Normal"/>
    <w:link w:val="corte1datosCar"/>
    <w:qFormat/>
    <w:rsid w:val="00A26CD3"/>
    <w:pPr>
      <w:widowControl w:val="0"/>
      <w:adjustRightInd w:val="0"/>
      <w:spacing w:after="0" w:line="360" w:lineRule="atLeast"/>
      <w:ind w:left="2552"/>
      <w:jc w:val="both"/>
    </w:pPr>
    <w:rPr>
      <w:rFonts w:ascii="Arial" w:hAnsi="Arial" w:cs="Arial"/>
      <w:b/>
      <w:caps/>
      <w:sz w:val="30"/>
      <w:lang w:val="es-ES_tradnl" w:eastAsia="es-ES"/>
    </w:rPr>
  </w:style>
  <w:style w:type="character" w:customStyle="1" w:styleId="corte2ponenteCar">
    <w:name w:val="corte2 ponente Car"/>
    <w:link w:val="corte2ponente"/>
    <w:uiPriority w:val="99"/>
    <w:locked/>
    <w:rsid w:val="00A26CD3"/>
    <w:rPr>
      <w:rFonts w:ascii="Arial" w:hAnsi="Arial" w:cs="Arial"/>
      <w:b/>
      <w:caps/>
      <w:sz w:val="30"/>
      <w:lang w:val="es-ES_tradnl" w:eastAsia="es-ES"/>
    </w:rPr>
  </w:style>
  <w:style w:type="paragraph" w:customStyle="1" w:styleId="corte2ponente">
    <w:name w:val="corte2 ponente"/>
    <w:basedOn w:val="Normal"/>
    <w:link w:val="corte2ponenteCar"/>
    <w:uiPriority w:val="99"/>
    <w:qFormat/>
    <w:rsid w:val="00A26CD3"/>
    <w:pPr>
      <w:widowControl w:val="0"/>
      <w:adjustRightInd w:val="0"/>
      <w:spacing w:after="0" w:line="360" w:lineRule="atLeast"/>
      <w:jc w:val="both"/>
    </w:pPr>
    <w:rPr>
      <w:rFonts w:ascii="Arial" w:hAnsi="Arial" w:cs="Arial"/>
      <w:b/>
      <w:caps/>
      <w:sz w:val="30"/>
      <w:lang w:val="es-ES_tradnl" w:eastAsia="es-ES"/>
    </w:rPr>
  </w:style>
  <w:style w:type="character" w:customStyle="1" w:styleId="corte4fondoCar">
    <w:name w:val="corte4 fondo Car"/>
    <w:link w:val="corte4fondo"/>
    <w:locked/>
    <w:rsid w:val="00A26CD3"/>
    <w:rPr>
      <w:rFonts w:ascii="Arial" w:hAnsi="Arial" w:cs="Arial"/>
      <w:sz w:val="30"/>
      <w:lang w:val="es-ES_tradnl" w:eastAsia="es-ES"/>
    </w:rPr>
  </w:style>
  <w:style w:type="paragraph" w:customStyle="1" w:styleId="corte4fondo">
    <w:name w:val="corte4 fondo"/>
    <w:basedOn w:val="Normal"/>
    <w:link w:val="corte4fondoCar"/>
    <w:qFormat/>
    <w:rsid w:val="00A26CD3"/>
    <w:pPr>
      <w:widowControl w:val="0"/>
      <w:adjustRightInd w:val="0"/>
      <w:spacing w:after="0" w:line="360" w:lineRule="auto"/>
      <w:ind w:firstLine="709"/>
      <w:jc w:val="both"/>
    </w:pPr>
    <w:rPr>
      <w:rFonts w:ascii="Arial" w:hAnsi="Arial" w:cs="Arial"/>
      <w:sz w:val="30"/>
      <w:lang w:val="es-ES_tradnl" w:eastAsia="es-ES"/>
    </w:rPr>
  </w:style>
  <w:style w:type="paragraph" w:customStyle="1" w:styleId="Cuerpo">
    <w:name w:val="Cuerpo"/>
    <w:qFormat/>
    <w:rsid w:val="00A26CD3"/>
    <w:pPr>
      <w:widowControl w:val="0"/>
      <w:adjustRightInd w:val="0"/>
      <w:spacing w:line="256" w:lineRule="auto"/>
      <w:jc w:val="both"/>
    </w:pPr>
    <w:rPr>
      <w:rFonts w:ascii="Times New Roman" w:eastAsia="Times New Roman" w:hAnsi="Times New Roman" w:cs="Calibri"/>
      <w:color w:val="000000"/>
      <w:u w:color="000000"/>
      <w:lang w:eastAsia="es-MX"/>
    </w:rPr>
  </w:style>
  <w:style w:type="character" w:customStyle="1" w:styleId="TEXTONORMALCar">
    <w:name w:val="TEXTO NORMAL Car"/>
    <w:link w:val="TEXTONORMAL"/>
    <w:locked/>
    <w:rsid w:val="00A26CD3"/>
    <w:rPr>
      <w:rFonts w:ascii="Arial" w:eastAsia="Times New Roman" w:hAnsi="Arial" w:cs="Arial"/>
      <w:sz w:val="28"/>
      <w:szCs w:val="28"/>
      <w:lang w:eastAsia="es-ES"/>
    </w:rPr>
  </w:style>
  <w:style w:type="paragraph" w:customStyle="1" w:styleId="TEXTONORMAL">
    <w:name w:val="TEXTO NORMAL"/>
    <w:basedOn w:val="Normal"/>
    <w:link w:val="TEXTONORMALCar"/>
    <w:qFormat/>
    <w:rsid w:val="00A26CD3"/>
    <w:pPr>
      <w:spacing w:after="0" w:line="360" w:lineRule="auto"/>
      <w:ind w:firstLine="709"/>
      <w:jc w:val="both"/>
    </w:pPr>
    <w:rPr>
      <w:rFonts w:ascii="Arial" w:eastAsia="Times New Roman" w:hAnsi="Arial" w:cs="Arial"/>
      <w:sz w:val="28"/>
      <w:szCs w:val="28"/>
      <w:lang w:eastAsia="es-ES"/>
    </w:rPr>
  </w:style>
  <w:style w:type="character" w:customStyle="1" w:styleId="EstiloCar">
    <w:name w:val="Estilo Car"/>
    <w:link w:val="Estilo"/>
    <w:locked/>
    <w:rsid w:val="00A26CD3"/>
    <w:rPr>
      <w:rFonts w:ascii="Arial" w:hAnsi="Arial" w:cs="Arial"/>
      <w:sz w:val="24"/>
    </w:rPr>
  </w:style>
  <w:style w:type="paragraph" w:customStyle="1" w:styleId="Estilo">
    <w:name w:val="Estilo"/>
    <w:basedOn w:val="Sinespaciado"/>
    <w:link w:val="EstiloCar"/>
    <w:qFormat/>
    <w:rsid w:val="00A26CD3"/>
    <w:rPr>
      <w:rFonts w:ascii="Arial" w:hAnsi="Arial" w:cs="Arial"/>
      <w:szCs w:val="22"/>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A26CD3"/>
    <w:pPr>
      <w:spacing w:after="0" w:line="240" w:lineRule="auto"/>
      <w:jc w:val="both"/>
    </w:pPr>
    <w:rPr>
      <w:vertAlign w:val="superscript"/>
    </w:rPr>
  </w:style>
  <w:style w:type="character" w:customStyle="1" w:styleId="corte3centroCar">
    <w:name w:val="corte3 centro Car"/>
    <w:link w:val="corte3centro"/>
    <w:locked/>
    <w:rsid w:val="00A26CD3"/>
    <w:rPr>
      <w:rFonts w:ascii="Arial" w:eastAsia="Times New Roman" w:hAnsi="Arial" w:cs="Times New Roman"/>
      <w:b/>
      <w:sz w:val="30"/>
      <w:szCs w:val="20"/>
      <w:lang w:eastAsia="es-ES"/>
    </w:rPr>
  </w:style>
  <w:style w:type="paragraph" w:customStyle="1" w:styleId="corte3centro">
    <w:name w:val="corte3 centro"/>
    <w:basedOn w:val="Normal"/>
    <w:link w:val="corte3centroCar"/>
    <w:qFormat/>
    <w:rsid w:val="00A26CD3"/>
    <w:pPr>
      <w:spacing w:after="0" w:line="360" w:lineRule="auto"/>
      <w:jc w:val="center"/>
    </w:pPr>
    <w:rPr>
      <w:rFonts w:ascii="Arial" w:eastAsia="Times New Roman" w:hAnsi="Arial" w:cs="Times New Roman"/>
      <w:b/>
      <w:sz w:val="30"/>
      <w:szCs w:val="20"/>
      <w:lang w:eastAsia="es-ES"/>
    </w:rPr>
  </w:style>
  <w:style w:type="character" w:customStyle="1" w:styleId="corte5transcripcionCar">
    <w:name w:val="corte5 transcripcion Car"/>
    <w:link w:val="corte5transcripcion"/>
    <w:locked/>
    <w:rsid w:val="00A26CD3"/>
    <w:rPr>
      <w:rFonts w:ascii="Arial" w:eastAsia="Times New Roman" w:hAnsi="Arial" w:cs="Times New Roman"/>
      <w:b/>
      <w:i/>
      <w:sz w:val="30"/>
      <w:szCs w:val="20"/>
      <w:lang w:val="es-ES_tradnl" w:eastAsia="es-MX"/>
    </w:rPr>
  </w:style>
  <w:style w:type="paragraph" w:customStyle="1" w:styleId="corte5transcripcion">
    <w:name w:val="corte5 transcripcion"/>
    <w:basedOn w:val="Normal"/>
    <w:link w:val="corte5transcripcionCar"/>
    <w:qFormat/>
    <w:rsid w:val="00A26CD3"/>
    <w:pPr>
      <w:spacing w:after="0" w:line="360" w:lineRule="auto"/>
      <w:ind w:left="709" w:right="709"/>
      <w:jc w:val="both"/>
    </w:pPr>
    <w:rPr>
      <w:rFonts w:ascii="Arial" w:eastAsia="Times New Roman" w:hAnsi="Arial" w:cs="Times New Roman"/>
      <w:b/>
      <w:i/>
      <w:sz w:val="30"/>
      <w:szCs w:val="20"/>
      <w:lang w:val="es-ES_tradnl" w:eastAsia="es-MX"/>
    </w:rPr>
  </w:style>
  <w:style w:type="paragraph" w:customStyle="1" w:styleId="rtecenter">
    <w:name w:val="rtecenter"/>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rmal">
    <w:name w:val="x_msonormal"/>
    <w:basedOn w:val="Normal"/>
    <w:qFormat/>
    <w:rsid w:val="00A26CD3"/>
    <w:pPr>
      <w:spacing w:after="0" w:line="240" w:lineRule="auto"/>
    </w:pPr>
    <w:rPr>
      <w:rFonts w:ascii="Calibri" w:eastAsia="Calibri" w:hAnsi="Calibri" w:cs="Calibri"/>
      <w:lang w:eastAsia="es-MX"/>
    </w:rPr>
  </w:style>
  <w:style w:type="paragraph" w:customStyle="1" w:styleId="Estilo3">
    <w:name w:val="Estilo3"/>
    <w:basedOn w:val="Normal"/>
    <w:qFormat/>
    <w:rsid w:val="00A26CD3"/>
    <w:pPr>
      <w:spacing w:after="0" w:line="240" w:lineRule="auto"/>
    </w:pPr>
    <w:rPr>
      <w:rFonts w:ascii="Times New Roman" w:eastAsia="Times New Roman" w:hAnsi="Times New Roman" w:cs="Times New Roman"/>
      <w:sz w:val="24"/>
      <w:szCs w:val="24"/>
      <w:lang w:eastAsia="uk-UA"/>
    </w:rPr>
  </w:style>
  <w:style w:type="paragraph" w:customStyle="1" w:styleId="Estilo2">
    <w:name w:val="Estilo2"/>
    <w:basedOn w:val="Normal"/>
    <w:qFormat/>
    <w:rsid w:val="00A26CD3"/>
    <w:pPr>
      <w:spacing w:after="0" w:line="240" w:lineRule="auto"/>
    </w:pPr>
    <w:rPr>
      <w:rFonts w:ascii="Calibri" w:eastAsia="Calibri" w:hAnsi="Calibri" w:cs="Calibri"/>
      <w:sz w:val="20"/>
      <w:szCs w:val="24"/>
      <w:lang w:eastAsia="uk-UA"/>
    </w:rPr>
  </w:style>
  <w:style w:type="character" w:customStyle="1" w:styleId="DefaultCar">
    <w:name w:val="Default Car"/>
    <w:link w:val="Default"/>
    <w:locked/>
    <w:rsid w:val="00A26CD3"/>
    <w:rPr>
      <w:rFonts w:ascii="Adobe Garamond Pro" w:eastAsia="Batang" w:hAnsi="Adobe Garamond Pro" w:cs="Adobe Garamond Pro"/>
      <w:color w:val="000000"/>
      <w:sz w:val="24"/>
      <w:szCs w:val="24"/>
    </w:rPr>
  </w:style>
  <w:style w:type="paragraph" w:customStyle="1" w:styleId="m-3277012962406765300xxgmail-m7654804750109677470gmail-m-2387560082999433071m-8327037209282213987gmail-m-239288280814292813sangria">
    <w:name w:val="m_-3277012962406765300x_x_gmail-m_7654804750109677470gmail-m_-2387560082999433071m_-8327037209282213987gmail-m_-239288280814292813sangria"/>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independiente21">
    <w:name w:val="Texto independiente 21"/>
    <w:basedOn w:val="Normal"/>
    <w:qFormat/>
    <w:rsid w:val="00A26CD3"/>
    <w:pPr>
      <w:widowControl w:val="0"/>
      <w:spacing w:after="240" w:line="240" w:lineRule="auto"/>
      <w:jc w:val="both"/>
    </w:pPr>
    <w:rPr>
      <w:rFonts w:ascii="Arial" w:eastAsia="Times New Roman" w:hAnsi="Arial" w:cs="Times New Roman"/>
      <w:b/>
      <w:sz w:val="24"/>
      <w:szCs w:val="20"/>
      <w:lang w:eastAsia="es-ES"/>
    </w:rPr>
  </w:style>
  <w:style w:type="paragraph" w:customStyle="1" w:styleId="TAB">
    <w:name w:val="TAB"/>
    <w:basedOn w:val="Normal"/>
    <w:qFormat/>
    <w:rsid w:val="00A26CD3"/>
    <w:pPr>
      <w:widowControl w:val="0"/>
      <w:spacing w:after="0" w:line="240" w:lineRule="auto"/>
    </w:pPr>
    <w:rPr>
      <w:rFonts w:ascii="Times New Roman" w:eastAsia="Times New Roman" w:hAnsi="Times New Roman" w:cs="Times New Roman"/>
      <w:noProof/>
      <w:sz w:val="20"/>
      <w:szCs w:val="20"/>
      <w:lang w:eastAsia="es-ES"/>
    </w:rPr>
  </w:style>
  <w:style w:type="paragraph" w:customStyle="1" w:styleId="TITULO">
    <w:name w:val="TITULO"/>
    <w:basedOn w:val="Normal"/>
    <w:qFormat/>
    <w:rsid w:val="00A26CD3"/>
    <w:pPr>
      <w:spacing w:before="240" w:after="120" w:line="240" w:lineRule="auto"/>
      <w:jc w:val="both"/>
    </w:pPr>
    <w:rPr>
      <w:rFonts w:ascii="Arial" w:eastAsia="Times New Roman" w:hAnsi="Arial" w:cs="Times New Roman"/>
      <w:b/>
      <w:sz w:val="24"/>
      <w:szCs w:val="20"/>
      <w:lang w:val="es-ES_tradnl" w:eastAsia="es-ES"/>
    </w:rPr>
  </w:style>
  <w:style w:type="paragraph" w:customStyle="1" w:styleId="PUNINDICE">
    <w:name w:val="PUNINDICE"/>
    <w:basedOn w:val="Normal"/>
    <w:qFormat/>
    <w:rsid w:val="00A26CD3"/>
    <w:pPr>
      <w:tabs>
        <w:tab w:val="left" w:leader="dot" w:pos="9639"/>
      </w:tabs>
      <w:overflowPunct w:val="0"/>
      <w:autoSpaceDE w:val="0"/>
      <w:autoSpaceDN w:val="0"/>
      <w:adjustRightInd w:val="0"/>
      <w:spacing w:after="0" w:line="280" w:lineRule="exact"/>
    </w:pPr>
    <w:rPr>
      <w:rFonts w:ascii="Avant Garde" w:eastAsia="Times New Roman" w:hAnsi="Avant Garde" w:cs="Times New Roman"/>
      <w:sz w:val="20"/>
      <w:szCs w:val="20"/>
      <w:lang w:val="es-ES_tradnl" w:eastAsia="es-ES"/>
    </w:rPr>
  </w:style>
  <w:style w:type="paragraph" w:customStyle="1" w:styleId="Sangra2detindependiente1">
    <w:name w:val="Sangría 2 de t. independiente1"/>
    <w:basedOn w:val="Normal"/>
    <w:qFormat/>
    <w:rsid w:val="00A26CD3"/>
    <w:pPr>
      <w:overflowPunct w:val="0"/>
      <w:autoSpaceDE w:val="0"/>
      <w:autoSpaceDN w:val="0"/>
      <w:adjustRightInd w:val="0"/>
      <w:spacing w:after="0" w:line="240" w:lineRule="auto"/>
      <w:ind w:left="360"/>
    </w:pPr>
    <w:rPr>
      <w:rFonts w:ascii="Arial" w:eastAsia="Times New Roman" w:hAnsi="Arial" w:cs="Times New Roman"/>
      <w:sz w:val="24"/>
      <w:szCs w:val="20"/>
      <w:lang w:eastAsia="es-ES"/>
    </w:rPr>
  </w:style>
  <w:style w:type="paragraph" w:customStyle="1" w:styleId="Sangra3detindependiente1">
    <w:name w:val="Sangría 3 de t. independiente1"/>
    <w:basedOn w:val="Normal"/>
    <w:qFormat/>
    <w:rsid w:val="00A26CD3"/>
    <w:pPr>
      <w:overflowPunct w:val="0"/>
      <w:autoSpaceDE w:val="0"/>
      <w:autoSpaceDN w:val="0"/>
      <w:adjustRightInd w:val="0"/>
      <w:spacing w:after="0" w:line="240" w:lineRule="auto"/>
      <w:ind w:left="360" w:hanging="360"/>
      <w:jc w:val="both"/>
    </w:pPr>
    <w:rPr>
      <w:rFonts w:ascii="Arial" w:eastAsia="Times New Roman" w:hAnsi="Arial" w:cs="Times New Roman"/>
      <w:sz w:val="24"/>
      <w:szCs w:val="20"/>
      <w:lang w:eastAsia="es-ES"/>
    </w:rPr>
  </w:style>
  <w:style w:type="paragraph" w:customStyle="1" w:styleId="Textosinformato1">
    <w:name w:val="Texto sin formato1"/>
    <w:basedOn w:val="Normal"/>
    <w:qFormat/>
    <w:rsid w:val="00A26CD3"/>
    <w:pPr>
      <w:overflowPunct w:val="0"/>
      <w:autoSpaceDE w:val="0"/>
      <w:autoSpaceDN w:val="0"/>
      <w:adjustRightInd w:val="0"/>
      <w:spacing w:after="0" w:line="240" w:lineRule="auto"/>
    </w:pPr>
    <w:rPr>
      <w:rFonts w:ascii="Courier New" w:eastAsia="Times New Roman" w:hAnsi="Courier New" w:cs="Times New Roman"/>
      <w:sz w:val="20"/>
      <w:szCs w:val="20"/>
      <w:lang w:eastAsia="es-ES"/>
    </w:rPr>
  </w:style>
  <w:style w:type="paragraph" w:customStyle="1" w:styleId="GUION">
    <w:name w:val="GUION"/>
    <w:basedOn w:val="Normal"/>
    <w:qFormat/>
    <w:rsid w:val="00A26CD3"/>
    <w:pPr>
      <w:widowControl w:val="0"/>
      <w:overflowPunct w:val="0"/>
      <w:autoSpaceDE w:val="0"/>
      <w:autoSpaceDN w:val="0"/>
      <w:adjustRightInd w:val="0"/>
      <w:spacing w:after="240" w:line="-278" w:lineRule="auto"/>
      <w:ind w:left="284" w:hanging="284"/>
      <w:jc w:val="both"/>
    </w:pPr>
    <w:rPr>
      <w:rFonts w:ascii="Arial" w:eastAsia="Times New Roman" w:hAnsi="Arial" w:cs="Times New Roman"/>
      <w:sz w:val="24"/>
      <w:szCs w:val="20"/>
      <w:lang w:val="es-ES_tradnl" w:eastAsia="es-ES"/>
    </w:rPr>
  </w:style>
  <w:style w:type="paragraph" w:customStyle="1" w:styleId="p4">
    <w:name w:val="p4"/>
    <w:basedOn w:val="Normal"/>
    <w:qFormat/>
    <w:rsid w:val="00A26CD3"/>
    <w:pPr>
      <w:widowControl w:val="0"/>
      <w:tabs>
        <w:tab w:val="left" w:pos="204"/>
      </w:tabs>
      <w:autoSpaceDE w:val="0"/>
      <w:autoSpaceDN w:val="0"/>
      <w:adjustRightInd w:val="0"/>
      <w:spacing w:after="0" w:line="240" w:lineRule="auto"/>
      <w:jc w:val="both"/>
    </w:pPr>
    <w:rPr>
      <w:rFonts w:ascii="Times New Roman" w:eastAsia="Times New Roman" w:hAnsi="Times New Roman" w:cs="Times New Roman"/>
      <w:sz w:val="24"/>
      <w:szCs w:val="24"/>
      <w:lang w:val="en-US" w:eastAsia="es-ES"/>
    </w:rPr>
  </w:style>
  <w:style w:type="paragraph" w:customStyle="1" w:styleId="cabuni">
    <w:name w:val="cabuni"/>
    <w:basedOn w:val="Normal"/>
    <w:qFormat/>
    <w:rsid w:val="00A26CD3"/>
    <w:pPr>
      <w:spacing w:before="240" w:after="240" w:line="240" w:lineRule="auto"/>
      <w:jc w:val="both"/>
    </w:pPr>
    <w:rPr>
      <w:rFonts w:ascii="Arial" w:eastAsia="Times New Roman" w:hAnsi="Arial" w:cs="Times New Roman"/>
      <w:b/>
      <w:sz w:val="24"/>
      <w:szCs w:val="20"/>
      <w:lang w:val="es-ES_tradnl" w:eastAsia="es-ES"/>
    </w:rPr>
  </w:style>
  <w:style w:type="paragraph" w:styleId="Listaconvietas">
    <w:name w:val="List Bullet"/>
    <w:basedOn w:val="Normal"/>
    <w:autoRedefine/>
    <w:unhideWhenUsed/>
    <w:rsid w:val="00A26CD3"/>
    <w:pPr>
      <w:tabs>
        <w:tab w:val="left" w:pos="0"/>
      </w:tabs>
      <w:spacing w:after="0" w:line="240" w:lineRule="auto"/>
      <w:ind w:firstLine="709"/>
      <w:jc w:val="center"/>
    </w:pPr>
    <w:rPr>
      <w:rFonts w:ascii="Arial" w:eastAsia="Calibri" w:hAnsi="Arial" w:cs="Arial"/>
      <w:b/>
      <w:sz w:val="24"/>
      <w:szCs w:val="24"/>
    </w:rPr>
  </w:style>
  <w:style w:type="character" w:customStyle="1" w:styleId="funcionCar">
    <w:name w:val="funcion Car"/>
    <w:link w:val="funcion"/>
    <w:locked/>
    <w:rsid w:val="00A26CD3"/>
    <w:rPr>
      <w:rFonts w:ascii="Gotham Book" w:eastAsia="Times New Roman" w:hAnsi="Gotham Book" w:cs="Arial"/>
      <w:sz w:val="24"/>
      <w:szCs w:val="24"/>
      <w:lang w:eastAsia="es-ES"/>
    </w:rPr>
  </w:style>
  <w:style w:type="paragraph" w:customStyle="1" w:styleId="funcion">
    <w:name w:val="funcion"/>
    <w:basedOn w:val="Listaconvietas"/>
    <w:link w:val="funcionCar"/>
    <w:autoRedefine/>
    <w:qFormat/>
    <w:rsid w:val="00A26CD3"/>
    <w:pPr>
      <w:numPr>
        <w:numId w:val="31"/>
      </w:numPr>
      <w:tabs>
        <w:tab w:val="clear" w:pos="0"/>
      </w:tabs>
      <w:spacing w:after="240"/>
      <w:jc w:val="both"/>
    </w:pPr>
    <w:rPr>
      <w:rFonts w:ascii="Gotham Book" w:eastAsia="Times New Roman" w:hAnsi="Gotham Book"/>
      <w:b w:val="0"/>
      <w:lang w:eastAsia="es-ES"/>
    </w:rPr>
  </w:style>
  <w:style w:type="character" w:customStyle="1" w:styleId="ATRIBCar">
    <w:name w:val="ATRIB Car"/>
    <w:link w:val="ATRIB"/>
    <w:locked/>
    <w:rsid w:val="00A26CD3"/>
    <w:rPr>
      <w:rFonts w:ascii="HelveticaNeueLT Std" w:eastAsia="Calibri" w:hAnsi="HelveticaNeueLT Std" w:cs="Arial"/>
      <w:sz w:val="24"/>
      <w:szCs w:val="24"/>
    </w:rPr>
  </w:style>
  <w:style w:type="paragraph" w:customStyle="1" w:styleId="ATRIB">
    <w:name w:val="ATRIB"/>
    <w:basedOn w:val="Prrafodelista"/>
    <w:link w:val="ATRIBCar"/>
    <w:qFormat/>
    <w:rsid w:val="00A26CD3"/>
    <w:pPr>
      <w:numPr>
        <w:numId w:val="32"/>
      </w:numPr>
      <w:tabs>
        <w:tab w:val="right" w:leader="dot" w:pos="9072"/>
        <w:tab w:val="right" w:leader="dot" w:pos="9356"/>
        <w:tab w:val="right" w:leader="dot" w:pos="9639"/>
      </w:tabs>
      <w:spacing w:before="120" w:after="120" w:line="240" w:lineRule="auto"/>
      <w:ind w:left="720"/>
      <w:contextualSpacing w:val="0"/>
      <w:jc w:val="both"/>
    </w:pPr>
    <w:rPr>
      <w:rFonts w:ascii="HelveticaNeueLT Std" w:eastAsia="Calibri" w:hAnsi="HelveticaNeueLT Std" w:cs="Arial"/>
      <w:sz w:val="24"/>
      <w:szCs w:val="24"/>
    </w:rPr>
  </w:style>
  <w:style w:type="character" w:customStyle="1" w:styleId="ESTR-BLANCar">
    <w:name w:val="ESTR-BLAN Car"/>
    <w:link w:val="ESTR-BLAN"/>
    <w:locked/>
    <w:rsid w:val="00A26CD3"/>
    <w:rPr>
      <w:rFonts w:ascii="HelveticaNeueLT Std" w:eastAsia="Calibri" w:hAnsi="HelveticaNeueLT Std" w:cs="Calibri"/>
      <w:color w:val="000000"/>
      <w:sz w:val="24"/>
      <w:szCs w:val="24"/>
    </w:rPr>
  </w:style>
  <w:style w:type="paragraph" w:customStyle="1" w:styleId="ESTR-BLAN">
    <w:name w:val="ESTR-BLAN"/>
    <w:basedOn w:val="Normal"/>
    <w:link w:val="ESTR-BLANCar"/>
    <w:qFormat/>
    <w:rsid w:val="00A26CD3"/>
    <w:pPr>
      <w:spacing w:before="240" w:after="240" w:line="240" w:lineRule="auto"/>
      <w:ind w:left="2552" w:hanging="2552"/>
      <w:jc w:val="both"/>
    </w:pPr>
    <w:rPr>
      <w:rFonts w:ascii="HelveticaNeueLT Std" w:eastAsia="Calibri" w:hAnsi="HelveticaNeueLT Std" w:cs="Calibri"/>
      <w:color w:val="000000"/>
      <w:sz w:val="24"/>
      <w:szCs w:val="24"/>
    </w:rPr>
  </w:style>
  <w:style w:type="character" w:customStyle="1" w:styleId="ESTRU-NEGCar">
    <w:name w:val="ESTRU-NEG Car"/>
    <w:link w:val="ESTRU-NEG"/>
    <w:locked/>
    <w:rsid w:val="00A26CD3"/>
    <w:rPr>
      <w:rFonts w:ascii="HelveticaNeueLT Std Med" w:eastAsia="Calibri" w:hAnsi="HelveticaNeueLT Std Med" w:cs="Calibri"/>
      <w:b/>
      <w:bCs/>
      <w:color w:val="000000"/>
      <w:sz w:val="24"/>
      <w:szCs w:val="24"/>
      <w:lang w:eastAsia="es-MX"/>
    </w:rPr>
  </w:style>
  <w:style w:type="paragraph" w:customStyle="1" w:styleId="ESTRU-NEG">
    <w:name w:val="ESTRU-NEG"/>
    <w:basedOn w:val="ESTR-BLAN"/>
    <w:link w:val="ESTRU-NEGCar"/>
    <w:qFormat/>
    <w:rsid w:val="00A26CD3"/>
    <w:rPr>
      <w:rFonts w:ascii="HelveticaNeueLT Std Med" w:hAnsi="HelveticaNeueLT Std Med"/>
      <w:b/>
      <w:bCs/>
      <w:lang w:eastAsia="es-MX"/>
    </w:rPr>
  </w:style>
  <w:style w:type="character" w:customStyle="1" w:styleId="ENCABCar">
    <w:name w:val="ENCAB Car"/>
    <w:link w:val="ENCAB"/>
    <w:locked/>
    <w:rsid w:val="00A26CD3"/>
    <w:rPr>
      <w:rFonts w:ascii="HelveticaNeueLT Std Blk" w:eastAsia="Calibri" w:hAnsi="HelveticaNeueLT Std Blk" w:cs="Cambria"/>
      <w:b/>
      <w:spacing w:val="14"/>
      <w:sz w:val="24"/>
      <w:szCs w:val="24"/>
    </w:rPr>
  </w:style>
  <w:style w:type="paragraph" w:customStyle="1" w:styleId="ENCAB">
    <w:name w:val="ENCAB"/>
    <w:basedOn w:val="Prrafodelista"/>
    <w:link w:val="ENCABCar"/>
    <w:qFormat/>
    <w:rsid w:val="00A26CD3"/>
    <w:pPr>
      <w:widowControl w:val="0"/>
      <w:numPr>
        <w:numId w:val="33"/>
      </w:numPr>
      <w:spacing w:before="240" w:after="240" w:line="240" w:lineRule="auto"/>
      <w:ind w:left="567" w:hanging="567"/>
      <w:jc w:val="center"/>
    </w:pPr>
    <w:rPr>
      <w:rFonts w:ascii="HelveticaNeueLT Std Blk" w:eastAsia="Calibri" w:hAnsi="HelveticaNeueLT Std Blk" w:cs="Cambria"/>
      <w:b/>
      <w:spacing w:val="14"/>
      <w:sz w:val="24"/>
      <w:szCs w:val="24"/>
    </w:rPr>
  </w:style>
  <w:style w:type="character" w:customStyle="1" w:styleId="FUNCIONESCar">
    <w:name w:val="FUNCIONES Car"/>
    <w:link w:val="FUNCIONES"/>
    <w:locked/>
    <w:rsid w:val="00A26CD3"/>
    <w:rPr>
      <w:rFonts w:ascii="HelveticaNeueLT Std" w:eastAsia="Calibri" w:hAnsi="HelveticaNeueLT Std" w:cs="Times New Roman"/>
      <w:sz w:val="24"/>
      <w:szCs w:val="24"/>
    </w:rPr>
  </w:style>
  <w:style w:type="paragraph" w:customStyle="1" w:styleId="FUNCIONES">
    <w:name w:val="FUNCIONES"/>
    <w:basedOn w:val="Normal"/>
    <w:link w:val="FUNCIONESCar"/>
    <w:qFormat/>
    <w:rsid w:val="00A26CD3"/>
    <w:pPr>
      <w:numPr>
        <w:numId w:val="34"/>
      </w:numPr>
      <w:spacing w:before="120" w:after="120" w:line="240" w:lineRule="auto"/>
      <w:jc w:val="both"/>
    </w:pPr>
    <w:rPr>
      <w:rFonts w:ascii="HelveticaNeueLT Std" w:eastAsia="Calibri" w:hAnsi="HelveticaNeueLT Std" w:cs="Times New Roman"/>
      <w:sz w:val="24"/>
      <w:szCs w:val="24"/>
    </w:rPr>
  </w:style>
  <w:style w:type="character" w:customStyle="1" w:styleId="INDI-UNIDCar">
    <w:name w:val="INDI-UNID Car"/>
    <w:link w:val="INDI-UNID"/>
    <w:locked/>
    <w:rsid w:val="00A26CD3"/>
    <w:rPr>
      <w:rFonts w:ascii="HelveticaNeueLT Std" w:eastAsia="Calibri" w:hAnsi="HelveticaNeueLT Std" w:cs="Cambria"/>
      <w:bCs/>
      <w:spacing w:val="14"/>
      <w:sz w:val="24"/>
      <w:szCs w:val="24"/>
    </w:rPr>
  </w:style>
  <w:style w:type="paragraph" w:customStyle="1" w:styleId="INDI-UNID">
    <w:name w:val="INDI-UNID"/>
    <w:basedOn w:val="Prrafodelista"/>
    <w:link w:val="INDI-UNIDCar"/>
    <w:qFormat/>
    <w:rsid w:val="00A26CD3"/>
    <w:pPr>
      <w:widowControl w:val="0"/>
      <w:numPr>
        <w:numId w:val="35"/>
      </w:numPr>
      <w:tabs>
        <w:tab w:val="right" w:leader="dot" w:pos="10206"/>
      </w:tabs>
      <w:spacing w:before="240" w:after="240" w:line="240" w:lineRule="auto"/>
      <w:ind w:left="709" w:hanging="357"/>
      <w:jc w:val="both"/>
    </w:pPr>
    <w:rPr>
      <w:rFonts w:ascii="HelveticaNeueLT Std" w:eastAsia="Calibri" w:hAnsi="HelveticaNeueLT Std" w:cs="Cambria"/>
      <w:bCs/>
      <w:spacing w:val="14"/>
      <w:sz w:val="24"/>
      <w:szCs w:val="24"/>
    </w:rPr>
  </w:style>
  <w:style w:type="character" w:customStyle="1" w:styleId="base-legal1Car">
    <w:name w:val="base-legal1 Car"/>
    <w:link w:val="base-legal1"/>
    <w:locked/>
    <w:rsid w:val="00A26CD3"/>
    <w:rPr>
      <w:rFonts w:ascii="HelveticaNeueLT Std" w:eastAsia="Calibri" w:hAnsi="HelveticaNeueLT Std" w:cs="Arial"/>
      <w:noProof/>
      <w:sz w:val="24"/>
      <w:szCs w:val="24"/>
      <w:lang w:val="es-ES"/>
    </w:rPr>
  </w:style>
  <w:style w:type="paragraph" w:customStyle="1" w:styleId="base-legal1">
    <w:name w:val="base-legal1"/>
    <w:basedOn w:val="Normal"/>
    <w:link w:val="base-legal1Car"/>
    <w:autoRedefine/>
    <w:qFormat/>
    <w:rsid w:val="00A26CD3"/>
    <w:pPr>
      <w:spacing w:after="0" w:line="240" w:lineRule="auto"/>
      <w:ind w:left="283"/>
      <w:jc w:val="both"/>
    </w:pPr>
    <w:rPr>
      <w:rFonts w:ascii="HelveticaNeueLT Std" w:eastAsia="Calibri" w:hAnsi="HelveticaNeueLT Std" w:cs="Arial"/>
      <w:noProof/>
      <w:sz w:val="24"/>
      <w:szCs w:val="24"/>
      <w:lang w:val="es-ES"/>
    </w:rPr>
  </w:style>
  <w:style w:type="character" w:customStyle="1" w:styleId="baselegal2Car">
    <w:name w:val="base legal 2 Car"/>
    <w:link w:val="baselegal2"/>
    <w:locked/>
    <w:rsid w:val="00A26CD3"/>
    <w:rPr>
      <w:rFonts w:ascii="HelveticaNeueLT Std" w:eastAsia="Arial" w:hAnsi="HelveticaNeueLT Std" w:cs="Times New Roman"/>
      <w:sz w:val="24"/>
      <w:szCs w:val="24"/>
    </w:rPr>
  </w:style>
  <w:style w:type="paragraph" w:customStyle="1" w:styleId="baselegal2">
    <w:name w:val="base legal 2"/>
    <w:basedOn w:val="Normal"/>
    <w:link w:val="baselegal2Car"/>
    <w:qFormat/>
    <w:rsid w:val="00A26CD3"/>
    <w:pPr>
      <w:spacing w:after="120" w:line="240" w:lineRule="auto"/>
      <w:ind w:left="364"/>
      <w:jc w:val="both"/>
    </w:pPr>
    <w:rPr>
      <w:rFonts w:ascii="HelveticaNeueLT Std" w:eastAsia="Arial" w:hAnsi="HelveticaNeueLT Std" w:cs="Times New Roman"/>
      <w:sz w:val="24"/>
      <w:szCs w:val="24"/>
    </w:rPr>
  </w:style>
  <w:style w:type="character" w:customStyle="1" w:styleId="FUNADMVACar">
    <w:name w:val="FUNADMVA Car"/>
    <w:link w:val="FUNADMVA"/>
    <w:locked/>
    <w:rsid w:val="00A26CD3"/>
    <w:rPr>
      <w:rFonts w:ascii="HelveticaNeueLT Std" w:eastAsia="Calibri" w:hAnsi="HelveticaNeueLT Std" w:cs="Times New Roman"/>
      <w:sz w:val="24"/>
      <w:szCs w:val="24"/>
    </w:rPr>
  </w:style>
  <w:style w:type="paragraph" w:customStyle="1" w:styleId="FUNADMVA">
    <w:name w:val="FUNADMVA"/>
    <w:basedOn w:val="Normal"/>
    <w:link w:val="FUNADMVACar"/>
    <w:qFormat/>
    <w:rsid w:val="00A26CD3"/>
    <w:pPr>
      <w:numPr>
        <w:numId w:val="36"/>
      </w:numPr>
      <w:spacing w:after="240" w:line="240" w:lineRule="auto"/>
      <w:jc w:val="both"/>
    </w:pPr>
    <w:rPr>
      <w:rFonts w:ascii="HelveticaNeueLT Std" w:eastAsia="Calibri" w:hAnsi="HelveticaNeueLT Std" w:cs="Times New Roman"/>
      <w:sz w:val="24"/>
      <w:szCs w:val="24"/>
    </w:rPr>
  </w:style>
  <w:style w:type="paragraph" w:customStyle="1" w:styleId="pf0">
    <w:name w:val="pf0"/>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inespaciado1">
    <w:name w:val="Sin espaciado1"/>
    <w:link w:val="NoSpacingChar"/>
    <w:qFormat/>
    <w:rsid w:val="00A26CD3"/>
    <w:pPr>
      <w:suppressAutoHyphens/>
      <w:spacing w:after="0" w:line="100" w:lineRule="atLeast"/>
    </w:pPr>
    <w:rPr>
      <w:rFonts w:ascii="Calibri" w:eastAsia="Droid Sans Fallback" w:hAnsi="Calibri" w:cs="font279"/>
      <w:kern w:val="2"/>
    </w:rPr>
  </w:style>
  <w:style w:type="paragraph" w:customStyle="1" w:styleId="xl65">
    <w:name w:val="xl65"/>
    <w:basedOn w:val="Normal"/>
    <w:qFormat/>
    <w:rsid w:val="00A26CD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b/>
      <w:bCs/>
      <w:sz w:val="14"/>
      <w:szCs w:val="14"/>
      <w:lang w:eastAsia="es-MX"/>
    </w:rPr>
  </w:style>
  <w:style w:type="paragraph" w:customStyle="1" w:styleId="xl66">
    <w:name w:val="xl66"/>
    <w:basedOn w:val="Normal"/>
    <w:qFormat/>
    <w:rsid w:val="00A26CD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Times New Roman" w:hAnsi="Arial" w:cs="Arial"/>
      <w:b/>
      <w:bCs/>
      <w:sz w:val="16"/>
      <w:szCs w:val="16"/>
      <w:lang w:eastAsia="es-MX"/>
    </w:rPr>
  </w:style>
  <w:style w:type="paragraph" w:customStyle="1" w:styleId="font0">
    <w:name w:val="font0"/>
    <w:basedOn w:val="Normal"/>
    <w:qFormat/>
    <w:rsid w:val="00A26CD3"/>
    <w:pPr>
      <w:spacing w:before="100" w:beforeAutospacing="1" w:after="100" w:afterAutospacing="1" w:line="240" w:lineRule="auto"/>
    </w:pPr>
    <w:rPr>
      <w:rFonts w:ascii="Calibri" w:eastAsia="Times New Roman" w:hAnsi="Calibri" w:cs="Calibri"/>
      <w:color w:val="000000"/>
      <w:lang w:eastAsia="es-MX"/>
    </w:rPr>
  </w:style>
  <w:style w:type="paragraph" w:customStyle="1" w:styleId="font5">
    <w:name w:val="font5"/>
    <w:basedOn w:val="Normal"/>
    <w:qFormat/>
    <w:rsid w:val="00A26CD3"/>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font6">
    <w:name w:val="font6"/>
    <w:basedOn w:val="Normal"/>
    <w:qFormat/>
    <w:rsid w:val="00A26CD3"/>
    <w:pPr>
      <w:spacing w:before="100" w:beforeAutospacing="1" w:after="100" w:afterAutospacing="1" w:line="240" w:lineRule="auto"/>
    </w:pPr>
    <w:rPr>
      <w:rFonts w:ascii="Arial" w:eastAsia="Times New Roman" w:hAnsi="Arial" w:cs="Arial"/>
      <w:sz w:val="20"/>
      <w:szCs w:val="20"/>
      <w:lang w:eastAsia="es-MX"/>
    </w:rPr>
  </w:style>
  <w:style w:type="paragraph" w:customStyle="1" w:styleId="xl63">
    <w:name w:val="xl63"/>
    <w:basedOn w:val="Normal"/>
    <w:qFormat/>
    <w:rsid w:val="00A26CD3"/>
    <w:pPr>
      <w:pBdr>
        <w:top w:val="single" w:sz="4" w:space="0" w:color="auto"/>
        <w:left w:val="single" w:sz="4" w:space="0" w:color="auto"/>
        <w:bottom w:val="single" w:sz="4" w:space="0" w:color="auto"/>
        <w:right w:val="single" w:sz="4" w:space="0" w:color="auto"/>
      </w:pBdr>
      <w:shd w:val="clear" w:color="auto" w:fill="D5007F"/>
      <w:spacing w:before="100" w:beforeAutospacing="1" w:after="100" w:afterAutospacing="1" w:line="240" w:lineRule="auto"/>
      <w:jc w:val="center"/>
    </w:pPr>
    <w:rPr>
      <w:rFonts w:ascii="Arial" w:eastAsia="Times New Roman" w:hAnsi="Arial" w:cs="Arial"/>
      <w:b/>
      <w:bCs/>
      <w:color w:val="FFFFFF"/>
      <w:sz w:val="24"/>
      <w:szCs w:val="24"/>
      <w:lang w:eastAsia="es-MX"/>
    </w:rPr>
  </w:style>
  <w:style w:type="paragraph" w:customStyle="1" w:styleId="xl64">
    <w:name w:val="xl64"/>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0"/>
      <w:szCs w:val="20"/>
      <w:lang w:eastAsia="es-MX"/>
    </w:rPr>
  </w:style>
  <w:style w:type="paragraph" w:customStyle="1" w:styleId="Textoindependiente211">
    <w:name w:val="Texto independiente 211"/>
    <w:basedOn w:val="Normal"/>
    <w:qFormat/>
    <w:rsid w:val="00A26CD3"/>
    <w:pPr>
      <w:widowControl w:val="0"/>
      <w:spacing w:after="240" w:line="240" w:lineRule="auto"/>
      <w:jc w:val="both"/>
    </w:pPr>
    <w:rPr>
      <w:rFonts w:ascii="Arial" w:eastAsia="Times New Roman" w:hAnsi="Arial" w:cs="Times New Roman"/>
      <w:b/>
      <w:sz w:val="24"/>
      <w:szCs w:val="20"/>
      <w:lang w:eastAsia="es-ES"/>
    </w:rPr>
  </w:style>
  <w:style w:type="character" w:customStyle="1" w:styleId="APARTADO2Car">
    <w:name w:val="APARTADO2 Car"/>
    <w:link w:val="APARTADO2"/>
    <w:locked/>
    <w:rsid w:val="00A26CD3"/>
    <w:rPr>
      <w:rFonts w:ascii="HelveticaNeueLT Std Med" w:eastAsia="Times New Roman" w:hAnsi="HelveticaNeueLT Std Med" w:cs="Times New Roman"/>
      <w:b/>
      <w:noProof/>
      <w:spacing w:val="-6"/>
      <w:sz w:val="24"/>
      <w:szCs w:val="24"/>
      <w:lang w:eastAsia="es-ES"/>
    </w:rPr>
  </w:style>
  <w:style w:type="paragraph" w:customStyle="1" w:styleId="APARTADO2">
    <w:name w:val="APARTADO2"/>
    <w:basedOn w:val="Ttulo1"/>
    <w:link w:val="APARTADO2Car"/>
    <w:qFormat/>
    <w:rsid w:val="00A26CD3"/>
    <w:pPr>
      <w:keepNext w:val="0"/>
      <w:keepLines w:val="0"/>
      <w:widowControl w:val="0"/>
      <w:numPr>
        <w:numId w:val="37"/>
      </w:numPr>
      <w:tabs>
        <w:tab w:val="left" w:pos="257"/>
      </w:tabs>
      <w:spacing w:after="240" w:line="240" w:lineRule="auto"/>
      <w:ind w:left="364" w:right="136" w:hanging="357"/>
      <w:jc w:val="center"/>
    </w:pPr>
    <w:rPr>
      <w:rFonts w:ascii="HelveticaNeueLT Std Med" w:hAnsi="HelveticaNeueLT Std Med"/>
      <w:b/>
      <w:noProof/>
      <w:color w:val="auto"/>
      <w:spacing w:val="-6"/>
      <w:sz w:val="24"/>
      <w:szCs w:val="24"/>
      <w:lang w:eastAsia="es-ES"/>
    </w:rPr>
  </w:style>
  <w:style w:type="character" w:customStyle="1" w:styleId="APARTADO1Car">
    <w:name w:val="APARTADO1 Car"/>
    <w:link w:val="APARTADO1"/>
    <w:locked/>
    <w:rsid w:val="00A26CD3"/>
    <w:rPr>
      <w:rFonts w:ascii="HelveticaNeueLT Std Med" w:eastAsia="Calibri" w:hAnsi="HelveticaNeueLT Std Med" w:cs="Cambria"/>
      <w:b/>
      <w:spacing w:val="20"/>
      <w:sz w:val="24"/>
      <w:szCs w:val="24"/>
    </w:rPr>
  </w:style>
  <w:style w:type="paragraph" w:customStyle="1" w:styleId="APARTADO1">
    <w:name w:val="APARTADO1"/>
    <w:basedOn w:val="Normal"/>
    <w:link w:val="APARTADO1Car"/>
    <w:qFormat/>
    <w:rsid w:val="00A26CD3"/>
    <w:pPr>
      <w:widowControl w:val="0"/>
      <w:spacing w:after="0" w:line="240" w:lineRule="auto"/>
      <w:jc w:val="center"/>
    </w:pPr>
    <w:rPr>
      <w:rFonts w:ascii="HelveticaNeueLT Std Med" w:eastAsia="Calibri" w:hAnsi="HelveticaNeueLT Std Med" w:cs="Cambria"/>
      <w:b/>
      <w:spacing w:val="20"/>
      <w:sz w:val="24"/>
      <w:szCs w:val="24"/>
    </w:rPr>
  </w:style>
  <w:style w:type="character" w:customStyle="1" w:styleId="baselegalCar">
    <w:name w:val="base legal Car"/>
    <w:link w:val="baselegal"/>
    <w:locked/>
    <w:rsid w:val="00A26CD3"/>
    <w:rPr>
      <w:rFonts w:ascii="HelveticaNeueLT Std" w:eastAsia="Calibri" w:hAnsi="HelveticaNeueLT Std" w:cs="Times New Roman"/>
      <w:sz w:val="24"/>
      <w:szCs w:val="24"/>
    </w:rPr>
  </w:style>
  <w:style w:type="paragraph" w:customStyle="1" w:styleId="baselegal">
    <w:name w:val="base legal"/>
    <w:basedOn w:val="Normal"/>
    <w:link w:val="baselegalCar"/>
    <w:qFormat/>
    <w:rsid w:val="00A26CD3"/>
    <w:pPr>
      <w:numPr>
        <w:numId w:val="38"/>
      </w:numPr>
      <w:spacing w:after="0" w:line="240" w:lineRule="auto"/>
      <w:jc w:val="both"/>
    </w:pPr>
    <w:rPr>
      <w:rFonts w:ascii="HelveticaNeueLT Std" w:eastAsia="Calibri" w:hAnsi="HelveticaNeueLT Std" w:cs="Times New Roman"/>
      <w:sz w:val="24"/>
      <w:szCs w:val="24"/>
    </w:rPr>
  </w:style>
  <w:style w:type="character" w:customStyle="1" w:styleId="baselegal1Car">
    <w:name w:val="base legal1 Car"/>
    <w:link w:val="baselegal1"/>
    <w:locked/>
    <w:rsid w:val="00A26CD3"/>
    <w:rPr>
      <w:rFonts w:ascii="HelveticaNeueLT Std" w:eastAsia="Calibri" w:hAnsi="HelveticaNeueLT Std" w:cs="Arial"/>
      <w:sz w:val="24"/>
      <w:szCs w:val="24"/>
    </w:rPr>
  </w:style>
  <w:style w:type="paragraph" w:customStyle="1" w:styleId="baselegal1">
    <w:name w:val="base legal1"/>
    <w:basedOn w:val="baselegal"/>
    <w:link w:val="baselegal1Car"/>
    <w:qFormat/>
    <w:rsid w:val="00A26CD3"/>
    <w:rPr>
      <w:rFonts w:cs="Arial"/>
    </w:rPr>
  </w:style>
  <w:style w:type="paragraph" w:customStyle="1" w:styleId="Textoindependiente32">
    <w:name w:val="Texto independiente 32"/>
    <w:basedOn w:val="Normal"/>
    <w:qFormat/>
    <w:rsid w:val="00A26CD3"/>
    <w:pPr>
      <w:spacing w:before="240" w:after="0" w:line="240" w:lineRule="auto"/>
      <w:jc w:val="both"/>
    </w:pPr>
    <w:rPr>
      <w:rFonts w:ascii="Arial" w:eastAsia="Times New Roman" w:hAnsi="Arial" w:cs="Times New Roman"/>
      <w:sz w:val="24"/>
      <w:szCs w:val="20"/>
      <w:lang w:val="es-ES_tradnl" w:eastAsia="es-ES"/>
    </w:rPr>
  </w:style>
  <w:style w:type="character" w:customStyle="1" w:styleId="apartado-numCar">
    <w:name w:val="apartado-num Car"/>
    <w:link w:val="apartado-num"/>
    <w:locked/>
    <w:rsid w:val="00A26CD3"/>
    <w:rPr>
      <w:rFonts w:ascii="HelveticaNeueLT Std Med" w:eastAsia="Times New Roman" w:hAnsi="HelveticaNeueLT Std Med" w:cs="Times New Roman"/>
      <w:b/>
      <w:noProof/>
      <w:spacing w:val="-6"/>
      <w:sz w:val="24"/>
      <w:szCs w:val="24"/>
      <w:lang w:eastAsia="es-ES"/>
    </w:rPr>
  </w:style>
  <w:style w:type="paragraph" w:customStyle="1" w:styleId="apartado-num">
    <w:name w:val="apartado-num"/>
    <w:basedOn w:val="APARTADO2"/>
    <w:link w:val="apartado-numCar"/>
    <w:qFormat/>
    <w:rsid w:val="00A26CD3"/>
  </w:style>
  <w:style w:type="character" w:customStyle="1" w:styleId="UNIDADADMVACar">
    <w:name w:val="UNIDAD ADMVA Car"/>
    <w:link w:val="UNIDADADMVA"/>
    <w:locked/>
    <w:rsid w:val="00A26CD3"/>
    <w:rPr>
      <w:rFonts w:ascii="HelveticaNeueLT Std" w:eastAsia="Arial" w:hAnsi="HelveticaNeueLT Std" w:cs="Arial"/>
      <w:b/>
      <w:bCs/>
      <w:spacing w:val="-2"/>
      <w:sz w:val="24"/>
      <w:szCs w:val="24"/>
    </w:rPr>
  </w:style>
  <w:style w:type="paragraph" w:customStyle="1" w:styleId="UNIDADADMVA">
    <w:name w:val="UNIDAD ADMVA"/>
    <w:basedOn w:val="Normal"/>
    <w:link w:val="UNIDADADMVACar"/>
    <w:qFormat/>
    <w:rsid w:val="00A26CD3"/>
    <w:pPr>
      <w:tabs>
        <w:tab w:val="left" w:pos="2268"/>
      </w:tabs>
      <w:spacing w:before="240" w:after="0" w:line="240" w:lineRule="auto"/>
      <w:ind w:right="276"/>
      <w:jc w:val="both"/>
    </w:pPr>
    <w:rPr>
      <w:rFonts w:ascii="HelveticaNeueLT Std" w:eastAsia="Arial" w:hAnsi="HelveticaNeueLT Std" w:cs="Arial"/>
      <w:b/>
      <w:bCs/>
      <w:spacing w:val="-2"/>
      <w:sz w:val="24"/>
      <w:szCs w:val="24"/>
    </w:rPr>
  </w:style>
  <w:style w:type="character" w:customStyle="1" w:styleId="UNIADMVA1Car">
    <w:name w:val="UNIADMVA1 Car"/>
    <w:link w:val="UNIADMVA1"/>
    <w:locked/>
    <w:rsid w:val="00A26CD3"/>
    <w:rPr>
      <w:rFonts w:ascii="HelveticaNeueLT Std" w:eastAsia="Arial" w:hAnsi="HelveticaNeueLT Std" w:cs="Arial"/>
      <w:b/>
      <w:bCs/>
      <w:spacing w:val="-2"/>
      <w:sz w:val="24"/>
      <w:szCs w:val="24"/>
    </w:rPr>
  </w:style>
  <w:style w:type="paragraph" w:customStyle="1" w:styleId="UNIADMVA1">
    <w:name w:val="UNIADMVA1"/>
    <w:basedOn w:val="UNIDADADMVA"/>
    <w:link w:val="UNIADMVA1Car"/>
    <w:qFormat/>
    <w:rsid w:val="00A26CD3"/>
    <w:pPr>
      <w:ind w:left="2268" w:hanging="2268"/>
    </w:pPr>
  </w:style>
  <w:style w:type="character" w:customStyle="1" w:styleId="estruc-blancaCar">
    <w:name w:val="estruc-blanca Car"/>
    <w:link w:val="estruc-blanca"/>
    <w:locked/>
    <w:rsid w:val="00A26CD3"/>
    <w:rPr>
      <w:rFonts w:ascii="HelveticaNeueLT Std" w:eastAsia="Times New Roman" w:hAnsi="HelveticaNeueLT Std" w:cs="Calibri"/>
      <w:bCs/>
      <w:sz w:val="24"/>
      <w:szCs w:val="24"/>
      <w:lang w:eastAsia="es-MX"/>
    </w:rPr>
  </w:style>
  <w:style w:type="paragraph" w:customStyle="1" w:styleId="estruc-blanca">
    <w:name w:val="estruc-blanca"/>
    <w:basedOn w:val="Normal"/>
    <w:link w:val="estruc-blancaCar"/>
    <w:qFormat/>
    <w:rsid w:val="00A26CD3"/>
    <w:pPr>
      <w:tabs>
        <w:tab w:val="left" w:pos="2730"/>
      </w:tabs>
      <w:spacing w:after="120" w:line="240" w:lineRule="auto"/>
      <w:ind w:left="2694" w:hanging="2694"/>
    </w:pPr>
    <w:rPr>
      <w:rFonts w:ascii="HelveticaNeueLT Std" w:eastAsia="Times New Roman" w:hAnsi="HelveticaNeueLT Std" w:cs="Calibri"/>
      <w:bCs/>
      <w:sz w:val="24"/>
      <w:szCs w:val="24"/>
      <w:lang w:eastAsia="es-MX"/>
    </w:rPr>
  </w:style>
  <w:style w:type="character" w:customStyle="1" w:styleId="estruc-negCar">
    <w:name w:val="estruc-neg Car"/>
    <w:link w:val="estruc-neg"/>
    <w:locked/>
    <w:rsid w:val="00A26CD3"/>
    <w:rPr>
      <w:rFonts w:ascii="HelveticaNeueLT Std Med" w:eastAsia="Times New Roman" w:hAnsi="HelveticaNeueLT Std Med" w:cs="Calibri"/>
      <w:b/>
      <w:bCs/>
      <w:sz w:val="24"/>
      <w:szCs w:val="24"/>
      <w:lang w:eastAsia="es-MX"/>
    </w:rPr>
  </w:style>
  <w:style w:type="paragraph" w:customStyle="1" w:styleId="estruc-neg">
    <w:name w:val="estruc-neg"/>
    <w:basedOn w:val="estruc-blanca"/>
    <w:link w:val="estruc-negCar"/>
    <w:qFormat/>
    <w:rsid w:val="00A26CD3"/>
    <w:rPr>
      <w:rFonts w:ascii="HelveticaNeueLT Std Med" w:hAnsi="HelveticaNeueLT Std Med"/>
      <w:b/>
    </w:rPr>
  </w:style>
  <w:style w:type="paragraph" w:customStyle="1" w:styleId="BodyText21">
    <w:name w:val="Body Text 21"/>
    <w:basedOn w:val="Normal"/>
    <w:qFormat/>
    <w:rsid w:val="00A26CD3"/>
    <w:pPr>
      <w:widowControl w:val="0"/>
      <w:overflowPunct w:val="0"/>
      <w:autoSpaceDE w:val="0"/>
      <w:autoSpaceDN w:val="0"/>
      <w:adjustRightInd w:val="0"/>
      <w:spacing w:after="0" w:line="240" w:lineRule="auto"/>
      <w:ind w:left="568" w:hanging="284"/>
      <w:jc w:val="both"/>
    </w:pPr>
    <w:rPr>
      <w:rFonts w:ascii="Arial" w:eastAsia="Times New Roman" w:hAnsi="Arial" w:cs="Times New Roman"/>
      <w:sz w:val="24"/>
      <w:szCs w:val="20"/>
      <w:lang w:val="es-ES_tradnl" w:eastAsia="es-ES"/>
    </w:rPr>
  </w:style>
  <w:style w:type="paragraph" w:customStyle="1" w:styleId="PlainText1">
    <w:name w:val="Plain Text1"/>
    <w:basedOn w:val="Normal"/>
    <w:qFormat/>
    <w:rsid w:val="00A26CD3"/>
    <w:pPr>
      <w:overflowPunct w:val="0"/>
      <w:autoSpaceDE w:val="0"/>
      <w:autoSpaceDN w:val="0"/>
      <w:adjustRightInd w:val="0"/>
      <w:spacing w:after="0" w:line="240" w:lineRule="auto"/>
    </w:pPr>
    <w:rPr>
      <w:rFonts w:ascii="Courier New" w:eastAsia="Times New Roman" w:hAnsi="Courier New" w:cs="Times New Roman"/>
      <w:sz w:val="20"/>
      <w:szCs w:val="20"/>
      <w:lang w:val="es-ES" w:eastAsia="es-ES"/>
    </w:rPr>
  </w:style>
  <w:style w:type="paragraph" w:customStyle="1" w:styleId="BodyText31">
    <w:name w:val="Body Text 31"/>
    <w:basedOn w:val="Normal"/>
    <w:qFormat/>
    <w:rsid w:val="00A26CD3"/>
    <w:pPr>
      <w:overflowPunct w:val="0"/>
      <w:autoSpaceDE w:val="0"/>
      <w:autoSpaceDN w:val="0"/>
      <w:adjustRightInd w:val="0"/>
      <w:spacing w:after="0" w:line="240" w:lineRule="auto"/>
      <w:jc w:val="center"/>
    </w:pPr>
    <w:rPr>
      <w:rFonts w:ascii="Arial" w:eastAsia="Times New Roman" w:hAnsi="Arial" w:cs="Times New Roman"/>
      <w:b/>
      <w:sz w:val="24"/>
      <w:szCs w:val="20"/>
      <w:lang w:val="es-ES" w:eastAsia="es-ES"/>
    </w:rPr>
  </w:style>
  <w:style w:type="paragraph" w:customStyle="1" w:styleId="Listamulticolor-nfasis11">
    <w:name w:val="Lista multicolor - Énfasis 11"/>
    <w:basedOn w:val="Normal"/>
    <w:uiPriority w:val="34"/>
    <w:qFormat/>
    <w:rsid w:val="00A26CD3"/>
    <w:pPr>
      <w:spacing w:after="200" w:line="276" w:lineRule="auto"/>
      <w:ind w:left="720"/>
      <w:contextualSpacing/>
    </w:pPr>
    <w:rPr>
      <w:rFonts w:ascii="Calibri" w:eastAsia="MS Mincho" w:hAnsi="Calibri" w:cs="Times New Roman"/>
      <w:lang w:eastAsia="es-MX"/>
    </w:rPr>
  </w:style>
  <w:style w:type="paragraph" w:customStyle="1" w:styleId="Textoindependiente22">
    <w:name w:val="Texto independiente 22"/>
    <w:basedOn w:val="Normal"/>
    <w:qFormat/>
    <w:rsid w:val="00A26CD3"/>
    <w:pPr>
      <w:widowControl w:val="0"/>
      <w:overflowPunct w:val="0"/>
      <w:autoSpaceDE w:val="0"/>
      <w:autoSpaceDN w:val="0"/>
      <w:adjustRightInd w:val="0"/>
      <w:spacing w:after="0" w:line="240" w:lineRule="auto"/>
      <w:ind w:left="568" w:hanging="284"/>
      <w:jc w:val="both"/>
    </w:pPr>
    <w:rPr>
      <w:rFonts w:ascii="Arial" w:eastAsia="Times New Roman" w:hAnsi="Arial" w:cs="Times New Roman"/>
      <w:sz w:val="24"/>
      <w:szCs w:val="20"/>
      <w:lang w:val="es-ES_tradnl" w:eastAsia="es-ES"/>
    </w:rPr>
  </w:style>
  <w:style w:type="character" w:customStyle="1" w:styleId="INDICE1Car">
    <w:name w:val="INDICE1 Car"/>
    <w:link w:val="INDICE1"/>
    <w:locked/>
    <w:rsid w:val="00A26CD3"/>
    <w:rPr>
      <w:rFonts w:ascii="HelveticaNeueLT Std" w:eastAsia="Calibri" w:hAnsi="HelveticaNeueLT Std" w:cs="Times New Roman"/>
      <w:b/>
      <w:sz w:val="24"/>
      <w:szCs w:val="24"/>
    </w:rPr>
  </w:style>
  <w:style w:type="paragraph" w:customStyle="1" w:styleId="INDICE1">
    <w:name w:val="INDICE1"/>
    <w:basedOn w:val="Normal"/>
    <w:link w:val="INDICE1Car"/>
    <w:qFormat/>
    <w:rsid w:val="00A26CD3"/>
    <w:pPr>
      <w:numPr>
        <w:numId w:val="39"/>
      </w:numPr>
      <w:tabs>
        <w:tab w:val="right" w:leader="dot" w:pos="10206"/>
      </w:tabs>
      <w:spacing w:before="260" w:after="0" w:line="240" w:lineRule="auto"/>
    </w:pPr>
    <w:rPr>
      <w:rFonts w:ascii="HelveticaNeueLT Std" w:eastAsia="Calibri" w:hAnsi="HelveticaNeueLT Std" w:cs="Times New Roman"/>
      <w:b/>
      <w:sz w:val="24"/>
      <w:szCs w:val="24"/>
    </w:rPr>
  </w:style>
  <w:style w:type="character" w:customStyle="1" w:styleId="INDICE2Car">
    <w:name w:val="INDICE2 Car"/>
    <w:link w:val="INDICE2"/>
    <w:locked/>
    <w:rsid w:val="00A26CD3"/>
    <w:rPr>
      <w:rFonts w:ascii="HelveticaNeueLT Std" w:eastAsia="Calibri" w:hAnsi="HelveticaNeueLT Std" w:cs="Times New Roman"/>
      <w:sz w:val="24"/>
      <w:szCs w:val="24"/>
    </w:rPr>
  </w:style>
  <w:style w:type="paragraph" w:customStyle="1" w:styleId="INDICE2">
    <w:name w:val="INDICE2"/>
    <w:basedOn w:val="Normal"/>
    <w:link w:val="INDICE2Car"/>
    <w:qFormat/>
    <w:rsid w:val="00A26CD3"/>
    <w:pPr>
      <w:tabs>
        <w:tab w:val="right" w:leader="dot" w:pos="10206"/>
      </w:tabs>
      <w:spacing w:before="120" w:after="120" w:line="240" w:lineRule="auto"/>
      <w:ind w:left="357" w:hanging="357"/>
    </w:pPr>
    <w:rPr>
      <w:rFonts w:ascii="HelveticaNeueLT Std" w:eastAsia="Calibri" w:hAnsi="HelveticaNeueLT Std" w:cs="Times New Roman"/>
      <w:sz w:val="24"/>
      <w:szCs w:val="24"/>
    </w:rPr>
  </w:style>
  <w:style w:type="character" w:customStyle="1" w:styleId="UNIDAD-ADMVACar">
    <w:name w:val="UNIDAD-ADMVA Car"/>
    <w:link w:val="UNIDAD-ADMVA"/>
    <w:locked/>
    <w:rsid w:val="00A26CD3"/>
    <w:rPr>
      <w:rFonts w:ascii="HelveticaNeueLT Std Med" w:eastAsia="Times New Roman" w:hAnsi="HelveticaNeueLT Std Med" w:cs="Calibri"/>
      <w:b/>
      <w:bCs/>
      <w:spacing w:val="-8"/>
      <w:sz w:val="24"/>
      <w:szCs w:val="24"/>
      <w:lang w:eastAsia="es-MX"/>
    </w:rPr>
  </w:style>
  <w:style w:type="paragraph" w:customStyle="1" w:styleId="UNIDAD-ADMVA">
    <w:name w:val="UNIDAD-ADMVA"/>
    <w:basedOn w:val="estruc-neg"/>
    <w:link w:val="UNIDAD-ADMVACar"/>
    <w:qFormat/>
    <w:rsid w:val="00A26CD3"/>
    <w:pPr>
      <w:spacing w:before="240" w:after="240"/>
      <w:ind w:left="2693" w:hanging="2693"/>
      <w:jc w:val="both"/>
    </w:pPr>
    <w:rPr>
      <w:spacing w:val="-8"/>
    </w:rPr>
  </w:style>
  <w:style w:type="character" w:customStyle="1" w:styleId="apartadoCar0">
    <w:name w:val="apartado Car"/>
    <w:link w:val="apartado"/>
    <w:locked/>
    <w:rsid w:val="00A26CD3"/>
    <w:rPr>
      <w:rFonts w:ascii="HelveticaNeueLT Std" w:eastAsia="Calibri" w:hAnsi="HelveticaNeueLT Std" w:cs="Times New Roman"/>
      <w:b/>
      <w:bCs/>
    </w:rPr>
  </w:style>
  <w:style w:type="paragraph" w:customStyle="1" w:styleId="apartado">
    <w:name w:val="apartado"/>
    <w:basedOn w:val="Prrafodelista"/>
    <w:link w:val="apartadoCar0"/>
    <w:qFormat/>
    <w:rsid w:val="00A26CD3"/>
    <w:pPr>
      <w:numPr>
        <w:numId w:val="40"/>
      </w:numPr>
      <w:spacing w:before="240" w:line="240" w:lineRule="auto"/>
      <w:ind w:left="567" w:hanging="533"/>
      <w:contextualSpacing w:val="0"/>
      <w:jc w:val="both"/>
    </w:pPr>
    <w:rPr>
      <w:rFonts w:ascii="HelveticaNeueLT Std" w:eastAsia="Calibri" w:hAnsi="HelveticaNeueLT Std" w:cs="Times New Roman"/>
      <w:b/>
      <w:bCs/>
    </w:rPr>
  </w:style>
  <w:style w:type="paragraph" w:customStyle="1" w:styleId="xl90">
    <w:name w:val="xl90"/>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SimSun" w:hAnsi="Arial" w:cs="Arial"/>
      <w:b/>
      <w:bCs/>
      <w:sz w:val="28"/>
      <w:szCs w:val="28"/>
      <w:lang w:val="es-ES" w:eastAsia="zh-CN"/>
    </w:rPr>
  </w:style>
  <w:style w:type="paragraph" w:customStyle="1" w:styleId="NormalArialNarrow">
    <w:name w:val="Normal + Arial Narrow"/>
    <w:aliases w:val="Negrita"/>
    <w:basedOn w:val="Normal"/>
    <w:qFormat/>
    <w:rsid w:val="00A26CD3"/>
    <w:pPr>
      <w:spacing w:after="200" w:line="240" w:lineRule="auto"/>
      <w:ind w:left="4956"/>
      <w:jc w:val="both"/>
    </w:pPr>
    <w:rPr>
      <w:rFonts w:ascii="Arial Narrow" w:eastAsia="Calibri" w:hAnsi="Arial Narrow" w:cs="Arial"/>
      <w:b/>
    </w:rPr>
  </w:style>
  <w:style w:type="paragraph" w:customStyle="1" w:styleId="ListaCC">
    <w:name w:val="Lista CC."/>
    <w:basedOn w:val="Normal"/>
    <w:qFormat/>
    <w:rsid w:val="00A26CD3"/>
    <w:pPr>
      <w:spacing w:after="200" w:line="276" w:lineRule="auto"/>
    </w:pPr>
    <w:rPr>
      <w:rFonts w:ascii="Calibri" w:eastAsia="Calibri" w:hAnsi="Calibri" w:cs="Times New Roman"/>
    </w:rPr>
  </w:style>
  <w:style w:type="paragraph" w:customStyle="1" w:styleId="m7032416836661057181ydpa0af2050msonormal">
    <w:name w:val="m_7032416836661057181ydpa0af2050msonormal"/>
    <w:basedOn w:val="Normal"/>
    <w:uiPriority w:val="99"/>
    <w:qFormat/>
    <w:rsid w:val="00A26CD3"/>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 w:type="paragraph" w:customStyle="1" w:styleId="Textoindependiente23">
    <w:name w:val="Texto independiente 23"/>
    <w:basedOn w:val="Normal"/>
    <w:qFormat/>
    <w:rsid w:val="00A26CD3"/>
    <w:pPr>
      <w:tabs>
        <w:tab w:val="left" w:pos="567"/>
      </w:tabs>
      <w:suppressAutoHyphens/>
      <w:overflowPunct w:val="0"/>
      <w:autoSpaceDE w:val="0"/>
      <w:autoSpaceDN w:val="0"/>
      <w:adjustRightInd w:val="0"/>
      <w:spacing w:after="0" w:line="240" w:lineRule="auto"/>
      <w:ind w:left="567" w:hanging="567"/>
      <w:jc w:val="both"/>
    </w:pPr>
    <w:rPr>
      <w:rFonts w:ascii="Arial" w:eastAsia="Times New Roman" w:hAnsi="Arial" w:cs="Times New Roman"/>
      <w:spacing w:val="-3"/>
      <w:sz w:val="24"/>
      <w:szCs w:val="20"/>
      <w:lang w:val="es-ES_tradnl" w:eastAsia="es-MX"/>
    </w:rPr>
  </w:style>
  <w:style w:type="paragraph" w:customStyle="1" w:styleId="Style1">
    <w:name w:val="Style1"/>
    <w:basedOn w:val="Normal"/>
    <w:uiPriority w:val="99"/>
    <w:qFormat/>
    <w:rsid w:val="00A26CD3"/>
    <w:pPr>
      <w:widowControl w:val="0"/>
      <w:autoSpaceDE w:val="0"/>
      <w:autoSpaceDN w:val="0"/>
      <w:adjustRightInd w:val="0"/>
      <w:spacing w:after="0" w:line="317" w:lineRule="exact"/>
      <w:jc w:val="both"/>
    </w:pPr>
    <w:rPr>
      <w:rFonts w:ascii="Calibri" w:eastAsia="Times New Roman" w:hAnsi="Calibri" w:cs="Times New Roman"/>
      <w:sz w:val="24"/>
      <w:szCs w:val="24"/>
      <w:lang w:eastAsia="es-MX"/>
    </w:rPr>
  </w:style>
  <w:style w:type="paragraph" w:customStyle="1" w:styleId="Helveticatexto">
    <w:name w:val="Helvetica texto"/>
    <w:basedOn w:val="Normal"/>
    <w:uiPriority w:val="99"/>
    <w:qFormat/>
    <w:rsid w:val="00A26CD3"/>
    <w:pPr>
      <w:spacing w:before="240" w:after="0" w:line="240" w:lineRule="auto"/>
      <w:jc w:val="both"/>
    </w:pPr>
    <w:rPr>
      <w:rFonts w:ascii="HelveticaNeueLT Std" w:eastAsia="Calibri" w:hAnsi="HelveticaNeueLT Std" w:cs="Helvetica"/>
      <w:spacing w:val="4"/>
      <w:sz w:val="24"/>
      <w:szCs w:val="24"/>
    </w:rPr>
  </w:style>
  <w:style w:type="paragraph" w:customStyle="1" w:styleId="helveticatitulo">
    <w:name w:val="helvetica titulo"/>
    <w:basedOn w:val="Normal"/>
    <w:uiPriority w:val="99"/>
    <w:qFormat/>
    <w:rsid w:val="00A26CD3"/>
    <w:pPr>
      <w:tabs>
        <w:tab w:val="right" w:leader="dot" w:pos="10206"/>
      </w:tabs>
      <w:spacing w:after="240" w:line="240" w:lineRule="auto"/>
      <w:jc w:val="center"/>
    </w:pPr>
    <w:rPr>
      <w:rFonts w:ascii="HelveticaNeueLT Std Blk" w:eastAsia="Calibri" w:hAnsi="HelveticaNeueLT Std Blk" w:cs="Helvetica"/>
      <w:b/>
      <w:sz w:val="24"/>
      <w:szCs w:val="24"/>
    </w:rPr>
  </w:style>
  <w:style w:type="paragraph" w:customStyle="1" w:styleId="IndicesinN">
    <w:name w:val="Indice sin N"/>
    <w:basedOn w:val="Normal"/>
    <w:uiPriority w:val="99"/>
    <w:qFormat/>
    <w:rsid w:val="00A26CD3"/>
    <w:pPr>
      <w:tabs>
        <w:tab w:val="right" w:leader="dot" w:pos="10206"/>
      </w:tabs>
      <w:spacing w:before="120" w:after="0" w:line="240" w:lineRule="auto"/>
      <w:ind w:left="283" w:hanging="283"/>
    </w:pPr>
    <w:rPr>
      <w:rFonts w:ascii="Helvetica" w:eastAsia="Calibri" w:hAnsi="Helvetica" w:cs="Times New Roman"/>
      <w:sz w:val="24"/>
      <w:szCs w:val="24"/>
    </w:rPr>
  </w:style>
  <w:style w:type="paragraph" w:customStyle="1" w:styleId="IndiceconN">
    <w:name w:val="Indice con N"/>
    <w:basedOn w:val="Normal"/>
    <w:uiPriority w:val="99"/>
    <w:qFormat/>
    <w:rsid w:val="00A26CD3"/>
    <w:pPr>
      <w:numPr>
        <w:numId w:val="41"/>
      </w:numPr>
      <w:tabs>
        <w:tab w:val="right" w:leader="dot" w:pos="10206"/>
      </w:tabs>
      <w:spacing w:before="120" w:after="0" w:line="240" w:lineRule="auto"/>
      <w:ind w:left="1134" w:hanging="567"/>
    </w:pPr>
    <w:rPr>
      <w:rFonts w:ascii="Helvetica" w:eastAsia="Calibri" w:hAnsi="Helvetica" w:cs="Times New Roman"/>
      <w:b/>
      <w:sz w:val="24"/>
      <w:szCs w:val="24"/>
    </w:rPr>
  </w:style>
  <w:style w:type="paragraph" w:customStyle="1" w:styleId="Standard">
    <w:name w:val="Standard"/>
    <w:uiPriority w:val="99"/>
    <w:qFormat/>
    <w:rsid w:val="00A26CD3"/>
    <w:pPr>
      <w:suppressAutoHyphens/>
      <w:autoSpaceDN w:val="0"/>
      <w:spacing w:after="0" w:line="240" w:lineRule="auto"/>
    </w:pPr>
    <w:rPr>
      <w:rFonts w:ascii="Liberation Serif" w:eastAsia="SimSun" w:hAnsi="Liberation Serif" w:cs="Lucida Sans"/>
      <w:kern w:val="3"/>
      <w:sz w:val="24"/>
      <w:szCs w:val="24"/>
      <w:lang w:eastAsia="zh-CN" w:bidi="hi-IN"/>
    </w:rPr>
  </w:style>
  <w:style w:type="paragraph" w:customStyle="1" w:styleId="Textbody">
    <w:name w:val="Text body"/>
    <w:basedOn w:val="Standard"/>
    <w:uiPriority w:val="99"/>
    <w:qFormat/>
    <w:rsid w:val="00A26CD3"/>
    <w:pPr>
      <w:spacing w:after="140" w:line="288" w:lineRule="auto"/>
    </w:pPr>
  </w:style>
  <w:style w:type="paragraph" w:customStyle="1" w:styleId="Escritura">
    <w:name w:val="Escritura"/>
    <w:basedOn w:val="Normal"/>
    <w:qFormat/>
    <w:rsid w:val="00A26CD3"/>
    <w:pPr>
      <w:tabs>
        <w:tab w:val="right" w:leader="hyphen" w:pos="8618"/>
      </w:tabs>
      <w:spacing w:after="0" w:line="360" w:lineRule="auto"/>
      <w:jc w:val="both"/>
    </w:pPr>
    <w:rPr>
      <w:rFonts w:ascii="Courier New" w:eastAsia="Times New Roman" w:hAnsi="Courier New" w:cs="Courier New"/>
      <w:sz w:val="20"/>
      <w:szCs w:val="20"/>
      <w:lang w:eastAsia="es-MX"/>
    </w:rPr>
  </w:style>
  <w:style w:type="character" w:customStyle="1" w:styleId="Cuerpodeltexto2">
    <w:name w:val="Cuerpo del texto (2)_"/>
    <w:link w:val="Cuerpodeltexto20"/>
    <w:qFormat/>
    <w:locked/>
    <w:rsid w:val="00A26CD3"/>
    <w:rPr>
      <w:rFonts w:ascii="Franklin Gothic Heavy" w:eastAsia="Franklin Gothic Heavy" w:hAnsi="Franklin Gothic Heavy" w:cs="Franklin Gothic Heavy"/>
      <w:b/>
      <w:bCs/>
      <w:spacing w:val="2"/>
      <w:sz w:val="19"/>
      <w:szCs w:val="19"/>
      <w:shd w:val="clear" w:color="auto" w:fill="FFFFFF"/>
    </w:rPr>
  </w:style>
  <w:style w:type="paragraph" w:customStyle="1" w:styleId="Cuerpodeltexto20">
    <w:name w:val="Cuerpo del texto (2)"/>
    <w:basedOn w:val="Normal"/>
    <w:link w:val="Cuerpodeltexto2"/>
    <w:qFormat/>
    <w:rsid w:val="00A26CD3"/>
    <w:pPr>
      <w:widowControl w:val="0"/>
      <w:shd w:val="clear" w:color="auto" w:fill="FFFFFF"/>
      <w:spacing w:before="780" w:after="60" w:line="240" w:lineRule="auto"/>
      <w:jc w:val="center"/>
    </w:pPr>
    <w:rPr>
      <w:rFonts w:ascii="Franklin Gothic Heavy" w:eastAsia="Franklin Gothic Heavy" w:hAnsi="Franklin Gothic Heavy" w:cs="Franklin Gothic Heavy"/>
      <w:b/>
      <w:bCs/>
      <w:spacing w:val="2"/>
      <w:sz w:val="19"/>
      <w:szCs w:val="19"/>
    </w:rPr>
  </w:style>
  <w:style w:type="character" w:customStyle="1" w:styleId="Ttulo12">
    <w:name w:val="Título #1_"/>
    <w:link w:val="Ttulo13"/>
    <w:qFormat/>
    <w:locked/>
    <w:rsid w:val="00A26CD3"/>
    <w:rPr>
      <w:rFonts w:ascii="Franklin Gothic Heavy" w:eastAsia="Franklin Gothic Heavy" w:hAnsi="Franklin Gothic Heavy" w:cs="Franklin Gothic Heavy"/>
      <w:spacing w:val="1"/>
      <w:sz w:val="28"/>
      <w:szCs w:val="28"/>
      <w:shd w:val="clear" w:color="auto" w:fill="FFFFFF"/>
    </w:rPr>
  </w:style>
  <w:style w:type="paragraph" w:customStyle="1" w:styleId="Ttulo13">
    <w:name w:val="Título #1"/>
    <w:basedOn w:val="Normal"/>
    <w:link w:val="Ttulo12"/>
    <w:qFormat/>
    <w:rsid w:val="00A26CD3"/>
    <w:pPr>
      <w:widowControl w:val="0"/>
      <w:shd w:val="clear" w:color="auto" w:fill="FFFFFF"/>
      <w:spacing w:before="60" w:after="360" w:line="240" w:lineRule="auto"/>
      <w:jc w:val="center"/>
      <w:outlineLvl w:val="0"/>
    </w:pPr>
    <w:rPr>
      <w:rFonts w:ascii="Franklin Gothic Heavy" w:eastAsia="Franklin Gothic Heavy" w:hAnsi="Franklin Gothic Heavy" w:cs="Franklin Gothic Heavy"/>
      <w:spacing w:val="1"/>
      <w:sz w:val="28"/>
      <w:szCs w:val="28"/>
    </w:rPr>
  </w:style>
  <w:style w:type="character" w:customStyle="1" w:styleId="Cuerpodeltexto">
    <w:name w:val="Cuerpo del texto_"/>
    <w:link w:val="Cuerpodeltexto0"/>
    <w:qFormat/>
    <w:locked/>
    <w:rsid w:val="00A26CD3"/>
    <w:rPr>
      <w:rFonts w:ascii="Franklin Gothic Heavy" w:eastAsia="Franklin Gothic Heavy" w:hAnsi="Franklin Gothic Heavy" w:cs="Franklin Gothic Heavy"/>
      <w:spacing w:val="3"/>
      <w:sz w:val="19"/>
      <w:szCs w:val="19"/>
      <w:shd w:val="clear" w:color="auto" w:fill="FFFFFF"/>
    </w:rPr>
  </w:style>
  <w:style w:type="paragraph" w:customStyle="1" w:styleId="Cuerpodeltexto0">
    <w:name w:val="Cuerpo del texto"/>
    <w:basedOn w:val="Normal"/>
    <w:link w:val="Cuerpodeltexto"/>
    <w:qFormat/>
    <w:rsid w:val="00A26CD3"/>
    <w:pPr>
      <w:widowControl w:val="0"/>
      <w:shd w:val="clear" w:color="auto" w:fill="FFFFFF"/>
      <w:spacing w:after="0" w:line="256" w:lineRule="exact"/>
      <w:jc w:val="both"/>
    </w:pPr>
    <w:rPr>
      <w:rFonts w:ascii="Franklin Gothic Heavy" w:eastAsia="Franklin Gothic Heavy" w:hAnsi="Franklin Gothic Heavy" w:cs="Franklin Gothic Heavy"/>
      <w:spacing w:val="3"/>
      <w:sz w:val="19"/>
      <w:szCs w:val="19"/>
    </w:rPr>
  </w:style>
  <w:style w:type="paragraph" w:customStyle="1" w:styleId="Heading">
    <w:name w:val="Heading"/>
    <w:basedOn w:val="Normal"/>
    <w:next w:val="Normal"/>
    <w:qFormat/>
    <w:rsid w:val="00A26CD3"/>
    <w:pPr>
      <w:keepNext/>
      <w:widowControl w:val="0"/>
      <w:suppressAutoHyphens/>
      <w:spacing w:before="240" w:after="120" w:line="240" w:lineRule="auto"/>
    </w:pPr>
    <w:rPr>
      <w:rFonts w:ascii="Liberation Sans" w:eastAsia="Noto Sans SC Regular" w:hAnsi="Liberation Sans" w:cs="Noto Sans Devanagari"/>
      <w:kern w:val="2"/>
      <w:sz w:val="28"/>
      <w:szCs w:val="28"/>
      <w:lang w:val="en-US" w:eastAsia="zh-CN" w:bidi="hi-IN"/>
    </w:rPr>
  </w:style>
  <w:style w:type="paragraph" w:customStyle="1" w:styleId="CarCarCarCarCarCarCarCarCar2CarCarCarCarCarCarCarCarCarCarCarCarCarCarCarCarCarCarCar">
    <w:name w:val="Car Car Car Car Car Car Car Car Car2 Car Car Car Car Car Car Car Car Car Car Car Car Car Car Car Car Car Car Car"/>
    <w:basedOn w:val="Normal"/>
    <w:qFormat/>
    <w:rsid w:val="00A26CD3"/>
    <w:pPr>
      <w:spacing w:line="240" w:lineRule="exact"/>
      <w:jc w:val="right"/>
    </w:pPr>
    <w:rPr>
      <w:rFonts w:ascii="Verdana" w:eastAsia="Times New Roman" w:hAnsi="Verdana" w:cs="Arial"/>
      <w:sz w:val="20"/>
      <w:szCs w:val="21"/>
    </w:rPr>
  </w:style>
  <w:style w:type="paragraph" w:customStyle="1" w:styleId="Descripcin1">
    <w:name w:val="Descripción1"/>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CarCarCarCarCarCar">
    <w:name w:val="Car Car Car Car Car Car"/>
    <w:basedOn w:val="Normal"/>
    <w:uiPriority w:val="99"/>
    <w:qFormat/>
    <w:rsid w:val="00A26CD3"/>
    <w:pPr>
      <w:spacing w:line="240" w:lineRule="exact"/>
      <w:jc w:val="right"/>
    </w:pPr>
    <w:rPr>
      <w:rFonts w:ascii="Verdana" w:eastAsia="Times New Roman" w:hAnsi="Verdana" w:cs="Arial"/>
      <w:sz w:val="20"/>
      <w:szCs w:val="21"/>
    </w:rPr>
  </w:style>
  <w:style w:type="paragraph" w:customStyle="1" w:styleId="Descripcin2">
    <w:name w:val="Descripción2"/>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3">
    <w:name w:val="Descripción3"/>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4">
    <w:name w:val="Descripción4"/>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Normal1">
    <w:name w:val="Normal1"/>
    <w:qFormat/>
    <w:rsid w:val="00A26CD3"/>
    <w:pPr>
      <w:spacing w:line="256" w:lineRule="auto"/>
    </w:pPr>
    <w:rPr>
      <w:rFonts w:ascii="Calibri" w:eastAsia="Calibri" w:hAnsi="Calibri" w:cs="Calibri"/>
      <w:lang w:eastAsia="es-ES"/>
    </w:rPr>
  </w:style>
  <w:style w:type="paragraph" w:customStyle="1" w:styleId="zw-paragraph">
    <w:name w:val="zw-paragraph"/>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Descripcin5">
    <w:name w:val="Descripción5"/>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6">
    <w:name w:val="Descripción6"/>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NewStyle">
    <w:name w:val="New Style"/>
    <w:basedOn w:val="Normal"/>
    <w:qFormat/>
    <w:rsid w:val="00A26CD3"/>
    <w:pPr>
      <w:spacing w:after="0" w:line="240" w:lineRule="auto"/>
    </w:pPr>
    <w:rPr>
      <w:rFonts w:ascii="New York" w:eastAsia="Times New Roman" w:hAnsi="New York" w:cs="Times New Roman"/>
      <w:sz w:val="24"/>
      <w:szCs w:val="20"/>
      <w:lang w:val="es-ES_tradnl" w:eastAsia="es-ES_tradnl"/>
    </w:rPr>
  </w:style>
  <w:style w:type="paragraph" w:customStyle="1" w:styleId="Descripcin7">
    <w:name w:val="Descripción7"/>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8">
    <w:name w:val="Descripción8"/>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9">
    <w:name w:val="Descripción9"/>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Index">
    <w:name w:val="Index"/>
    <w:basedOn w:val="Normal"/>
    <w:qFormat/>
    <w:rsid w:val="00A26CD3"/>
    <w:pPr>
      <w:suppressLineNumbers/>
      <w:suppressAutoHyphens/>
      <w:spacing w:line="254" w:lineRule="auto"/>
    </w:pPr>
    <w:rPr>
      <w:rFonts w:ascii="Calibri" w:eastAsia="Times New Roman" w:hAnsi="Calibri" w:cs="Times New Roman"/>
      <w:kern w:val="2"/>
    </w:rPr>
  </w:style>
  <w:style w:type="paragraph" w:customStyle="1" w:styleId="Tablanormal1">
    <w:name w:val="Tabla normal1"/>
    <w:qFormat/>
    <w:rsid w:val="00A26CD3"/>
    <w:pPr>
      <w:suppressAutoHyphens/>
      <w:spacing w:line="254" w:lineRule="auto"/>
    </w:pPr>
    <w:rPr>
      <w:rFonts w:ascii="Calibri" w:eastAsia="Times New Roman" w:hAnsi="Calibri" w:cs="Times New Roman"/>
      <w:kern w:val="2"/>
      <w:lang w:eastAsia="es-MX"/>
    </w:rPr>
  </w:style>
  <w:style w:type="paragraph" w:customStyle="1" w:styleId="CarCarCarCarCarCar1CarCarCarCarCarCar">
    <w:name w:val="Car Car Car Car Car Car1 Car Car Car Car Car Car"/>
    <w:basedOn w:val="Normal"/>
    <w:qFormat/>
    <w:rsid w:val="00A26CD3"/>
    <w:pPr>
      <w:spacing w:line="240" w:lineRule="exact"/>
      <w:jc w:val="right"/>
    </w:pPr>
    <w:rPr>
      <w:rFonts w:ascii="Verdana" w:eastAsia="Times New Roman" w:hAnsi="Verdana" w:cs="Arial"/>
      <w:sz w:val="20"/>
      <w:szCs w:val="21"/>
    </w:rPr>
  </w:style>
  <w:style w:type="paragraph" w:customStyle="1" w:styleId="Descripcin10">
    <w:name w:val="Descripción10"/>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Car1">
    <w:name w:val="Car1"/>
    <w:basedOn w:val="Normal"/>
    <w:qFormat/>
    <w:rsid w:val="00A26CD3"/>
    <w:pPr>
      <w:spacing w:line="240" w:lineRule="exact"/>
      <w:jc w:val="right"/>
    </w:pPr>
    <w:rPr>
      <w:rFonts w:ascii="Verdana" w:eastAsia="Times New Roman" w:hAnsi="Verdana" w:cs="Arial"/>
      <w:sz w:val="20"/>
      <w:szCs w:val="21"/>
    </w:rPr>
  </w:style>
  <w:style w:type="paragraph" w:customStyle="1" w:styleId="Descripcin11">
    <w:name w:val="Descripción11"/>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xp1">
    <w:name w:val="x_p1"/>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scripcin12">
    <w:name w:val="Descripción12"/>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13">
    <w:name w:val="Descripción13"/>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14">
    <w:name w:val="Descripción14"/>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15">
    <w:name w:val="Descripción15"/>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16">
    <w:name w:val="Descripción16"/>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Descripcin17">
    <w:name w:val="Descripción17"/>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Standarduser">
    <w:name w:val="Standard (user)"/>
    <w:qFormat/>
    <w:rsid w:val="00A26CD3"/>
    <w:pPr>
      <w:widowControl w:val="0"/>
      <w:suppressAutoHyphens/>
      <w:autoSpaceDN w:val="0"/>
      <w:spacing w:after="0" w:line="240" w:lineRule="auto"/>
    </w:pPr>
    <w:rPr>
      <w:rFonts w:ascii="Courier New" w:eastAsia="Times New Roman" w:hAnsi="Courier New" w:cs="Courier New"/>
      <w:kern w:val="3"/>
      <w:sz w:val="20"/>
      <w:szCs w:val="20"/>
      <w:lang w:eastAsia="es-ES" w:bidi="hi-IN"/>
    </w:rPr>
  </w:style>
  <w:style w:type="paragraph" w:customStyle="1" w:styleId="xp3">
    <w:name w:val="x_p3"/>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arCarCarCarCarCar1CarCarCarCar">
    <w:name w:val="Car Car Car Car Car Car1 Car Car Car Car"/>
    <w:basedOn w:val="Normal"/>
    <w:qFormat/>
    <w:rsid w:val="00A26CD3"/>
    <w:pPr>
      <w:spacing w:line="240" w:lineRule="exact"/>
      <w:jc w:val="right"/>
    </w:pPr>
    <w:rPr>
      <w:rFonts w:ascii="Verdana" w:eastAsia="Times New Roman" w:hAnsi="Verdana" w:cs="Arial"/>
      <w:sz w:val="20"/>
      <w:szCs w:val="21"/>
    </w:rPr>
  </w:style>
  <w:style w:type="paragraph" w:customStyle="1" w:styleId="Textoindepe">
    <w:name w:val="Texto indepe"/>
    <w:basedOn w:val="Standarduser"/>
    <w:qFormat/>
    <w:rsid w:val="00A26CD3"/>
    <w:pPr>
      <w:spacing w:line="360" w:lineRule="auto"/>
      <w:jc w:val="both"/>
    </w:pPr>
    <w:rPr>
      <w:rFonts w:ascii="Arial" w:eastAsia="Arial" w:hAnsi="Arial" w:cs="Arial"/>
      <w:b/>
      <w:bCs/>
      <w:color w:val="00000A"/>
      <w:kern w:val="0"/>
      <w:sz w:val="24"/>
      <w:szCs w:val="24"/>
      <w:lang w:val="en-US" w:eastAsia="zh-CN"/>
    </w:rPr>
  </w:style>
  <w:style w:type="paragraph" w:customStyle="1" w:styleId="CM1">
    <w:name w:val="CM1"/>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paragraph" w:customStyle="1" w:styleId="CM4">
    <w:name w:val="CM4"/>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paragraph" w:customStyle="1" w:styleId="CM3">
    <w:name w:val="CM3"/>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paragraph" w:customStyle="1" w:styleId="Sangra2detindependiente2">
    <w:name w:val="Sangría 2 de t. independiente2"/>
    <w:basedOn w:val="Normal"/>
    <w:qFormat/>
    <w:rsid w:val="00A26CD3"/>
    <w:pPr>
      <w:suppressAutoHyphens/>
      <w:spacing w:after="0" w:line="240" w:lineRule="auto"/>
      <w:ind w:firstLine="708"/>
      <w:jc w:val="both"/>
    </w:pPr>
    <w:rPr>
      <w:rFonts w:ascii="Times New Roman" w:eastAsia="Times New Roman" w:hAnsi="Times New Roman" w:cs="Times New Roman"/>
      <w:b/>
      <w:sz w:val="24"/>
      <w:szCs w:val="20"/>
      <w:lang w:val="es-ES_tradnl" w:eastAsia="zh-CN"/>
    </w:rPr>
  </w:style>
  <w:style w:type="paragraph" w:customStyle="1" w:styleId="western">
    <w:name w:val="western"/>
    <w:basedOn w:val="Normal"/>
    <w:qFormat/>
    <w:rsid w:val="00A26CD3"/>
    <w:pPr>
      <w:spacing w:before="100" w:beforeAutospacing="1" w:after="0" w:line="240" w:lineRule="auto"/>
    </w:pPr>
    <w:rPr>
      <w:rFonts w:ascii="Arial" w:eastAsia="Times New Roman" w:hAnsi="Arial" w:cs="Arial"/>
      <w:lang w:eastAsia="es-MX"/>
    </w:rPr>
  </w:style>
  <w:style w:type="paragraph" w:customStyle="1" w:styleId="Encabezamiento">
    <w:name w:val="Encabezamiento"/>
    <w:basedOn w:val="Normal"/>
    <w:qFormat/>
    <w:rsid w:val="00A26CD3"/>
    <w:pPr>
      <w:suppressLineNumbers/>
      <w:tabs>
        <w:tab w:val="left" w:pos="708"/>
        <w:tab w:val="center" w:pos="4419"/>
        <w:tab w:val="right" w:pos="8838"/>
      </w:tabs>
      <w:suppressAutoHyphens/>
      <w:spacing w:after="200" w:line="276" w:lineRule="auto"/>
    </w:pPr>
    <w:rPr>
      <w:rFonts w:ascii="Times New Roman" w:eastAsia="Times New Roman" w:hAnsi="Times New Roman" w:cs="Times New Roman"/>
      <w:color w:val="00000A"/>
      <w:sz w:val="20"/>
      <w:szCs w:val="20"/>
      <w:lang w:val="es-ES" w:eastAsia="es-ES" w:bidi="hi-IN"/>
    </w:rPr>
  </w:style>
  <w:style w:type="character" w:customStyle="1" w:styleId="DerechaCar">
    <w:name w:val="Derecha Car"/>
    <w:link w:val="Derecha"/>
    <w:locked/>
    <w:rsid w:val="00A26CD3"/>
    <w:rPr>
      <w:rFonts w:ascii="Times New Roman" w:eastAsia="Times New Roman" w:hAnsi="Times New Roman" w:cs="Times New Roman"/>
      <w:sz w:val="24"/>
      <w:szCs w:val="20"/>
      <w:lang w:val="es-ES_tradnl" w:eastAsia="es-MX"/>
    </w:rPr>
  </w:style>
  <w:style w:type="paragraph" w:customStyle="1" w:styleId="Derecha">
    <w:name w:val="Derecha"/>
    <w:basedOn w:val="Normal"/>
    <w:link w:val="DerechaCar"/>
    <w:qFormat/>
    <w:rsid w:val="00A26CD3"/>
    <w:pPr>
      <w:tabs>
        <w:tab w:val="right" w:leader="hyphen" w:pos="8845"/>
      </w:tabs>
      <w:spacing w:after="0" w:line="360" w:lineRule="auto"/>
      <w:jc w:val="both"/>
    </w:pPr>
    <w:rPr>
      <w:rFonts w:ascii="Times New Roman" w:eastAsia="Times New Roman" w:hAnsi="Times New Roman" w:cs="Times New Roman"/>
      <w:sz w:val="24"/>
      <w:szCs w:val="20"/>
      <w:lang w:val="es-ES_tradnl" w:eastAsia="es-MX"/>
    </w:rPr>
  </w:style>
  <w:style w:type="paragraph" w:customStyle="1" w:styleId="Standarduseruseruser">
    <w:name w:val="Standard (user) (user) (user)"/>
    <w:qFormat/>
    <w:rsid w:val="00A26CD3"/>
    <w:pPr>
      <w:suppressAutoHyphens/>
      <w:autoSpaceDN w:val="0"/>
      <w:spacing w:after="0" w:line="240" w:lineRule="auto"/>
    </w:pPr>
    <w:rPr>
      <w:rFonts w:ascii="Liberation Serif" w:eastAsia="SimSun, 宋体" w:hAnsi="Liberation Serif" w:cs="Arial"/>
      <w:kern w:val="3"/>
      <w:sz w:val="24"/>
      <w:szCs w:val="24"/>
      <w:lang w:eastAsia="zh-CN" w:bidi="hi-IN"/>
    </w:rPr>
  </w:style>
  <w:style w:type="character" w:customStyle="1" w:styleId="Bodytext1">
    <w:name w:val="Body text|1_"/>
    <w:link w:val="Bodytext10"/>
    <w:locked/>
    <w:rsid w:val="00A26CD3"/>
    <w:rPr>
      <w:rFonts w:ascii="Arial" w:eastAsia="Arial" w:hAnsi="Arial" w:cs="Arial"/>
      <w:shd w:val="clear" w:color="auto" w:fill="FFFFFF"/>
    </w:rPr>
  </w:style>
  <w:style w:type="paragraph" w:customStyle="1" w:styleId="Bodytext10">
    <w:name w:val="Body text|1"/>
    <w:basedOn w:val="Normal"/>
    <w:link w:val="Bodytext1"/>
    <w:qFormat/>
    <w:rsid w:val="00A26CD3"/>
    <w:pPr>
      <w:widowControl w:val="0"/>
      <w:shd w:val="clear" w:color="auto" w:fill="FFFFFF"/>
      <w:spacing w:after="260" w:line="240" w:lineRule="auto"/>
    </w:pPr>
    <w:rPr>
      <w:rFonts w:ascii="Arial" w:eastAsia="Arial" w:hAnsi="Arial" w:cs="Arial"/>
    </w:rPr>
  </w:style>
  <w:style w:type="paragraph" w:customStyle="1" w:styleId="Textosinformato2">
    <w:name w:val="Texto sin formato2"/>
    <w:basedOn w:val="Normal"/>
    <w:qFormat/>
    <w:rsid w:val="00A26CD3"/>
    <w:pPr>
      <w:widowControl w:val="0"/>
      <w:spacing w:after="0" w:line="240" w:lineRule="auto"/>
    </w:pPr>
    <w:rPr>
      <w:rFonts w:ascii="Courier New" w:eastAsia="Times New Roman" w:hAnsi="Courier New" w:cs="Times New Roman"/>
      <w:sz w:val="20"/>
      <w:szCs w:val="20"/>
      <w:lang w:val="es-ES" w:eastAsia="es-MX"/>
    </w:rPr>
  </w:style>
  <w:style w:type="paragraph" w:customStyle="1" w:styleId="Descripcin18">
    <w:name w:val="Descripción18"/>
    <w:basedOn w:val="Normal"/>
    <w:qFormat/>
    <w:rsid w:val="00A26CD3"/>
    <w:pPr>
      <w:spacing w:after="0" w:line="240" w:lineRule="auto"/>
      <w:jc w:val="center"/>
    </w:pPr>
    <w:rPr>
      <w:rFonts w:ascii="New York" w:eastAsia="Times New Roman" w:hAnsi="New York" w:cs="Times New Roman"/>
      <w:b/>
      <w:i/>
      <w:sz w:val="36"/>
      <w:szCs w:val="20"/>
      <w:lang w:val="es-ES_tradnl" w:eastAsia="es-ES_tradnl"/>
    </w:rPr>
  </w:style>
  <w:style w:type="paragraph" w:customStyle="1" w:styleId="Normal2">
    <w:name w:val="Normal2"/>
    <w:qFormat/>
    <w:rsid w:val="00A26CD3"/>
    <w:pPr>
      <w:spacing w:after="0" w:line="276" w:lineRule="auto"/>
    </w:pPr>
    <w:rPr>
      <w:rFonts w:ascii="Arial" w:eastAsia="Arial" w:hAnsi="Arial" w:cs="Arial"/>
      <w:lang w:val="es-US" w:eastAsia="es-MX"/>
    </w:rPr>
  </w:style>
  <w:style w:type="paragraph" w:customStyle="1" w:styleId="Style10">
    <w:name w:val="Style 1"/>
    <w:basedOn w:val="Normal"/>
    <w:uiPriority w:val="99"/>
    <w:qFormat/>
    <w:rsid w:val="00A26CD3"/>
    <w:pPr>
      <w:widowControl w:val="0"/>
      <w:autoSpaceDE w:val="0"/>
      <w:autoSpaceDN w:val="0"/>
      <w:spacing w:after="0" w:line="302" w:lineRule="auto"/>
      <w:jc w:val="center"/>
    </w:pPr>
    <w:rPr>
      <w:rFonts w:ascii="Arial" w:eastAsia="Times New Roman" w:hAnsi="Arial" w:cs="Arial"/>
      <w:b/>
      <w:bCs/>
      <w:sz w:val="20"/>
      <w:szCs w:val="20"/>
      <w:lang w:val="en-US" w:eastAsia="es-MX"/>
    </w:rPr>
  </w:style>
  <w:style w:type="paragraph" w:customStyle="1" w:styleId="TableContents">
    <w:name w:val="Table Contents"/>
    <w:basedOn w:val="Standard"/>
    <w:qFormat/>
    <w:rsid w:val="00A26CD3"/>
    <w:pPr>
      <w:suppressLineNumbers/>
    </w:pPr>
  </w:style>
  <w:style w:type="paragraph" w:customStyle="1" w:styleId="Nombredelremitente">
    <w:name w:val="Nombre del remitente"/>
    <w:basedOn w:val="Normal"/>
    <w:next w:val="Normal"/>
    <w:qFormat/>
    <w:rsid w:val="00A26CD3"/>
    <w:pPr>
      <w:pBdr>
        <w:bottom w:val="single" w:sz="4" w:space="1" w:color="auto"/>
      </w:pBdr>
      <w:spacing w:before="60" w:after="0" w:line="240" w:lineRule="auto"/>
      <w:jc w:val="right"/>
    </w:pPr>
    <w:rPr>
      <w:rFonts w:ascii="Century Gothic" w:eastAsia="Times New Roman" w:hAnsi="Century Gothic" w:cs="Century Gothic"/>
      <w:b/>
      <w:sz w:val="32"/>
      <w:szCs w:val="32"/>
      <w:lang w:val="en-US" w:bidi="en-US"/>
    </w:rPr>
  </w:style>
  <w:style w:type="paragraph" w:customStyle="1" w:styleId="Informacindecontacto">
    <w:name w:val="Información de contacto"/>
    <w:basedOn w:val="Normal"/>
    <w:qFormat/>
    <w:rsid w:val="00A26CD3"/>
    <w:pPr>
      <w:spacing w:before="60" w:after="0" w:line="240" w:lineRule="auto"/>
      <w:jc w:val="right"/>
    </w:pPr>
    <w:rPr>
      <w:rFonts w:ascii="Century Gothic" w:eastAsia="Times New Roman" w:hAnsi="Century Gothic" w:cs="Century Gothic"/>
      <w:sz w:val="16"/>
      <w:szCs w:val="16"/>
      <w:lang w:val="en-US" w:bidi="en-US"/>
    </w:rPr>
  </w:style>
  <w:style w:type="paragraph" w:customStyle="1" w:styleId="WW-Textoindependiente2">
    <w:name w:val="WW-Texto independiente 2"/>
    <w:basedOn w:val="Normal"/>
    <w:qFormat/>
    <w:rsid w:val="00A26CD3"/>
    <w:pPr>
      <w:suppressAutoHyphens/>
      <w:spacing w:after="0" w:line="240" w:lineRule="auto"/>
      <w:jc w:val="both"/>
    </w:pPr>
    <w:rPr>
      <w:rFonts w:ascii="Arial" w:eastAsia="Times New Roman" w:hAnsi="Arial" w:cs="Times New Roman"/>
      <w:sz w:val="24"/>
      <w:szCs w:val="20"/>
      <w:lang w:val="es-ES"/>
    </w:rPr>
  </w:style>
  <w:style w:type="paragraph" w:customStyle="1" w:styleId="Encabezado9">
    <w:name w:val="Encabezado9"/>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Etiqueta">
    <w:name w:val="Etiqueta"/>
    <w:basedOn w:val="Normal"/>
    <w:qFormat/>
    <w:rsid w:val="00A26CD3"/>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ndice">
    <w:name w:val="Índice"/>
    <w:basedOn w:val="Normal"/>
    <w:qFormat/>
    <w:rsid w:val="00A26CD3"/>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8">
    <w:name w:val="Encabezado8"/>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Encabezado7">
    <w:name w:val="Encabezado7"/>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Encabezado6">
    <w:name w:val="Encabezado6"/>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Encabezado5">
    <w:name w:val="Encabezado5"/>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Encabezado4">
    <w:name w:val="Encabezado4"/>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Encabezado3">
    <w:name w:val="Encabezado3"/>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Encabezado2">
    <w:name w:val="Encabezado2"/>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Encabezado1">
    <w:name w:val="Encabezado1"/>
    <w:basedOn w:val="Normal"/>
    <w:next w:val="Normal"/>
    <w:qFormat/>
    <w:rsid w:val="00A26CD3"/>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Contenidodelatabla">
    <w:name w:val="Contenido de la tabla"/>
    <w:basedOn w:val="Normal"/>
    <w:qFormat/>
    <w:rsid w:val="00A26CD3"/>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cxmsonormal">
    <w:name w:val="ecxmsonormal"/>
    <w:basedOn w:val="Normal"/>
    <w:qFormat/>
    <w:rsid w:val="00A26CD3"/>
    <w:pPr>
      <w:widowControl w:val="0"/>
      <w:suppressAutoHyphens/>
      <w:spacing w:after="324" w:line="240" w:lineRule="auto"/>
    </w:pPr>
    <w:rPr>
      <w:rFonts w:ascii="Times New Roman" w:eastAsia="SimSun" w:hAnsi="Times New Roman" w:cs="Mangal"/>
      <w:kern w:val="2"/>
      <w:sz w:val="24"/>
      <w:szCs w:val="24"/>
      <w:lang w:eastAsia="hi-IN" w:bidi="hi-IN"/>
    </w:rPr>
  </w:style>
  <w:style w:type="paragraph" w:customStyle="1" w:styleId="Textopreformateado">
    <w:name w:val="Texto preformateado"/>
    <w:basedOn w:val="Normal"/>
    <w:qFormat/>
    <w:rsid w:val="00A26CD3"/>
    <w:pPr>
      <w:widowControl w:val="0"/>
      <w:suppressAutoHyphens/>
      <w:spacing w:after="0" w:line="240" w:lineRule="auto"/>
    </w:pPr>
    <w:rPr>
      <w:rFonts w:ascii="Courier New" w:eastAsia="NSimSun" w:hAnsi="Courier New" w:cs="Courier New"/>
      <w:kern w:val="2"/>
      <w:sz w:val="20"/>
      <w:szCs w:val="20"/>
      <w:lang w:eastAsia="hi-IN" w:bidi="hi-IN"/>
    </w:rPr>
  </w:style>
  <w:style w:type="paragraph" w:customStyle="1" w:styleId="Encabezadodelatabla">
    <w:name w:val="Encabezado de la tabla"/>
    <w:basedOn w:val="Contenidodelatabla"/>
    <w:qFormat/>
    <w:rsid w:val="00A26CD3"/>
    <w:pPr>
      <w:jc w:val="center"/>
    </w:pPr>
    <w:rPr>
      <w:b/>
      <w:bCs/>
    </w:rPr>
  </w:style>
  <w:style w:type="paragraph" w:customStyle="1" w:styleId="Tablanormal2">
    <w:name w:val="Tabla normal2"/>
    <w:qFormat/>
    <w:rsid w:val="00A26CD3"/>
    <w:pPr>
      <w:suppressAutoHyphens/>
      <w:spacing w:line="254" w:lineRule="auto"/>
    </w:pPr>
    <w:rPr>
      <w:rFonts w:ascii="Calibri" w:eastAsia="Times New Roman" w:hAnsi="Calibri" w:cs="Times New Roman"/>
      <w:kern w:val="2"/>
      <w:lang w:eastAsia="es-MX"/>
    </w:rPr>
  </w:style>
  <w:style w:type="character" w:customStyle="1" w:styleId="BodyTextIndentChar">
    <w:name w:val="Body Text Indent Char"/>
    <w:link w:val="Sangradetextonormal1"/>
    <w:semiHidden/>
    <w:locked/>
    <w:rsid w:val="00A26CD3"/>
    <w:rPr>
      <w:rFonts w:ascii="Thorndale" w:eastAsia="Calibri" w:hAnsi="Thorndale" w:cs="Thorndale"/>
      <w:color w:val="000000"/>
      <w:sz w:val="24"/>
      <w:szCs w:val="24"/>
      <w:lang w:val="x-none" w:eastAsia="es-ES_tradnl"/>
    </w:rPr>
  </w:style>
  <w:style w:type="paragraph" w:customStyle="1" w:styleId="Sangradetextonormal1">
    <w:name w:val="Sangría de texto normal1"/>
    <w:basedOn w:val="Normal"/>
    <w:link w:val="BodyTextIndentChar"/>
    <w:semiHidden/>
    <w:qFormat/>
    <w:rsid w:val="00A26CD3"/>
    <w:pPr>
      <w:widowControl w:val="0"/>
      <w:suppressAutoHyphens/>
      <w:autoSpaceDE w:val="0"/>
      <w:spacing w:after="0" w:line="240" w:lineRule="auto"/>
      <w:ind w:firstLine="4320"/>
      <w:jc w:val="both"/>
    </w:pPr>
    <w:rPr>
      <w:rFonts w:ascii="Thorndale" w:eastAsia="Calibri" w:hAnsi="Thorndale" w:cs="Thorndale"/>
      <w:color w:val="000000"/>
      <w:sz w:val="24"/>
      <w:szCs w:val="24"/>
      <w:lang w:val="x-none" w:eastAsia="es-ES_tradnl"/>
    </w:rPr>
  </w:style>
  <w:style w:type="character" w:customStyle="1" w:styleId="ESCRITURACar">
    <w:name w:val="ESCRITURA Car"/>
    <w:link w:val="ESCRITURA0"/>
    <w:locked/>
    <w:rsid w:val="00A26CD3"/>
    <w:rPr>
      <w:rFonts w:ascii="Arial" w:eastAsia="Times New Roman" w:hAnsi="Arial" w:cs="Times New Roman"/>
      <w:sz w:val="24"/>
      <w:szCs w:val="24"/>
      <w:lang w:val="es-ES" w:eastAsia="es-ES"/>
    </w:rPr>
  </w:style>
  <w:style w:type="paragraph" w:customStyle="1" w:styleId="ESCRITURA0">
    <w:name w:val="ESCRITURA"/>
    <w:basedOn w:val="Normal"/>
    <w:link w:val="ESCRITURACar"/>
    <w:qFormat/>
    <w:rsid w:val="00A26CD3"/>
    <w:pPr>
      <w:widowControl w:val="0"/>
      <w:tabs>
        <w:tab w:val="right" w:leader="hyphen" w:pos="8165"/>
      </w:tabs>
      <w:autoSpaceDE w:val="0"/>
      <w:autoSpaceDN w:val="0"/>
      <w:adjustRightInd w:val="0"/>
      <w:spacing w:after="0" w:line="420" w:lineRule="atLeast"/>
      <w:jc w:val="both"/>
    </w:pPr>
    <w:rPr>
      <w:rFonts w:ascii="Arial" w:eastAsia="Times New Roman" w:hAnsi="Arial" w:cs="Times New Roman"/>
      <w:sz w:val="24"/>
      <w:szCs w:val="24"/>
      <w:lang w:val="es-ES" w:eastAsia="es-ES"/>
    </w:rPr>
  </w:style>
  <w:style w:type="paragraph" w:customStyle="1" w:styleId="Textbodyindent">
    <w:name w:val="Text body indent"/>
    <w:basedOn w:val="Standard"/>
    <w:qFormat/>
    <w:rsid w:val="00A26CD3"/>
    <w:pPr>
      <w:spacing w:before="120" w:after="120"/>
      <w:ind w:left="3540"/>
    </w:pPr>
    <w:rPr>
      <w:rFonts w:ascii="Book Antiqua" w:eastAsia="Book Antiqua" w:hAnsi="Book Antiqua" w:cs="Book Antiqua"/>
    </w:rPr>
  </w:style>
  <w:style w:type="paragraph" w:customStyle="1" w:styleId="xwestern">
    <w:name w:val="x_western"/>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paragraph" w:customStyle="1" w:styleId="Prrafodelista4">
    <w:name w:val="Párrafo de lista4"/>
    <w:basedOn w:val="Normal"/>
    <w:qFormat/>
    <w:rsid w:val="00A26CD3"/>
    <w:pPr>
      <w:autoSpaceDE w:val="0"/>
      <w:autoSpaceDN w:val="0"/>
      <w:spacing w:after="0" w:line="240" w:lineRule="auto"/>
      <w:ind w:left="720"/>
    </w:pPr>
    <w:rPr>
      <w:rFonts w:ascii="Times New Roman" w:eastAsia="Times New Roman" w:hAnsi="Times New Roman" w:cs="Times New Roman"/>
      <w:sz w:val="20"/>
      <w:szCs w:val="20"/>
      <w:lang w:val="en-US"/>
    </w:rPr>
  </w:style>
  <w:style w:type="paragraph" w:customStyle="1" w:styleId="xl37">
    <w:name w:val="xl37"/>
    <w:basedOn w:val="Normal"/>
    <w:qFormat/>
    <w:rsid w:val="00A26CD3"/>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pPr>
    <w:rPr>
      <w:rFonts w:ascii="Arial" w:eastAsia="Times New Roman" w:hAnsi="Arial" w:cs="Times New Roman"/>
      <w:sz w:val="16"/>
      <w:szCs w:val="20"/>
      <w:lang w:eastAsia="es-ES"/>
    </w:rPr>
  </w:style>
  <w:style w:type="paragraph" w:customStyle="1" w:styleId="CharCharCarCarCharCharCarCarCharCharCarCarCharChar">
    <w:name w:val="Char Char Car Car Char Char Car Car Char Char Car Car Char Char"/>
    <w:basedOn w:val="Normal"/>
    <w:qFormat/>
    <w:rsid w:val="00A26CD3"/>
    <w:pPr>
      <w:spacing w:before="60" w:line="240" w:lineRule="exact"/>
    </w:pPr>
    <w:rPr>
      <w:rFonts w:ascii="Verdana" w:eastAsia="Times New Roman" w:hAnsi="Verdana" w:cs="Times New Roman"/>
      <w:color w:val="FF00FF"/>
      <w:sz w:val="20"/>
      <w:szCs w:val="20"/>
      <w:lang w:val="en-US"/>
    </w:rPr>
  </w:style>
  <w:style w:type="paragraph" w:customStyle="1" w:styleId="EstiloIIIA">
    <w:name w:val="EstiloIIIA"/>
    <w:basedOn w:val="Normal"/>
    <w:qFormat/>
    <w:rsid w:val="00A26CD3"/>
    <w:pPr>
      <w:tabs>
        <w:tab w:val="num" w:pos="360"/>
        <w:tab w:val="num" w:pos="780"/>
        <w:tab w:val="num" w:pos="900"/>
      </w:tabs>
      <w:spacing w:after="0" w:line="240" w:lineRule="auto"/>
      <w:ind w:left="900" w:hanging="360"/>
    </w:pPr>
    <w:rPr>
      <w:rFonts w:ascii="Arial" w:eastAsia="Times New Roman" w:hAnsi="Arial" w:cs="Times New Roman"/>
      <w:sz w:val="20"/>
      <w:szCs w:val="20"/>
      <w:lang w:eastAsia="es-ES"/>
    </w:rPr>
  </w:style>
  <w:style w:type="paragraph" w:customStyle="1" w:styleId="xl27">
    <w:name w:val="xl27"/>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28">
    <w:name w:val="xl28"/>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sz w:val="14"/>
      <w:szCs w:val="14"/>
      <w:lang w:eastAsia="es-ES"/>
    </w:rPr>
  </w:style>
  <w:style w:type="paragraph" w:customStyle="1" w:styleId="xl29">
    <w:name w:val="xl29"/>
    <w:basedOn w:val="Normal"/>
    <w:qFormat/>
    <w:rsid w:val="00A26CD3"/>
    <w:pPr>
      <w:pBdr>
        <w:bottom w:val="single" w:sz="4" w:space="0" w:color="auto"/>
        <w:right w:val="single" w:sz="4" w:space="0" w:color="auto"/>
      </w:pBdr>
      <w:spacing w:before="100" w:beforeAutospacing="1" w:after="100" w:afterAutospacing="1" w:line="240" w:lineRule="auto"/>
    </w:pPr>
    <w:rPr>
      <w:rFonts w:ascii="Gill Sans MT" w:eastAsia="Arial Unicode MS" w:hAnsi="Gill Sans MT" w:cs="Arial Unicode MS"/>
      <w:sz w:val="14"/>
      <w:szCs w:val="14"/>
      <w:lang w:eastAsia="es-ES"/>
    </w:rPr>
  </w:style>
  <w:style w:type="paragraph" w:customStyle="1" w:styleId="xl30">
    <w:name w:val="xl30"/>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sz w:val="14"/>
      <w:szCs w:val="14"/>
      <w:lang w:eastAsia="es-ES"/>
    </w:rPr>
  </w:style>
  <w:style w:type="paragraph" w:customStyle="1" w:styleId="xl31">
    <w:name w:val="xl31"/>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sz w:val="14"/>
      <w:szCs w:val="14"/>
      <w:lang w:eastAsia="es-ES"/>
    </w:rPr>
  </w:style>
  <w:style w:type="paragraph" w:customStyle="1" w:styleId="xl32">
    <w:name w:val="xl32"/>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24"/>
      <w:szCs w:val="24"/>
      <w:lang w:eastAsia="es-ES"/>
    </w:rPr>
  </w:style>
  <w:style w:type="paragraph" w:customStyle="1" w:styleId="xl33">
    <w:name w:val="xl33"/>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24"/>
      <w:szCs w:val="24"/>
      <w:lang w:eastAsia="es-ES"/>
    </w:rPr>
  </w:style>
  <w:style w:type="paragraph" w:customStyle="1" w:styleId="xl34">
    <w:name w:val="xl34"/>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24"/>
      <w:szCs w:val="24"/>
      <w:lang w:eastAsia="es-ES"/>
    </w:rPr>
  </w:style>
  <w:style w:type="paragraph" w:customStyle="1" w:styleId="xl35">
    <w:name w:val="xl35"/>
    <w:basedOn w:val="Normal"/>
    <w:qFormat/>
    <w:rsid w:val="00A26CD3"/>
    <w:pPr>
      <w:pBdr>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es-ES"/>
    </w:rPr>
  </w:style>
  <w:style w:type="paragraph" w:customStyle="1" w:styleId="xl36">
    <w:name w:val="xl36"/>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sz w:val="24"/>
      <w:szCs w:val="24"/>
      <w:lang w:eastAsia="es-ES"/>
    </w:rPr>
  </w:style>
  <w:style w:type="paragraph" w:customStyle="1" w:styleId="xl38">
    <w:name w:val="xl38"/>
    <w:basedOn w:val="Normal"/>
    <w:qFormat/>
    <w:rsid w:val="00A26C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40">
    <w:name w:val="xl40"/>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Times New Roman" w:hAnsi="Arial Unicode MS" w:cs="Times New Roman"/>
      <w:sz w:val="24"/>
      <w:szCs w:val="24"/>
      <w:lang w:eastAsia="es-ES"/>
    </w:rPr>
  </w:style>
  <w:style w:type="paragraph" w:customStyle="1" w:styleId="xl41">
    <w:name w:val="xl41"/>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sz w:val="14"/>
      <w:szCs w:val="14"/>
      <w:lang w:eastAsia="es-ES"/>
    </w:rPr>
  </w:style>
  <w:style w:type="paragraph" w:customStyle="1" w:styleId="xl42">
    <w:name w:val="xl42"/>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sz w:val="24"/>
      <w:szCs w:val="24"/>
      <w:lang w:eastAsia="es-ES"/>
    </w:rPr>
  </w:style>
  <w:style w:type="paragraph" w:customStyle="1" w:styleId="xl43">
    <w:name w:val="xl43"/>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sz w:val="24"/>
      <w:szCs w:val="24"/>
      <w:lang w:eastAsia="es-ES"/>
    </w:rPr>
  </w:style>
  <w:style w:type="paragraph" w:customStyle="1" w:styleId="xl44">
    <w:name w:val="xl44"/>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45">
    <w:name w:val="xl45"/>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46">
    <w:name w:val="xl46"/>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47">
    <w:name w:val="xl47"/>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48">
    <w:name w:val="xl48"/>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es-ES"/>
    </w:rPr>
  </w:style>
  <w:style w:type="paragraph" w:customStyle="1" w:styleId="xl49">
    <w:name w:val="xl49"/>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es-ES"/>
    </w:rPr>
  </w:style>
  <w:style w:type="paragraph" w:customStyle="1" w:styleId="xl50">
    <w:name w:val="xl50"/>
    <w:basedOn w:val="Normal"/>
    <w:qFormat/>
    <w:rsid w:val="00A26C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51">
    <w:name w:val="xl51"/>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52">
    <w:name w:val="xl52"/>
    <w:basedOn w:val="Normal"/>
    <w:qFormat/>
    <w:rsid w:val="00A26CD3"/>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53">
    <w:name w:val="xl53"/>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xl54">
    <w:name w:val="xl54"/>
    <w:basedOn w:val="Normal"/>
    <w:qFormat/>
    <w:rsid w:val="00A26CD3"/>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Gill Sans MT" w:eastAsia="Arial Unicode MS" w:hAnsi="Gill Sans MT" w:cs="Arial Unicode MS"/>
      <w:b/>
      <w:bCs/>
      <w:sz w:val="14"/>
      <w:szCs w:val="14"/>
      <w:lang w:eastAsia="es-ES"/>
    </w:rPr>
  </w:style>
  <w:style w:type="paragraph" w:customStyle="1" w:styleId="tty80">
    <w:name w:val="tty80"/>
    <w:basedOn w:val="Normal"/>
    <w:qFormat/>
    <w:rsid w:val="00A26CD3"/>
    <w:pPr>
      <w:overflowPunct w:val="0"/>
      <w:autoSpaceDE w:val="0"/>
      <w:autoSpaceDN w:val="0"/>
      <w:adjustRightInd w:val="0"/>
      <w:spacing w:after="0" w:line="240" w:lineRule="auto"/>
    </w:pPr>
    <w:rPr>
      <w:rFonts w:ascii="Courier New" w:eastAsia="Times New Roman" w:hAnsi="Courier New" w:cs="Times New Roman"/>
      <w:sz w:val="24"/>
      <w:szCs w:val="20"/>
    </w:rPr>
  </w:style>
  <w:style w:type="paragraph" w:customStyle="1" w:styleId="SOWlevel4">
    <w:name w:val="SOW level 4"/>
    <w:basedOn w:val="Normal"/>
    <w:qFormat/>
    <w:rsid w:val="00A26CD3"/>
    <w:pPr>
      <w:tabs>
        <w:tab w:val="num" w:pos="2880"/>
      </w:tabs>
      <w:spacing w:after="120" w:line="240" w:lineRule="auto"/>
      <w:ind w:left="2880" w:hanging="360"/>
    </w:pPr>
    <w:rPr>
      <w:rFonts w:ascii="Arial" w:eastAsia="Times New Roman" w:hAnsi="Arial" w:cs="Arial"/>
      <w:sz w:val="18"/>
    </w:rPr>
  </w:style>
  <w:style w:type="paragraph" w:customStyle="1" w:styleId="SOWlevel1">
    <w:name w:val="SOW level 1"/>
    <w:basedOn w:val="Ttulo1"/>
    <w:next w:val="Normal"/>
    <w:autoRedefine/>
    <w:qFormat/>
    <w:rsid w:val="00A26CD3"/>
    <w:pPr>
      <w:keepLines w:val="0"/>
      <w:tabs>
        <w:tab w:val="num" w:pos="720"/>
      </w:tabs>
      <w:spacing w:after="120" w:line="240" w:lineRule="auto"/>
      <w:ind w:left="720" w:hanging="360"/>
      <w:jc w:val="both"/>
    </w:pPr>
    <w:rPr>
      <w:rFonts w:ascii="Arial" w:hAnsi="Arial" w:cs="Arial"/>
      <w:b/>
      <w:noProof/>
      <w:color w:val="auto"/>
      <w:kern w:val="32"/>
      <w:sz w:val="18"/>
      <w:szCs w:val="18"/>
    </w:rPr>
  </w:style>
  <w:style w:type="paragraph" w:customStyle="1" w:styleId="SOWlevel2">
    <w:name w:val="SOW level 2"/>
    <w:basedOn w:val="Normal"/>
    <w:next w:val="Normal"/>
    <w:qFormat/>
    <w:rsid w:val="00A26CD3"/>
    <w:pPr>
      <w:numPr>
        <w:ilvl w:val="3"/>
        <w:numId w:val="42"/>
      </w:numPr>
      <w:tabs>
        <w:tab w:val="clear" w:pos="1800"/>
        <w:tab w:val="num" w:pos="720"/>
        <w:tab w:val="left" w:pos="2160"/>
        <w:tab w:val="left" w:pos="2880"/>
        <w:tab w:val="left" w:pos="3600"/>
        <w:tab w:val="left" w:pos="4680"/>
      </w:tabs>
      <w:spacing w:after="120" w:line="240" w:lineRule="auto"/>
      <w:ind w:left="720"/>
    </w:pPr>
    <w:rPr>
      <w:rFonts w:ascii="Arial" w:eastAsia="Times New Roman" w:hAnsi="Arial" w:cs="Arial"/>
      <w:bCs/>
      <w:sz w:val="18"/>
    </w:rPr>
  </w:style>
  <w:style w:type="paragraph" w:customStyle="1" w:styleId="SOWlevel5">
    <w:name w:val="SOW level 5"/>
    <w:basedOn w:val="SOWlevel4"/>
    <w:qFormat/>
    <w:rsid w:val="00A26CD3"/>
    <w:pPr>
      <w:numPr>
        <w:numId w:val="42"/>
      </w:numPr>
      <w:tabs>
        <w:tab w:val="clear" w:pos="1080"/>
        <w:tab w:val="num" w:pos="3960"/>
        <w:tab w:val="num" w:pos="4680"/>
      </w:tabs>
      <w:ind w:left="4680" w:hanging="360"/>
    </w:pPr>
  </w:style>
  <w:style w:type="paragraph" w:customStyle="1" w:styleId="ExhibitTwoABC">
    <w:name w:val="Exhibit Two_ABC"/>
    <w:basedOn w:val="Normal"/>
    <w:qFormat/>
    <w:rsid w:val="00A26CD3"/>
    <w:pPr>
      <w:numPr>
        <w:ilvl w:val="1"/>
        <w:numId w:val="42"/>
      </w:numPr>
      <w:tabs>
        <w:tab w:val="clear" w:pos="720"/>
        <w:tab w:val="num" w:pos="1080"/>
      </w:tabs>
      <w:overflowPunct w:val="0"/>
      <w:autoSpaceDE w:val="0"/>
      <w:autoSpaceDN w:val="0"/>
      <w:adjustRightInd w:val="0"/>
      <w:spacing w:after="0" w:line="240" w:lineRule="auto"/>
      <w:ind w:left="1350" w:hanging="630"/>
      <w:jc w:val="both"/>
    </w:pPr>
    <w:rPr>
      <w:rFonts w:ascii="Arial" w:eastAsia="Times New Roman" w:hAnsi="Arial" w:cs="Times New Roman"/>
      <w:b/>
      <w:bCs/>
      <w:sz w:val="20"/>
      <w:szCs w:val="20"/>
    </w:rPr>
  </w:style>
  <w:style w:type="paragraph" w:customStyle="1" w:styleId="PoliciesTwoii">
    <w:name w:val="PoliciesTwo ii"/>
    <w:basedOn w:val="Normal"/>
    <w:qFormat/>
    <w:rsid w:val="00A26CD3"/>
    <w:pPr>
      <w:numPr>
        <w:ilvl w:val="4"/>
        <w:numId w:val="42"/>
      </w:numPr>
      <w:overflowPunct w:val="0"/>
      <w:autoSpaceDE w:val="0"/>
      <w:autoSpaceDN w:val="0"/>
      <w:adjustRightInd w:val="0"/>
      <w:spacing w:after="0" w:line="240" w:lineRule="auto"/>
      <w:ind w:left="360"/>
    </w:pPr>
    <w:rPr>
      <w:rFonts w:ascii="Arial" w:eastAsia="Times New Roman" w:hAnsi="Arial" w:cs="Arial"/>
      <w:sz w:val="20"/>
      <w:szCs w:val="20"/>
    </w:rPr>
  </w:style>
  <w:style w:type="paragraph" w:customStyle="1" w:styleId="ABCDescription">
    <w:name w:val="ABC Description"/>
    <w:basedOn w:val="Normal"/>
    <w:qFormat/>
    <w:rsid w:val="00A26CD3"/>
    <w:pPr>
      <w:numPr>
        <w:numId w:val="43"/>
      </w:numPr>
      <w:overflowPunct w:val="0"/>
      <w:autoSpaceDE w:val="0"/>
      <w:autoSpaceDN w:val="0"/>
      <w:adjustRightInd w:val="0"/>
      <w:spacing w:after="0" w:line="240" w:lineRule="auto"/>
      <w:ind w:left="1350" w:right="-4" w:firstLine="0"/>
      <w:jc w:val="both"/>
    </w:pPr>
    <w:rPr>
      <w:rFonts w:ascii="Arial" w:eastAsia="Times New Roman" w:hAnsi="Arial" w:cs="Times New Roman"/>
      <w:b/>
      <w:bCs/>
      <w:i/>
      <w:iCs/>
      <w:color w:val="0000FF"/>
      <w:sz w:val="20"/>
      <w:szCs w:val="20"/>
    </w:rPr>
  </w:style>
  <w:style w:type="paragraph" w:customStyle="1" w:styleId="ScheduleListBullet">
    <w:name w:val="ScheduleListBullet"/>
    <w:basedOn w:val="PoliciesTwoii"/>
    <w:qFormat/>
    <w:rsid w:val="00A26CD3"/>
    <w:pPr>
      <w:numPr>
        <w:ilvl w:val="0"/>
        <w:numId w:val="0"/>
      </w:numPr>
      <w:tabs>
        <w:tab w:val="num" w:pos="1789"/>
      </w:tabs>
      <w:ind w:left="1440" w:hanging="360"/>
      <w:jc w:val="both"/>
    </w:pPr>
  </w:style>
  <w:style w:type="paragraph" w:customStyle="1" w:styleId="Level1a">
    <w:name w:val="Level 1: a."/>
    <w:qFormat/>
    <w:rsid w:val="00A26CD3"/>
    <w:pPr>
      <w:tabs>
        <w:tab w:val="num" w:pos="3589"/>
      </w:tabs>
      <w:autoSpaceDE w:val="0"/>
      <w:autoSpaceDN w:val="0"/>
      <w:adjustRightInd w:val="0"/>
      <w:spacing w:before="72" w:after="72" w:line="240" w:lineRule="auto"/>
      <w:ind w:left="3589" w:hanging="360"/>
      <w:jc w:val="both"/>
      <w:outlineLvl w:val="3"/>
    </w:pPr>
    <w:rPr>
      <w:rFonts w:ascii="Arial" w:eastAsia="Times New Roman" w:hAnsi="Arial" w:cs="Arial"/>
      <w:sz w:val="20"/>
      <w:szCs w:val="20"/>
      <w:lang w:val="en-US"/>
    </w:rPr>
  </w:style>
  <w:style w:type="paragraph" w:customStyle="1" w:styleId="Head1">
    <w:name w:val="Head1"/>
    <w:qFormat/>
    <w:rsid w:val="00A26CD3"/>
    <w:pPr>
      <w:pBdr>
        <w:top w:val="single" w:sz="6" w:space="1" w:color="auto"/>
      </w:pBdr>
      <w:autoSpaceDE w:val="0"/>
      <w:autoSpaceDN w:val="0"/>
      <w:adjustRightInd w:val="0"/>
      <w:spacing w:before="28" w:after="28" w:line="240" w:lineRule="auto"/>
      <w:outlineLvl w:val="1"/>
    </w:pPr>
    <w:rPr>
      <w:rFonts w:ascii="Arial" w:eastAsia="Times New Roman" w:hAnsi="Arial" w:cs="Arial"/>
      <w:b/>
      <w:bCs/>
      <w:sz w:val="24"/>
      <w:szCs w:val="24"/>
      <w:lang w:val="en-US"/>
    </w:rPr>
  </w:style>
  <w:style w:type="paragraph" w:customStyle="1" w:styleId="Head2">
    <w:name w:val="Head2"/>
    <w:qFormat/>
    <w:rsid w:val="00A26CD3"/>
    <w:pPr>
      <w:autoSpaceDE w:val="0"/>
      <w:autoSpaceDN w:val="0"/>
      <w:adjustRightInd w:val="0"/>
      <w:spacing w:before="28" w:after="28" w:line="240" w:lineRule="auto"/>
      <w:outlineLvl w:val="2"/>
    </w:pPr>
    <w:rPr>
      <w:rFonts w:ascii="Arial" w:eastAsia="Times New Roman" w:hAnsi="Arial" w:cs="Arial"/>
      <w:b/>
      <w:bCs/>
      <w:lang w:val="en-US"/>
    </w:rPr>
  </w:style>
  <w:style w:type="paragraph" w:customStyle="1" w:styleId="Level21">
    <w:name w:val="Level 2: 1."/>
    <w:qFormat/>
    <w:rsid w:val="00A26CD3"/>
    <w:pPr>
      <w:autoSpaceDE w:val="0"/>
      <w:autoSpaceDN w:val="0"/>
      <w:adjustRightInd w:val="0"/>
      <w:spacing w:before="72" w:after="72" w:line="240" w:lineRule="auto"/>
      <w:jc w:val="both"/>
      <w:outlineLvl w:val="4"/>
    </w:pPr>
    <w:rPr>
      <w:rFonts w:ascii="Arial" w:eastAsia="Times New Roman" w:hAnsi="Arial" w:cs="Arial"/>
      <w:sz w:val="20"/>
      <w:szCs w:val="20"/>
      <w:lang w:val="en-US"/>
    </w:rPr>
  </w:style>
  <w:style w:type="paragraph" w:customStyle="1" w:styleId="Level3a">
    <w:name w:val="Level 3: (a)"/>
    <w:basedOn w:val="Normal"/>
    <w:qFormat/>
    <w:rsid w:val="00A26CD3"/>
    <w:pPr>
      <w:autoSpaceDE w:val="0"/>
      <w:autoSpaceDN w:val="0"/>
      <w:adjustRightInd w:val="0"/>
      <w:spacing w:before="72" w:after="72" w:line="240" w:lineRule="auto"/>
      <w:jc w:val="both"/>
      <w:outlineLvl w:val="5"/>
    </w:pPr>
    <w:rPr>
      <w:rFonts w:ascii="Arial" w:eastAsia="Times New Roman" w:hAnsi="Arial" w:cs="Arial"/>
      <w:sz w:val="20"/>
      <w:szCs w:val="20"/>
    </w:rPr>
  </w:style>
  <w:style w:type="paragraph" w:customStyle="1" w:styleId="Level4i">
    <w:name w:val="Level 4: (i)"/>
    <w:basedOn w:val="Normal"/>
    <w:qFormat/>
    <w:rsid w:val="00A26CD3"/>
    <w:pPr>
      <w:tabs>
        <w:tab w:val="left" w:pos="1440"/>
      </w:tabs>
      <w:autoSpaceDE w:val="0"/>
      <w:autoSpaceDN w:val="0"/>
      <w:adjustRightInd w:val="0"/>
      <w:spacing w:before="72" w:after="72" w:line="240" w:lineRule="auto"/>
      <w:jc w:val="both"/>
      <w:outlineLvl w:val="6"/>
    </w:pPr>
    <w:rPr>
      <w:rFonts w:ascii="Arial" w:eastAsia="Times New Roman" w:hAnsi="Arial" w:cs="Arial"/>
      <w:sz w:val="20"/>
      <w:szCs w:val="20"/>
    </w:rPr>
  </w:style>
  <w:style w:type="paragraph" w:customStyle="1" w:styleId="Level51">
    <w:name w:val="Level 5: (1)"/>
    <w:basedOn w:val="Normal"/>
    <w:qFormat/>
    <w:rsid w:val="00A26CD3"/>
    <w:pPr>
      <w:autoSpaceDE w:val="0"/>
      <w:autoSpaceDN w:val="0"/>
      <w:adjustRightInd w:val="0"/>
      <w:spacing w:before="72" w:after="72" w:line="240" w:lineRule="auto"/>
      <w:jc w:val="both"/>
      <w:outlineLvl w:val="7"/>
    </w:pPr>
    <w:rPr>
      <w:rFonts w:ascii="Arial" w:eastAsia="Times New Roman" w:hAnsi="Arial" w:cs="Arial"/>
      <w:sz w:val="20"/>
      <w:szCs w:val="20"/>
    </w:rPr>
  </w:style>
  <w:style w:type="paragraph" w:customStyle="1" w:styleId="Level6i">
    <w:name w:val="Level 6: (i)"/>
    <w:basedOn w:val="Normal"/>
    <w:qFormat/>
    <w:rsid w:val="00A26CD3"/>
    <w:pPr>
      <w:tabs>
        <w:tab w:val="left" w:pos="2160"/>
      </w:tabs>
      <w:autoSpaceDE w:val="0"/>
      <w:autoSpaceDN w:val="0"/>
      <w:adjustRightInd w:val="0"/>
      <w:spacing w:before="72" w:after="72" w:line="240" w:lineRule="auto"/>
      <w:jc w:val="both"/>
      <w:outlineLvl w:val="8"/>
    </w:pPr>
    <w:rPr>
      <w:rFonts w:ascii="Arial" w:eastAsia="Times New Roman" w:hAnsi="Arial" w:cs="Arial"/>
      <w:sz w:val="20"/>
      <w:szCs w:val="20"/>
    </w:rPr>
  </w:style>
  <w:style w:type="paragraph" w:customStyle="1" w:styleId="Resetlevels">
    <w:name w:val="Reset levels"/>
    <w:basedOn w:val="Normal"/>
    <w:qFormat/>
    <w:rsid w:val="00A26CD3"/>
    <w:pPr>
      <w:autoSpaceDE w:val="0"/>
      <w:autoSpaceDN w:val="0"/>
      <w:adjustRightInd w:val="0"/>
      <w:spacing w:after="0" w:line="240" w:lineRule="auto"/>
    </w:pPr>
    <w:rPr>
      <w:rFonts w:ascii="Arial" w:eastAsia="Times New Roman" w:hAnsi="Arial" w:cs="Arial"/>
      <w:b/>
      <w:bCs/>
      <w:sz w:val="24"/>
      <w:szCs w:val="24"/>
    </w:rPr>
  </w:style>
  <w:style w:type="paragraph" w:customStyle="1" w:styleId="Bullet1">
    <w:name w:val="Bullet1"/>
    <w:basedOn w:val="Normal"/>
    <w:qFormat/>
    <w:rsid w:val="00A26CD3"/>
    <w:pPr>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hangesBullet">
    <w:name w:val="ChangesBullet"/>
    <w:basedOn w:val="Normal"/>
    <w:qFormat/>
    <w:rsid w:val="00A26CD3"/>
    <w:pPr>
      <w:spacing w:after="0" w:line="240" w:lineRule="auto"/>
    </w:pPr>
    <w:rPr>
      <w:rFonts w:ascii="Times New Roman" w:eastAsia="Times New Roman" w:hAnsi="Times New Roman" w:cs="Times New Roman"/>
      <w:sz w:val="24"/>
      <w:szCs w:val="24"/>
    </w:rPr>
  </w:style>
  <w:style w:type="paragraph" w:customStyle="1" w:styleId="BodyText24">
    <w:name w:val="Body Text 24"/>
    <w:basedOn w:val="Normal"/>
    <w:qFormat/>
    <w:rsid w:val="00A26CD3"/>
    <w:pPr>
      <w:numPr>
        <w:numId w:val="44"/>
      </w:numPr>
      <w:tabs>
        <w:tab w:val="left" w:pos="360"/>
      </w:tabs>
      <w:overflowPunct w:val="0"/>
      <w:autoSpaceDE w:val="0"/>
      <w:autoSpaceDN w:val="0"/>
      <w:adjustRightInd w:val="0"/>
      <w:spacing w:after="0" w:line="240" w:lineRule="auto"/>
      <w:ind w:left="360"/>
      <w:jc w:val="both"/>
    </w:pPr>
    <w:rPr>
      <w:rFonts w:ascii="Times New Roman" w:eastAsia="Times New Roman" w:hAnsi="Times New Roman" w:cs="Times New Roman"/>
      <w:color w:val="0000FF"/>
      <w:szCs w:val="20"/>
      <w:lang w:val="en-US"/>
    </w:rPr>
  </w:style>
  <w:style w:type="paragraph" w:customStyle="1" w:styleId="Response1">
    <w:name w:val="*Response 1"/>
    <w:qFormat/>
    <w:rsid w:val="00A26CD3"/>
    <w:pPr>
      <w:numPr>
        <w:numId w:val="45"/>
      </w:numPr>
      <w:spacing w:before="240" w:after="0" w:line="240" w:lineRule="auto"/>
      <w:ind w:left="0" w:firstLine="0"/>
    </w:pPr>
    <w:rPr>
      <w:rFonts w:ascii="Times New Roman" w:eastAsia="Times New Roman" w:hAnsi="Times New Roman" w:cs="Times New Roman"/>
      <w:szCs w:val="20"/>
      <w:lang w:val="en-US"/>
    </w:rPr>
  </w:style>
  <w:style w:type="paragraph" w:customStyle="1" w:styleId="p3">
    <w:name w:val="p3"/>
    <w:basedOn w:val="SOWlevel5"/>
    <w:qFormat/>
    <w:rsid w:val="00A26CD3"/>
    <w:pPr>
      <w:numPr>
        <w:numId w:val="0"/>
      </w:numPr>
      <w:tabs>
        <w:tab w:val="clear" w:pos="4680"/>
      </w:tabs>
      <w:snapToGrid w:val="0"/>
      <w:ind w:left="1440"/>
    </w:pPr>
    <w:rPr>
      <w:lang w:val="en-US" w:eastAsia="zh-CN"/>
    </w:rPr>
  </w:style>
  <w:style w:type="paragraph" w:customStyle="1" w:styleId="SOWParagraph">
    <w:name w:val="SOW Paragraph"/>
    <w:basedOn w:val="Normal"/>
    <w:qFormat/>
    <w:rsid w:val="00A26CD3"/>
    <w:pPr>
      <w:snapToGrid w:val="0"/>
      <w:spacing w:after="120" w:line="240" w:lineRule="auto"/>
      <w:ind w:left="720"/>
      <w:jc w:val="both"/>
    </w:pPr>
    <w:rPr>
      <w:rFonts w:ascii="Arial" w:eastAsia="Times New Roman" w:hAnsi="Arial" w:cs="Times New Roman"/>
      <w:sz w:val="18"/>
      <w:lang w:val="en-US" w:eastAsia="zh-CN"/>
    </w:rPr>
  </w:style>
  <w:style w:type="paragraph" w:customStyle="1" w:styleId="SOWlevel3">
    <w:name w:val="SOW level 3"/>
    <w:basedOn w:val="Normal"/>
    <w:autoRedefine/>
    <w:qFormat/>
    <w:rsid w:val="00A26CD3"/>
    <w:pPr>
      <w:snapToGrid w:val="0"/>
      <w:spacing w:after="0" w:line="240" w:lineRule="auto"/>
      <w:ind w:firstLine="720"/>
      <w:jc w:val="both"/>
    </w:pPr>
    <w:rPr>
      <w:rFonts w:ascii="Times New Roman" w:eastAsia="MS Mincho" w:hAnsi="Times New Roman" w:cs="Times New Roman"/>
      <w:b/>
      <w:bCs/>
      <w:szCs w:val="20"/>
      <w:lang w:eastAsia="ja-JP"/>
    </w:rPr>
  </w:style>
  <w:style w:type="paragraph" w:customStyle="1" w:styleId="P2">
    <w:name w:val="P2"/>
    <w:basedOn w:val="Normal"/>
    <w:qFormat/>
    <w:rsid w:val="00A26CD3"/>
    <w:pPr>
      <w:snapToGrid w:val="0"/>
      <w:spacing w:after="120" w:line="240" w:lineRule="auto"/>
      <w:ind w:left="720"/>
      <w:jc w:val="both"/>
    </w:pPr>
    <w:rPr>
      <w:rFonts w:ascii="Arial" w:eastAsia="Times New Roman" w:hAnsi="Arial" w:cs="Arial"/>
      <w:sz w:val="18"/>
      <w:szCs w:val="20"/>
      <w:lang w:val="en-US" w:eastAsia="zh-CN"/>
    </w:rPr>
  </w:style>
  <w:style w:type="paragraph" w:customStyle="1" w:styleId="xl23">
    <w:name w:val="xl23"/>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xl55">
    <w:name w:val="xl55"/>
    <w:basedOn w:val="Normal"/>
    <w:qFormat/>
    <w:rsid w:val="00A26CD3"/>
    <w:pPr>
      <w:pBdr>
        <w:bottom w:val="single" w:sz="4" w:space="0" w:color="auto"/>
      </w:pBdr>
      <w:spacing w:before="100" w:beforeAutospacing="1" w:after="100" w:afterAutospacing="1" w:line="240" w:lineRule="auto"/>
      <w:jc w:val="center"/>
    </w:pPr>
    <w:rPr>
      <w:rFonts w:ascii="Arial" w:eastAsia="Times New Roman" w:hAnsi="Arial" w:cs="Arial"/>
      <w:sz w:val="28"/>
      <w:szCs w:val="28"/>
      <w:lang w:eastAsia="es-ES"/>
    </w:rPr>
  </w:style>
  <w:style w:type="paragraph" w:customStyle="1" w:styleId="xl56">
    <w:name w:val="xl56"/>
    <w:basedOn w:val="Normal"/>
    <w:qFormat/>
    <w:rsid w:val="00A26CD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sz w:val="16"/>
      <w:szCs w:val="16"/>
      <w:lang w:eastAsia="es-ES"/>
    </w:rPr>
  </w:style>
  <w:style w:type="paragraph" w:customStyle="1" w:styleId="xl57">
    <w:name w:val="xl57"/>
    <w:basedOn w:val="Normal"/>
    <w:qFormat/>
    <w:rsid w:val="00A26CD3"/>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sz w:val="16"/>
      <w:szCs w:val="16"/>
      <w:lang w:eastAsia="es-ES"/>
    </w:rPr>
  </w:style>
  <w:style w:type="paragraph" w:customStyle="1" w:styleId="xl58">
    <w:name w:val="xl58"/>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b/>
      <w:bCs/>
      <w:sz w:val="16"/>
      <w:szCs w:val="16"/>
      <w:lang w:eastAsia="es-ES"/>
    </w:rPr>
  </w:style>
  <w:style w:type="paragraph" w:customStyle="1" w:styleId="xl59">
    <w:name w:val="xl59"/>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60">
    <w:name w:val="xl60"/>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lang w:eastAsia="es-ES"/>
    </w:rPr>
  </w:style>
  <w:style w:type="paragraph" w:customStyle="1" w:styleId="xl61">
    <w:name w:val="xl61"/>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ES"/>
    </w:rPr>
  </w:style>
  <w:style w:type="paragraph" w:customStyle="1" w:styleId="xl62">
    <w:name w:val="xl62"/>
    <w:basedOn w:val="Normal"/>
    <w:qFormat/>
    <w:rsid w:val="00A26CD3"/>
    <w:pPr>
      <w:pBdr>
        <w:bottom w:val="single" w:sz="4" w:space="0" w:color="auto"/>
      </w:pBdr>
      <w:spacing w:before="100" w:beforeAutospacing="1" w:after="100" w:afterAutospacing="1" w:line="240" w:lineRule="auto"/>
      <w:jc w:val="center"/>
    </w:pPr>
    <w:rPr>
      <w:rFonts w:ascii="Arial" w:eastAsia="Times New Roman" w:hAnsi="Arial" w:cs="Arial"/>
      <w:sz w:val="28"/>
      <w:szCs w:val="28"/>
      <w:lang w:eastAsia="es-ES"/>
    </w:rPr>
  </w:style>
  <w:style w:type="paragraph" w:customStyle="1" w:styleId="font7">
    <w:name w:val="font7"/>
    <w:basedOn w:val="Normal"/>
    <w:qFormat/>
    <w:rsid w:val="00A26CD3"/>
    <w:pPr>
      <w:spacing w:before="100" w:beforeAutospacing="1" w:after="100" w:afterAutospacing="1" w:line="240" w:lineRule="auto"/>
    </w:pPr>
    <w:rPr>
      <w:rFonts w:ascii="Trebuchet MS" w:eastAsia="Times New Roman" w:hAnsi="Trebuchet MS" w:cs="Times New Roman"/>
      <w:i/>
      <w:iCs/>
      <w:sz w:val="12"/>
      <w:szCs w:val="12"/>
      <w:lang w:eastAsia="es-ES"/>
    </w:rPr>
  </w:style>
  <w:style w:type="paragraph" w:customStyle="1" w:styleId="xl25">
    <w:name w:val="xl25"/>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rebuchet MS" w:eastAsia="Times New Roman" w:hAnsi="Trebuchet MS" w:cs="Times New Roman"/>
      <w:b/>
      <w:bCs/>
      <w:sz w:val="12"/>
      <w:szCs w:val="12"/>
      <w:lang w:eastAsia="es-ES"/>
    </w:rPr>
  </w:style>
  <w:style w:type="paragraph" w:customStyle="1" w:styleId="xl26">
    <w:name w:val="xl26"/>
    <w:basedOn w:val="Normal"/>
    <w:qFormat/>
    <w:rsid w:val="00A26CD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rebuchet MS" w:eastAsia="Times New Roman" w:hAnsi="Trebuchet MS" w:cs="Times New Roman"/>
      <w:b/>
      <w:bCs/>
      <w:sz w:val="12"/>
      <w:szCs w:val="12"/>
      <w:lang w:eastAsia="es-ES"/>
    </w:rPr>
  </w:style>
  <w:style w:type="paragraph" w:customStyle="1" w:styleId="font8">
    <w:name w:val="font8"/>
    <w:basedOn w:val="Normal"/>
    <w:qFormat/>
    <w:rsid w:val="00A26CD3"/>
    <w:pPr>
      <w:spacing w:before="100" w:beforeAutospacing="1" w:after="100" w:afterAutospacing="1" w:line="240" w:lineRule="auto"/>
    </w:pPr>
    <w:rPr>
      <w:rFonts w:ascii="Trebuchet MS" w:eastAsia="Times New Roman" w:hAnsi="Trebuchet MS" w:cs="Times New Roman"/>
      <w:color w:val="FF0000"/>
      <w:sz w:val="14"/>
      <w:szCs w:val="14"/>
      <w:lang w:eastAsia="es-ES"/>
    </w:rPr>
  </w:style>
  <w:style w:type="paragraph" w:customStyle="1" w:styleId="texto0">
    <w:name w:val="texto"/>
    <w:basedOn w:val="Normal"/>
    <w:qFormat/>
    <w:rsid w:val="00A26CD3"/>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qFormat/>
    <w:rsid w:val="00A26CD3"/>
    <w:pPr>
      <w:spacing w:line="240" w:lineRule="exact"/>
    </w:pPr>
    <w:rPr>
      <w:rFonts w:ascii="Tahoma" w:eastAsia="Times New Roman" w:hAnsi="Tahoma" w:cs="Times New Roman"/>
      <w:sz w:val="20"/>
      <w:szCs w:val="20"/>
      <w:lang w:val="en-US"/>
    </w:rPr>
  </w:style>
  <w:style w:type="paragraph" w:customStyle="1" w:styleId="CharChar1CarCarCharCharCarCarCharChar">
    <w:name w:val="Char Char1 Car Car Char Char Car Car Char Char"/>
    <w:basedOn w:val="Normal"/>
    <w:qFormat/>
    <w:rsid w:val="00A26CD3"/>
    <w:pPr>
      <w:widowControl w:val="0"/>
      <w:snapToGrid w:val="0"/>
      <w:spacing w:line="240" w:lineRule="exact"/>
    </w:pPr>
    <w:rPr>
      <w:rFonts w:ascii="Tahoma" w:eastAsia="Times New Roman" w:hAnsi="Tahoma" w:cs="Times New Roman"/>
      <w:sz w:val="20"/>
      <w:szCs w:val="20"/>
      <w:lang w:val="en-US"/>
    </w:rPr>
  </w:style>
  <w:style w:type="paragraph" w:customStyle="1" w:styleId="xl24">
    <w:name w:val="xl24"/>
    <w:basedOn w:val="Normal"/>
    <w:qFormat/>
    <w:rsid w:val="00A26CD3"/>
    <w:pPr>
      <w:pBdr>
        <w:top w:val="single" w:sz="8" w:space="0" w:color="auto"/>
        <w:bottom w:val="single" w:sz="8" w:space="0" w:color="auto"/>
      </w:pBdr>
      <w:spacing w:before="100" w:beforeAutospacing="1" w:after="100" w:afterAutospacing="1" w:line="240" w:lineRule="auto"/>
      <w:jc w:val="center"/>
    </w:pPr>
    <w:rPr>
      <w:rFonts w:ascii="Arial" w:eastAsia="Times New Roman" w:hAnsi="Arial" w:cs="Arial"/>
      <w:b/>
      <w:bCs/>
      <w:sz w:val="14"/>
      <w:szCs w:val="14"/>
      <w:lang w:eastAsia="es-MX"/>
    </w:rPr>
  </w:style>
  <w:style w:type="paragraph" w:customStyle="1" w:styleId="xl111">
    <w:name w:val="xl111"/>
    <w:basedOn w:val="Normal"/>
    <w:qFormat/>
    <w:rsid w:val="00A26CD3"/>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32"/>
      <w:szCs w:val="32"/>
      <w:lang w:eastAsia="es-ES"/>
    </w:rPr>
  </w:style>
  <w:style w:type="paragraph" w:customStyle="1" w:styleId="xl112">
    <w:name w:val="xl112"/>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32"/>
      <w:szCs w:val="32"/>
      <w:lang w:eastAsia="es-ES"/>
    </w:rPr>
  </w:style>
  <w:style w:type="paragraph" w:customStyle="1" w:styleId="xl113">
    <w:name w:val="xl113"/>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32"/>
      <w:szCs w:val="32"/>
      <w:lang w:eastAsia="es-ES"/>
    </w:rPr>
  </w:style>
  <w:style w:type="paragraph" w:customStyle="1" w:styleId="xl114">
    <w:name w:val="xl114"/>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5">
    <w:name w:val="xl115"/>
    <w:basedOn w:val="Normal"/>
    <w:qFormat/>
    <w:rsid w:val="00A26CD3"/>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32"/>
      <w:szCs w:val="32"/>
      <w:lang w:eastAsia="es-ES"/>
    </w:rPr>
  </w:style>
  <w:style w:type="paragraph" w:customStyle="1" w:styleId="xl116">
    <w:name w:val="xl116"/>
    <w:basedOn w:val="Normal"/>
    <w:qFormat/>
    <w:rsid w:val="00A26CD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7">
    <w:name w:val="xl117"/>
    <w:basedOn w:val="Normal"/>
    <w:qFormat/>
    <w:rsid w:val="00A26C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18">
    <w:name w:val="xl118"/>
    <w:basedOn w:val="Normal"/>
    <w:qFormat/>
    <w:rsid w:val="00A26C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19">
    <w:name w:val="xl119"/>
    <w:basedOn w:val="Normal"/>
    <w:qFormat/>
    <w:rsid w:val="00A26C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0">
    <w:name w:val="xl120"/>
    <w:basedOn w:val="Normal"/>
    <w:qFormat/>
    <w:rsid w:val="00A26C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1">
    <w:name w:val="xl121"/>
    <w:basedOn w:val="Normal"/>
    <w:qFormat/>
    <w:rsid w:val="00A26CD3"/>
    <w:pPr>
      <w:pBdr>
        <w:bottom w:val="single" w:sz="4" w:space="0" w:color="auto"/>
      </w:pBdr>
      <w:spacing w:before="100" w:beforeAutospacing="1" w:after="100" w:afterAutospacing="1" w:line="240" w:lineRule="auto"/>
      <w:jc w:val="center"/>
    </w:pPr>
    <w:rPr>
      <w:rFonts w:ascii="Arial Narrow" w:eastAsia="Times New Roman" w:hAnsi="Arial Narrow" w:cs="Times New Roman"/>
      <w:b/>
      <w:bCs/>
      <w:sz w:val="36"/>
      <w:szCs w:val="36"/>
      <w:u w:val="single"/>
      <w:lang w:eastAsia="es-ES"/>
    </w:rPr>
  </w:style>
  <w:style w:type="paragraph" w:customStyle="1" w:styleId="xl122">
    <w:name w:val="xl122"/>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3">
    <w:name w:val="xl123"/>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4">
    <w:name w:val="xl124"/>
    <w:basedOn w:val="Normal"/>
    <w:qFormat/>
    <w:rsid w:val="00A26CD3"/>
    <w:pPr>
      <w:pBdr>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5">
    <w:name w:val="xl125"/>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6">
    <w:name w:val="xl126"/>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7">
    <w:name w:val="xl127"/>
    <w:basedOn w:val="Normal"/>
    <w:qFormat/>
    <w:rsid w:val="00A26CD3"/>
    <w:pPr>
      <w:pBdr>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8">
    <w:name w:val="xl128"/>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29">
    <w:name w:val="xl129"/>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30">
    <w:name w:val="xl130"/>
    <w:basedOn w:val="Normal"/>
    <w:qFormat/>
    <w:rsid w:val="00A26CD3"/>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31">
    <w:name w:val="xl131"/>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32">
    <w:name w:val="xl132"/>
    <w:basedOn w:val="Normal"/>
    <w:qFormat/>
    <w:rsid w:val="00A26CD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Narrow" w:eastAsia="Times New Roman" w:hAnsi="Arial Narrow" w:cs="Times New Roman"/>
      <w:sz w:val="32"/>
      <w:szCs w:val="32"/>
      <w:lang w:eastAsia="es-ES"/>
    </w:rPr>
  </w:style>
  <w:style w:type="paragraph" w:customStyle="1" w:styleId="xl133">
    <w:name w:val="xl133"/>
    <w:basedOn w:val="Normal"/>
    <w:qFormat/>
    <w:rsid w:val="00A26CD3"/>
    <w:pPr>
      <w:pBdr>
        <w:top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32"/>
      <w:szCs w:val="32"/>
      <w:lang w:eastAsia="es-ES"/>
    </w:rPr>
  </w:style>
  <w:style w:type="paragraph" w:customStyle="1" w:styleId="xl134">
    <w:name w:val="xl134"/>
    <w:basedOn w:val="Normal"/>
    <w:qFormat/>
    <w:rsid w:val="00A26CD3"/>
    <w:pPr>
      <w:pBdr>
        <w:right w:val="single" w:sz="4" w:space="0" w:color="auto"/>
      </w:pBdr>
      <w:spacing w:before="100" w:beforeAutospacing="1" w:after="100" w:afterAutospacing="1" w:line="240" w:lineRule="auto"/>
      <w:jc w:val="center"/>
    </w:pPr>
    <w:rPr>
      <w:rFonts w:ascii="Arial Narrow" w:eastAsia="Times New Roman" w:hAnsi="Arial Narrow" w:cs="Times New Roman"/>
      <w:sz w:val="32"/>
      <w:szCs w:val="32"/>
      <w:lang w:eastAsia="es-ES"/>
    </w:rPr>
  </w:style>
  <w:style w:type="paragraph" w:customStyle="1" w:styleId="xl135">
    <w:name w:val="xl135"/>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32"/>
      <w:szCs w:val="32"/>
      <w:lang w:eastAsia="es-ES"/>
    </w:rPr>
  </w:style>
  <w:style w:type="paragraph" w:customStyle="1" w:styleId="xl136">
    <w:name w:val="xl136"/>
    <w:basedOn w:val="Normal"/>
    <w:qFormat/>
    <w:rsid w:val="00A26CD3"/>
    <w:pPr>
      <w:spacing w:before="100" w:beforeAutospacing="1" w:after="100" w:afterAutospacing="1" w:line="240" w:lineRule="auto"/>
    </w:pPr>
    <w:rPr>
      <w:rFonts w:ascii="Arial" w:eastAsia="Times New Roman" w:hAnsi="Arial" w:cs="Arial"/>
      <w:sz w:val="24"/>
      <w:szCs w:val="24"/>
      <w:lang w:eastAsia="es-ES"/>
    </w:rPr>
  </w:style>
  <w:style w:type="paragraph" w:customStyle="1" w:styleId="xl137">
    <w:name w:val="xl137"/>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38">
    <w:name w:val="xl138"/>
    <w:basedOn w:val="Normal"/>
    <w:qFormat/>
    <w:rsid w:val="00A26CD3"/>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39">
    <w:name w:val="xl139"/>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40"/>
      <w:szCs w:val="40"/>
      <w:lang w:eastAsia="es-ES"/>
    </w:rPr>
  </w:style>
  <w:style w:type="paragraph" w:customStyle="1" w:styleId="xl140">
    <w:name w:val="xl140"/>
    <w:basedOn w:val="Normal"/>
    <w:qFormat/>
    <w:rsid w:val="00A26CD3"/>
    <w:pPr>
      <w:spacing w:before="100" w:beforeAutospacing="1" w:after="100" w:afterAutospacing="1" w:line="240" w:lineRule="auto"/>
      <w:jc w:val="right"/>
    </w:pPr>
    <w:rPr>
      <w:rFonts w:ascii="Arial Narrow" w:eastAsia="Times New Roman" w:hAnsi="Arial Narrow" w:cs="Times New Roman"/>
      <w:b/>
      <w:bCs/>
      <w:sz w:val="36"/>
      <w:szCs w:val="36"/>
      <w:lang w:eastAsia="es-ES"/>
    </w:rPr>
  </w:style>
  <w:style w:type="paragraph" w:customStyle="1" w:styleId="xl141">
    <w:name w:val="xl141"/>
    <w:basedOn w:val="Normal"/>
    <w:qFormat/>
    <w:rsid w:val="00A26CD3"/>
    <w:pPr>
      <w:spacing w:before="100" w:beforeAutospacing="1" w:after="100" w:afterAutospacing="1" w:line="240" w:lineRule="auto"/>
      <w:jc w:val="right"/>
    </w:pPr>
    <w:rPr>
      <w:rFonts w:ascii="Arial Narrow" w:eastAsia="Times New Roman" w:hAnsi="Arial Narrow" w:cs="Times New Roman"/>
      <w:b/>
      <w:bCs/>
      <w:sz w:val="40"/>
      <w:szCs w:val="40"/>
      <w:lang w:eastAsia="es-ES"/>
    </w:rPr>
  </w:style>
  <w:style w:type="paragraph" w:customStyle="1" w:styleId="xl142">
    <w:name w:val="xl142"/>
    <w:basedOn w:val="Normal"/>
    <w:qFormat/>
    <w:rsid w:val="00A26CD3"/>
    <w:pPr>
      <w:spacing w:before="100" w:beforeAutospacing="1" w:after="100" w:afterAutospacing="1" w:line="240" w:lineRule="auto"/>
    </w:pPr>
    <w:rPr>
      <w:rFonts w:ascii="Arial Narrow" w:eastAsia="Times New Roman" w:hAnsi="Arial Narrow" w:cs="Times New Roman"/>
      <w:b/>
      <w:bCs/>
      <w:sz w:val="40"/>
      <w:szCs w:val="40"/>
      <w:lang w:eastAsia="es-ES"/>
    </w:rPr>
  </w:style>
  <w:style w:type="paragraph" w:customStyle="1" w:styleId="xl143">
    <w:name w:val="xl143"/>
    <w:basedOn w:val="Normal"/>
    <w:qFormat/>
    <w:rsid w:val="00A26CD3"/>
    <w:pPr>
      <w:pBdr>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44">
    <w:name w:val="xl144"/>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40"/>
      <w:szCs w:val="40"/>
      <w:lang w:eastAsia="es-ES"/>
    </w:rPr>
  </w:style>
  <w:style w:type="paragraph" w:customStyle="1" w:styleId="xl145">
    <w:name w:val="xl145"/>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40"/>
      <w:szCs w:val="40"/>
      <w:lang w:eastAsia="es-ES"/>
    </w:rPr>
  </w:style>
  <w:style w:type="paragraph" w:customStyle="1" w:styleId="xl146">
    <w:name w:val="xl146"/>
    <w:basedOn w:val="Normal"/>
    <w:qFormat/>
    <w:rsid w:val="00A26CD3"/>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40"/>
      <w:szCs w:val="40"/>
      <w:lang w:eastAsia="es-ES"/>
    </w:rPr>
  </w:style>
  <w:style w:type="paragraph" w:customStyle="1" w:styleId="xl147">
    <w:name w:val="xl147"/>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40"/>
      <w:szCs w:val="40"/>
      <w:lang w:eastAsia="es-ES"/>
    </w:rPr>
  </w:style>
  <w:style w:type="paragraph" w:customStyle="1" w:styleId="xl148">
    <w:name w:val="xl148"/>
    <w:basedOn w:val="Normal"/>
    <w:qFormat/>
    <w:rsid w:val="00A26CD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Narrow" w:eastAsia="Times New Roman" w:hAnsi="Arial Narrow" w:cs="Times New Roman"/>
      <w:sz w:val="40"/>
      <w:szCs w:val="40"/>
      <w:lang w:eastAsia="es-ES"/>
    </w:rPr>
  </w:style>
  <w:style w:type="paragraph" w:customStyle="1" w:styleId="xl149">
    <w:name w:val="xl149"/>
    <w:basedOn w:val="Normal"/>
    <w:qFormat/>
    <w:rsid w:val="00A26CD3"/>
    <w:pPr>
      <w:spacing w:before="100" w:beforeAutospacing="1" w:after="100" w:afterAutospacing="1" w:line="240" w:lineRule="auto"/>
    </w:pPr>
    <w:rPr>
      <w:rFonts w:ascii="Arial" w:eastAsia="Times New Roman" w:hAnsi="Arial" w:cs="Arial"/>
      <w:sz w:val="24"/>
      <w:szCs w:val="24"/>
      <w:lang w:eastAsia="es-ES"/>
    </w:rPr>
  </w:style>
  <w:style w:type="paragraph" w:customStyle="1" w:styleId="xl150">
    <w:name w:val="xl150"/>
    <w:basedOn w:val="Normal"/>
    <w:qFormat/>
    <w:rsid w:val="00A26CD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xl151">
    <w:name w:val="xl151"/>
    <w:basedOn w:val="Normal"/>
    <w:qFormat/>
    <w:rsid w:val="00A26CD3"/>
    <w:pPr>
      <w:spacing w:before="100" w:beforeAutospacing="1" w:after="100" w:afterAutospacing="1" w:line="240" w:lineRule="auto"/>
    </w:pPr>
    <w:rPr>
      <w:rFonts w:ascii="Arial" w:eastAsia="Times New Roman" w:hAnsi="Arial" w:cs="Arial"/>
      <w:b/>
      <w:bCs/>
      <w:sz w:val="36"/>
      <w:szCs w:val="36"/>
      <w:lang w:eastAsia="es-ES"/>
    </w:rPr>
  </w:style>
  <w:style w:type="paragraph" w:customStyle="1" w:styleId="xl152">
    <w:name w:val="xl152"/>
    <w:basedOn w:val="Normal"/>
    <w:qFormat/>
    <w:rsid w:val="00A26CD3"/>
    <w:pPr>
      <w:spacing w:before="100" w:beforeAutospacing="1" w:after="100" w:afterAutospacing="1" w:line="240" w:lineRule="auto"/>
    </w:pPr>
    <w:rPr>
      <w:rFonts w:ascii="Arial" w:eastAsia="Times New Roman" w:hAnsi="Arial" w:cs="Arial"/>
      <w:b/>
      <w:bCs/>
      <w:sz w:val="40"/>
      <w:szCs w:val="40"/>
      <w:lang w:eastAsia="es-ES"/>
    </w:rPr>
  </w:style>
  <w:style w:type="paragraph" w:customStyle="1" w:styleId="xl153">
    <w:name w:val="xl153"/>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40"/>
      <w:szCs w:val="40"/>
      <w:lang w:eastAsia="es-ES"/>
    </w:rPr>
  </w:style>
  <w:style w:type="paragraph" w:customStyle="1" w:styleId="xl154">
    <w:name w:val="xl154"/>
    <w:basedOn w:val="Normal"/>
    <w:qFormat/>
    <w:rsid w:val="00A26CD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40"/>
      <w:szCs w:val="40"/>
      <w:lang w:eastAsia="es-ES"/>
    </w:rPr>
  </w:style>
  <w:style w:type="paragraph" w:customStyle="1" w:styleId="xl155">
    <w:name w:val="xl155"/>
    <w:basedOn w:val="Normal"/>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40"/>
      <w:szCs w:val="40"/>
      <w:lang w:eastAsia="es-ES"/>
    </w:rPr>
  </w:style>
  <w:style w:type="paragraph" w:customStyle="1" w:styleId="xl156">
    <w:name w:val="xl156"/>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40"/>
      <w:szCs w:val="40"/>
      <w:lang w:eastAsia="es-ES"/>
    </w:rPr>
  </w:style>
  <w:style w:type="paragraph" w:customStyle="1" w:styleId="xl157">
    <w:name w:val="xl157"/>
    <w:basedOn w:val="Normal"/>
    <w:qFormat/>
    <w:rsid w:val="00A26CD3"/>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pPr>
    <w:rPr>
      <w:rFonts w:ascii="Arial Narrow" w:eastAsia="Times New Roman" w:hAnsi="Arial Narrow" w:cs="Times New Roman"/>
      <w:b/>
      <w:bCs/>
      <w:sz w:val="32"/>
      <w:szCs w:val="32"/>
      <w:lang w:eastAsia="es-ES"/>
    </w:rPr>
  </w:style>
  <w:style w:type="paragraph" w:customStyle="1" w:styleId="textogeneral">
    <w:name w:val="texto general"/>
    <w:basedOn w:val="Normal"/>
    <w:qFormat/>
    <w:rsid w:val="00A26CD3"/>
    <w:pPr>
      <w:spacing w:after="0" w:line="240" w:lineRule="auto"/>
      <w:ind w:left="1440"/>
      <w:jc w:val="both"/>
    </w:pPr>
    <w:rPr>
      <w:rFonts w:ascii="Arial" w:eastAsia="Times New Roman" w:hAnsi="Arial" w:cs="Times New Roman"/>
      <w:szCs w:val="20"/>
      <w:lang w:val="es-ES_tradnl" w:eastAsia="es-ES"/>
    </w:rPr>
  </w:style>
  <w:style w:type="paragraph" w:customStyle="1" w:styleId="CarCarCharCharCarCarCarCharCharCarCarCharCharCarCar1CharCharCar">
    <w:name w:val="Car Car Char Char Car Car Car Char Char Car Car Char Char Car Car1 Char Char Car"/>
    <w:basedOn w:val="Normal"/>
    <w:qFormat/>
    <w:rsid w:val="00A26CD3"/>
    <w:pPr>
      <w:spacing w:line="240" w:lineRule="exact"/>
    </w:pPr>
    <w:rPr>
      <w:rFonts w:ascii="Verdana" w:eastAsia="Times New Roman" w:hAnsi="Verdana" w:cs="Verdana"/>
      <w:sz w:val="20"/>
      <w:szCs w:val="20"/>
      <w:lang w:val="en-US"/>
    </w:rPr>
  </w:style>
  <w:style w:type="paragraph" w:customStyle="1" w:styleId="estilo40">
    <w:name w:val="estilo4"/>
    <w:basedOn w:val="Normal"/>
    <w:qFormat/>
    <w:rsid w:val="00A26CD3"/>
    <w:pPr>
      <w:spacing w:before="100" w:beforeAutospacing="1" w:after="100" w:afterAutospacing="1" w:line="240" w:lineRule="auto"/>
    </w:pPr>
    <w:rPr>
      <w:rFonts w:ascii="Arial" w:eastAsia="Times New Roman" w:hAnsi="Arial" w:cs="Arial"/>
      <w:sz w:val="20"/>
      <w:szCs w:val="20"/>
      <w:lang w:eastAsia="es-ES"/>
    </w:rPr>
  </w:style>
  <w:style w:type="paragraph" w:customStyle="1" w:styleId="Sangradetindependiente">
    <w:name w:val="Sangría de t. independiente"/>
    <w:basedOn w:val="Normal"/>
    <w:qFormat/>
    <w:rsid w:val="00A26CD3"/>
    <w:pPr>
      <w:spacing w:after="0" w:line="240" w:lineRule="auto"/>
      <w:ind w:left="1418"/>
      <w:jc w:val="both"/>
    </w:pPr>
    <w:rPr>
      <w:rFonts w:ascii="Arial" w:eastAsia="Times New Roman" w:hAnsi="Arial" w:cs="Arial"/>
      <w:sz w:val="20"/>
      <w:szCs w:val="20"/>
      <w:lang w:eastAsia="es-ES"/>
    </w:rPr>
  </w:style>
  <w:style w:type="paragraph" w:customStyle="1" w:styleId="xl22">
    <w:name w:val="xl22"/>
    <w:basedOn w:val="Normal"/>
    <w:qFormat/>
    <w:rsid w:val="00A26CD3"/>
    <w:pPr>
      <w:pBdr>
        <w:top w:val="single" w:sz="4" w:space="0" w:color="808080"/>
      </w:pBdr>
      <w:spacing w:before="100" w:beforeAutospacing="1" w:after="100" w:afterAutospacing="1" w:line="240" w:lineRule="auto"/>
    </w:pPr>
    <w:rPr>
      <w:rFonts w:ascii="Arial Unicode MS" w:eastAsia="Times New Roman" w:hAnsi="Arial Unicode MS" w:cs="Times New Roman"/>
      <w:sz w:val="24"/>
      <w:szCs w:val="24"/>
      <w:lang w:eastAsia="es-ES"/>
    </w:rPr>
  </w:style>
  <w:style w:type="paragraph" w:customStyle="1" w:styleId="OmniPage771">
    <w:name w:val="OmniPage #771"/>
    <w:qFormat/>
    <w:rsid w:val="00A26CD3"/>
    <w:pPr>
      <w:widowControl w:val="0"/>
      <w:tabs>
        <w:tab w:val="left" w:pos="50"/>
        <w:tab w:val="right" w:pos="8865"/>
      </w:tabs>
      <w:spacing w:after="0" w:line="-501" w:lineRule="auto"/>
      <w:jc w:val="both"/>
    </w:pPr>
    <w:rPr>
      <w:rFonts w:ascii="Arial" w:eastAsia="Times New Roman" w:hAnsi="Arial" w:cs="Times New Roman"/>
      <w:szCs w:val="20"/>
      <w:lang w:val="en-US" w:eastAsia="es-ES"/>
    </w:rPr>
  </w:style>
  <w:style w:type="paragraph" w:customStyle="1" w:styleId="style2">
    <w:name w:val="style2"/>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customStyle="1" w:styleId="estilo21">
    <w:name w:val="estilo21"/>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customStyle="1" w:styleId="estilo20">
    <w:name w:val="estilo20"/>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customStyle="1" w:styleId="estilo19">
    <w:name w:val="estilo19"/>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customStyle="1" w:styleId="estilo14">
    <w:name w:val="estilo1"/>
    <w:basedOn w:val="Normal"/>
    <w:qFormat/>
    <w:rsid w:val="00A26CD3"/>
    <w:pPr>
      <w:spacing w:before="100" w:beforeAutospacing="1" w:after="100" w:afterAutospacing="1" w:line="240" w:lineRule="auto"/>
    </w:pPr>
    <w:rPr>
      <w:rFonts w:ascii="Times New Roman" w:eastAsia="Times New Roman" w:hAnsi="Times New Roman" w:cs="Times New Roman"/>
      <w:sz w:val="14"/>
      <w:szCs w:val="14"/>
      <w:lang w:val="es-ES_tradnl" w:eastAsia="es-ES_tradnl"/>
    </w:rPr>
  </w:style>
  <w:style w:type="paragraph" w:customStyle="1" w:styleId="Bital">
    <w:name w:val="Bital"/>
    <w:basedOn w:val="Normal"/>
    <w:qFormat/>
    <w:rsid w:val="00A26CD3"/>
    <w:pPr>
      <w:spacing w:before="120" w:after="0" w:line="240" w:lineRule="auto"/>
      <w:ind w:left="2124"/>
      <w:jc w:val="both"/>
    </w:pPr>
    <w:rPr>
      <w:rFonts w:ascii="Verdana" w:eastAsia="Times New Roman" w:hAnsi="Verdana" w:cs="Arial"/>
      <w:sz w:val="20"/>
      <w:szCs w:val="24"/>
      <w:lang w:eastAsia="es-ES"/>
    </w:rPr>
  </w:style>
  <w:style w:type="paragraph" w:customStyle="1" w:styleId="arialtextjunt">
    <w:name w:val="arialtextjunt"/>
    <w:qFormat/>
    <w:rsid w:val="00A26CD3"/>
    <w:pPr>
      <w:snapToGrid w:val="0"/>
      <w:spacing w:after="0" w:line="240" w:lineRule="auto"/>
      <w:jc w:val="both"/>
    </w:pPr>
    <w:rPr>
      <w:rFonts w:ascii="Arial" w:eastAsia="Times New Roman" w:hAnsi="Arial" w:cs="Times New Roman"/>
      <w:sz w:val="20"/>
      <w:szCs w:val="20"/>
      <w:lang w:eastAsia="es-MX"/>
    </w:rPr>
  </w:style>
  <w:style w:type="paragraph" w:customStyle="1" w:styleId="Lista1">
    <w:name w:val="Lista 1"/>
    <w:basedOn w:val="Normal"/>
    <w:qFormat/>
    <w:rsid w:val="00A26CD3"/>
    <w:pPr>
      <w:tabs>
        <w:tab w:val="num" w:pos="720"/>
      </w:tabs>
      <w:spacing w:before="60" w:after="0" w:line="240" w:lineRule="auto"/>
      <w:ind w:left="720" w:hanging="360"/>
      <w:jc w:val="both"/>
    </w:pPr>
    <w:rPr>
      <w:rFonts w:ascii="Arial Narrow" w:eastAsia="Times New Roman" w:hAnsi="Arial Narrow" w:cs="Times New Roman"/>
      <w:sz w:val="24"/>
      <w:szCs w:val="24"/>
      <w:lang w:val="es-ES_tradnl"/>
    </w:rPr>
  </w:style>
  <w:style w:type="paragraph" w:customStyle="1" w:styleId="lista3CharCharCharCharChar">
    <w:name w:val="lista 3 Char Char Char Char Char"/>
    <w:basedOn w:val="Normal"/>
    <w:qFormat/>
    <w:rsid w:val="00A26CD3"/>
    <w:pPr>
      <w:tabs>
        <w:tab w:val="num" w:pos="1440"/>
      </w:tabs>
      <w:spacing w:after="0" w:line="240" w:lineRule="auto"/>
      <w:ind w:left="1440" w:hanging="360"/>
      <w:jc w:val="both"/>
    </w:pPr>
    <w:rPr>
      <w:rFonts w:ascii="Arial Narrow" w:eastAsia="Times New Roman" w:hAnsi="Arial Narrow" w:cs="Times New Roman"/>
      <w:sz w:val="24"/>
      <w:szCs w:val="20"/>
      <w:lang w:val="es-ES_tradnl"/>
    </w:rPr>
  </w:style>
  <w:style w:type="paragraph" w:customStyle="1" w:styleId="texto2">
    <w:name w:val="texto2"/>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ablaTtulo">
    <w:name w:val="Tabla Título"/>
    <w:basedOn w:val="Normal"/>
    <w:autoRedefine/>
    <w:qFormat/>
    <w:rsid w:val="00A26CD3"/>
    <w:pPr>
      <w:spacing w:before="60" w:after="60" w:line="240" w:lineRule="auto"/>
      <w:jc w:val="center"/>
    </w:pPr>
    <w:rPr>
      <w:rFonts w:ascii="Arial" w:eastAsia="Times New Roman" w:hAnsi="Arial" w:cs="Arial"/>
      <w:b/>
      <w:bCs/>
      <w:lang w:eastAsia="es-ES"/>
    </w:rPr>
  </w:style>
  <w:style w:type="paragraph" w:customStyle="1" w:styleId="Tab1">
    <w:name w:val="Tab1"/>
    <w:basedOn w:val="Normal"/>
    <w:qFormat/>
    <w:rsid w:val="00A26CD3"/>
    <w:pPr>
      <w:tabs>
        <w:tab w:val="left" w:leader="underscore" w:pos="9360"/>
      </w:tabs>
      <w:spacing w:before="60" w:after="0" w:line="240" w:lineRule="auto"/>
    </w:pPr>
    <w:rPr>
      <w:rFonts w:ascii="Times New Roman" w:eastAsia="Times New Roman" w:hAnsi="Times New Roman" w:cs="Times New Roman"/>
      <w:szCs w:val="20"/>
      <w:lang w:eastAsia="es-ES"/>
    </w:rPr>
  </w:style>
  <w:style w:type="paragraph" w:customStyle="1" w:styleId="Tab2">
    <w:name w:val="Tab2"/>
    <w:basedOn w:val="Tab1"/>
    <w:qFormat/>
    <w:rsid w:val="00A26CD3"/>
    <w:pPr>
      <w:tabs>
        <w:tab w:val="left" w:leader="underscore" w:pos="5760"/>
        <w:tab w:val="left" w:pos="6120"/>
      </w:tabs>
    </w:pPr>
  </w:style>
  <w:style w:type="paragraph" w:customStyle="1" w:styleId="Tab1x">
    <w:name w:val="Tab1x"/>
    <w:basedOn w:val="Tab1"/>
    <w:qFormat/>
    <w:rsid w:val="00A26CD3"/>
    <w:pPr>
      <w:spacing w:before="120"/>
    </w:pPr>
  </w:style>
  <w:style w:type="paragraph" w:customStyle="1" w:styleId="SiNo">
    <w:name w:val="SiNo"/>
    <w:basedOn w:val="Normal"/>
    <w:qFormat/>
    <w:rsid w:val="00A26CD3"/>
    <w:pPr>
      <w:tabs>
        <w:tab w:val="left" w:leader="dot" w:pos="8280"/>
        <w:tab w:val="left" w:pos="8820"/>
      </w:tabs>
      <w:spacing w:before="60" w:after="0" w:line="240" w:lineRule="auto"/>
    </w:pPr>
    <w:rPr>
      <w:rFonts w:ascii="Times New Roman" w:eastAsia="Times New Roman" w:hAnsi="Times New Roman" w:cs="Times New Roman"/>
      <w:szCs w:val="20"/>
      <w:lang w:eastAsia="es-ES"/>
    </w:rPr>
  </w:style>
  <w:style w:type="paragraph" w:customStyle="1" w:styleId="Eleccmultiple">
    <w:name w:val="Elecc multiple"/>
    <w:basedOn w:val="Normal"/>
    <w:qFormat/>
    <w:rsid w:val="00A26CD3"/>
    <w:pPr>
      <w:tabs>
        <w:tab w:val="left" w:pos="1701"/>
        <w:tab w:val="left" w:pos="3402"/>
        <w:tab w:val="left" w:pos="5103"/>
        <w:tab w:val="left" w:pos="6804"/>
      </w:tabs>
      <w:spacing w:after="0" w:line="240" w:lineRule="auto"/>
    </w:pPr>
    <w:rPr>
      <w:rFonts w:ascii="Times New Roman" w:eastAsia="Times New Roman" w:hAnsi="Times New Roman" w:cs="Times New Roman"/>
      <w:sz w:val="24"/>
      <w:szCs w:val="20"/>
      <w:lang w:eastAsia="es-ES"/>
    </w:rPr>
  </w:style>
  <w:style w:type="paragraph" w:customStyle="1" w:styleId="Ttulo1Anexo">
    <w:name w:val="Título 1 Anexo"/>
    <w:basedOn w:val="Ttulo1"/>
    <w:qFormat/>
    <w:rsid w:val="00A26CD3"/>
    <w:pPr>
      <w:keepLines w:val="0"/>
      <w:numPr>
        <w:numId w:val="46"/>
      </w:numPr>
      <w:spacing w:after="60" w:line="240" w:lineRule="auto"/>
      <w:jc w:val="both"/>
    </w:pPr>
    <w:rPr>
      <w:rFonts w:ascii="Arial" w:hAnsi="Arial" w:cs="Arial"/>
      <w:b/>
      <w:bCs/>
      <w:color w:val="auto"/>
      <w:sz w:val="22"/>
      <w:szCs w:val="22"/>
      <w:lang w:val="es-ES" w:eastAsia="es-ES"/>
    </w:rPr>
  </w:style>
  <w:style w:type="paragraph" w:customStyle="1" w:styleId="Ttulo2Anexo">
    <w:name w:val="Título 2 Anexo"/>
    <w:basedOn w:val="Ttulo1"/>
    <w:qFormat/>
    <w:rsid w:val="00A26CD3"/>
    <w:pPr>
      <w:keepLines w:val="0"/>
      <w:numPr>
        <w:ilvl w:val="1"/>
        <w:numId w:val="46"/>
      </w:numPr>
      <w:spacing w:after="60" w:line="240" w:lineRule="auto"/>
      <w:jc w:val="both"/>
    </w:pPr>
    <w:rPr>
      <w:rFonts w:ascii="Arial" w:hAnsi="Arial" w:cs="Arial"/>
      <w:b/>
      <w:bCs/>
      <w:color w:val="auto"/>
      <w:sz w:val="22"/>
      <w:szCs w:val="22"/>
      <w:lang w:val="es-ES" w:eastAsia="es-ES"/>
    </w:rPr>
  </w:style>
  <w:style w:type="paragraph" w:customStyle="1" w:styleId="Ttulo3Anexo">
    <w:name w:val="Título 3 Anexo"/>
    <w:basedOn w:val="Ttulo2Anexo"/>
    <w:qFormat/>
    <w:rsid w:val="00A26CD3"/>
    <w:pPr>
      <w:numPr>
        <w:ilvl w:val="2"/>
      </w:numPr>
    </w:pPr>
  </w:style>
  <w:style w:type="paragraph" w:customStyle="1" w:styleId="bullet10">
    <w:name w:val="bullet1"/>
    <w:basedOn w:val="Normal"/>
    <w:qFormat/>
    <w:rsid w:val="00A26CD3"/>
    <w:pPr>
      <w:spacing w:after="360" w:line="240" w:lineRule="auto"/>
      <w:ind w:left="1440" w:hanging="720"/>
      <w:jc w:val="both"/>
    </w:pPr>
    <w:rPr>
      <w:rFonts w:ascii="Arial" w:eastAsia="Times New Roman" w:hAnsi="Arial" w:cs="Times New Roman"/>
      <w:sz w:val="24"/>
      <w:szCs w:val="20"/>
      <w:lang w:eastAsia="es-ES"/>
    </w:rPr>
  </w:style>
  <w:style w:type="paragraph" w:customStyle="1" w:styleId="BodyText32">
    <w:name w:val="Body Text 32"/>
    <w:basedOn w:val="Normal"/>
    <w:qFormat/>
    <w:rsid w:val="00A26CD3"/>
    <w:pPr>
      <w:widowControl w:val="0"/>
      <w:spacing w:after="0" w:line="480" w:lineRule="auto"/>
      <w:jc w:val="both"/>
    </w:pPr>
    <w:rPr>
      <w:rFonts w:ascii="Arial" w:eastAsia="Times New Roman" w:hAnsi="Arial" w:cs="Times New Roman"/>
      <w:b/>
      <w:sz w:val="16"/>
      <w:szCs w:val="20"/>
      <w:lang w:eastAsia="es-ES"/>
    </w:rPr>
  </w:style>
  <w:style w:type="paragraph" w:customStyle="1" w:styleId="PadawanH1">
    <w:name w:val="Padawan H1"/>
    <w:basedOn w:val="Ttulo1"/>
    <w:qFormat/>
    <w:rsid w:val="00A26CD3"/>
    <w:pPr>
      <w:keepLines w:val="0"/>
      <w:tabs>
        <w:tab w:val="num" w:pos="360"/>
      </w:tabs>
      <w:spacing w:after="60" w:line="240" w:lineRule="auto"/>
      <w:ind w:left="284" w:hanging="284"/>
      <w:jc w:val="both"/>
    </w:pPr>
    <w:rPr>
      <w:rFonts w:ascii="Times New Roman" w:hAnsi="Times New Roman"/>
      <w:b/>
      <w:bCs/>
      <w:color w:val="auto"/>
      <w:sz w:val="24"/>
      <w:szCs w:val="24"/>
      <w:lang w:eastAsia="es-ES"/>
    </w:rPr>
  </w:style>
  <w:style w:type="paragraph" w:customStyle="1" w:styleId="PadawanFIG">
    <w:name w:val="PadawanFIG"/>
    <w:basedOn w:val="Normal"/>
    <w:qFormat/>
    <w:rsid w:val="00A26CD3"/>
    <w:pPr>
      <w:spacing w:after="0" w:line="240" w:lineRule="auto"/>
      <w:jc w:val="center"/>
    </w:pPr>
    <w:rPr>
      <w:rFonts w:ascii="Arial" w:eastAsia="Times New Roman" w:hAnsi="Arial" w:cs="Times New Roman"/>
      <w:b/>
      <w:bCs/>
      <w:szCs w:val="20"/>
      <w:lang w:eastAsia="es-ES"/>
    </w:rPr>
  </w:style>
  <w:style w:type="paragraph" w:customStyle="1" w:styleId="Textodebloque1">
    <w:name w:val="Texto de bloque1"/>
    <w:basedOn w:val="Normal"/>
    <w:qFormat/>
    <w:rsid w:val="00A26CD3"/>
    <w:pPr>
      <w:tabs>
        <w:tab w:val="right" w:pos="7598"/>
      </w:tabs>
      <w:spacing w:after="0" w:line="240" w:lineRule="auto"/>
      <w:jc w:val="both"/>
    </w:pPr>
    <w:rPr>
      <w:rFonts w:ascii="Arial" w:eastAsia="Times New Roman" w:hAnsi="Arial" w:cs="Times New Roman"/>
      <w:szCs w:val="20"/>
      <w:lang w:eastAsia="es-ES"/>
    </w:rPr>
  </w:style>
  <w:style w:type="paragraph" w:customStyle="1" w:styleId="PadawanH2">
    <w:name w:val="Padawan H2"/>
    <w:basedOn w:val="Ttulo1"/>
    <w:qFormat/>
    <w:rsid w:val="00A26CD3"/>
    <w:pPr>
      <w:keepLines w:val="0"/>
      <w:tabs>
        <w:tab w:val="num" w:pos="567"/>
      </w:tabs>
      <w:spacing w:after="60" w:line="240" w:lineRule="auto"/>
      <w:ind w:left="567" w:hanging="567"/>
      <w:jc w:val="both"/>
    </w:pPr>
    <w:rPr>
      <w:rFonts w:ascii="Times New Roman" w:hAnsi="Times New Roman" w:cs="Arial"/>
      <w:b/>
      <w:bCs/>
      <w:color w:val="auto"/>
      <w:sz w:val="22"/>
      <w:szCs w:val="24"/>
      <w:lang w:eastAsia="es-ES"/>
    </w:rPr>
  </w:style>
  <w:style w:type="paragraph" w:customStyle="1" w:styleId="PadawanH3CharChar">
    <w:name w:val="Padawan H3 Char Char"/>
    <w:basedOn w:val="Ttulo1"/>
    <w:qFormat/>
    <w:rsid w:val="00A26CD3"/>
    <w:pPr>
      <w:keepLines w:val="0"/>
      <w:tabs>
        <w:tab w:val="num" w:pos="851"/>
      </w:tabs>
      <w:spacing w:after="60" w:line="240" w:lineRule="auto"/>
      <w:ind w:left="851" w:hanging="851"/>
      <w:jc w:val="both"/>
    </w:pPr>
    <w:rPr>
      <w:rFonts w:ascii="Times New Roman" w:hAnsi="Times New Roman" w:cs="Arial"/>
      <w:bCs/>
      <w:i/>
      <w:color w:val="auto"/>
      <w:sz w:val="22"/>
      <w:szCs w:val="24"/>
      <w:lang w:eastAsia="es-ES"/>
    </w:rPr>
  </w:style>
  <w:style w:type="paragraph" w:customStyle="1" w:styleId="TextoNormal0">
    <w:name w:val="Texto Normal"/>
    <w:basedOn w:val="Normal"/>
    <w:qFormat/>
    <w:rsid w:val="00A26CD3"/>
    <w:pPr>
      <w:spacing w:after="0" w:line="240" w:lineRule="auto"/>
      <w:jc w:val="both"/>
    </w:pPr>
    <w:rPr>
      <w:rFonts w:ascii="Arial Narrow" w:eastAsia="Times New Roman" w:hAnsi="Arial Narrow" w:cs="Times New Roman"/>
      <w:sz w:val="24"/>
      <w:szCs w:val="24"/>
      <w:lang w:eastAsia="es-ES"/>
    </w:rPr>
  </w:style>
  <w:style w:type="paragraph" w:customStyle="1" w:styleId="BodyText22">
    <w:name w:val="Body Text 22"/>
    <w:basedOn w:val="Normal"/>
    <w:qFormat/>
    <w:rsid w:val="00A26CD3"/>
    <w:pPr>
      <w:widowControl w:val="0"/>
      <w:spacing w:after="0" w:line="240" w:lineRule="auto"/>
      <w:jc w:val="both"/>
    </w:pPr>
    <w:rPr>
      <w:rFonts w:ascii="Arial" w:eastAsia="Times New Roman" w:hAnsi="Arial" w:cs="Times New Roman"/>
      <w:b/>
      <w:szCs w:val="20"/>
      <w:lang w:eastAsia="es-ES"/>
    </w:rPr>
  </w:style>
  <w:style w:type="character" w:customStyle="1" w:styleId="ROMANOSCar">
    <w:name w:val="ROMANOS Car"/>
    <w:link w:val="ROMANOS"/>
    <w:locked/>
    <w:rsid w:val="00A26CD3"/>
    <w:rPr>
      <w:rFonts w:ascii="Arial" w:eastAsia="Times New Roman" w:hAnsi="Arial" w:cs="Arial"/>
      <w:sz w:val="18"/>
      <w:szCs w:val="18"/>
      <w:lang w:val="es-ES_tradnl" w:eastAsia="es-ES"/>
    </w:rPr>
  </w:style>
  <w:style w:type="paragraph" w:customStyle="1" w:styleId="ROMANOS">
    <w:name w:val="ROMANOS"/>
    <w:basedOn w:val="Normal"/>
    <w:link w:val="ROMANOSCar"/>
    <w:qFormat/>
    <w:rsid w:val="00A26CD3"/>
    <w:pPr>
      <w:tabs>
        <w:tab w:val="left" w:pos="720"/>
      </w:tabs>
      <w:autoSpaceDE w:val="0"/>
      <w:autoSpaceDN w:val="0"/>
      <w:spacing w:after="101" w:line="216" w:lineRule="atLeast"/>
      <w:ind w:left="720" w:hanging="432"/>
      <w:jc w:val="both"/>
    </w:pPr>
    <w:rPr>
      <w:rFonts w:ascii="Arial" w:eastAsia="Times New Roman" w:hAnsi="Arial" w:cs="Arial"/>
      <w:sz w:val="18"/>
      <w:szCs w:val="18"/>
      <w:lang w:val="es-ES_tradnl" w:eastAsia="es-ES"/>
    </w:rPr>
  </w:style>
  <w:style w:type="paragraph" w:customStyle="1" w:styleId="NormalCenturyGothic">
    <w:name w:val="Normal + Century Gothic"/>
    <w:aliases w:val="11 pt,Justificado,Antes:  6 pto"/>
    <w:basedOn w:val="Ttulo2"/>
    <w:qFormat/>
    <w:rsid w:val="00A26CD3"/>
    <w:pPr>
      <w:keepLines w:val="0"/>
      <w:tabs>
        <w:tab w:val="num" w:pos="1440"/>
      </w:tabs>
      <w:spacing w:before="120" w:after="100" w:afterAutospacing="1" w:line="240" w:lineRule="auto"/>
      <w:ind w:left="788" w:hanging="608"/>
      <w:jc w:val="both"/>
    </w:pPr>
    <w:rPr>
      <w:rFonts w:ascii="Century Gothic" w:hAnsi="Century Gothic" w:cs="Arial"/>
      <w:color w:val="auto"/>
      <w:sz w:val="22"/>
      <w:szCs w:val="22"/>
      <w:lang w:eastAsia="es-ES"/>
    </w:rPr>
  </w:style>
  <w:style w:type="paragraph" w:customStyle="1" w:styleId="Numeracin2">
    <w:name w:val="Numeración2"/>
    <w:basedOn w:val="Normal"/>
    <w:qFormat/>
    <w:rsid w:val="00A26CD3"/>
    <w:pPr>
      <w:keepNext/>
      <w:keepLines/>
      <w:tabs>
        <w:tab w:val="num" w:pos="397"/>
      </w:tabs>
      <w:spacing w:before="240" w:after="240" w:line="240" w:lineRule="auto"/>
      <w:ind w:left="397" w:hanging="397"/>
      <w:jc w:val="both"/>
    </w:pPr>
    <w:rPr>
      <w:rFonts w:ascii="Arial" w:eastAsia="Times New Roman" w:hAnsi="Arial" w:cs="Times New Roman"/>
      <w:szCs w:val="20"/>
      <w:lang w:val="es-ES_tradnl" w:eastAsia="es-ES"/>
    </w:rPr>
  </w:style>
  <w:style w:type="paragraph" w:customStyle="1" w:styleId="CamposConceptos">
    <w:name w:val="Campos/Conceptos"/>
    <w:basedOn w:val="Normal"/>
    <w:next w:val="Normal"/>
    <w:qFormat/>
    <w:rsid w:val="00A26CD3"/>
    <w:pPr>
      <w:keepNext/>
      <w:keepLines/>
      <w:suppressAutoHyphens/>
      <w:spacing w:before="240" w:after="120" w:line="240" w:lineRule="auto"/>
      <w:jc w:val="both"/>
    </w:pPr>
    <w:rPr>
      <w:rFonts w:ascii="Arial" w:eastAsia="Times New Roman" w:hAnsi="Arial" w:cs="Times New Roman"/>
      <w:b/>
      <w:i/>
      <w:smallCaps/>
      <w:szCs w:val="20"/>
      <w:u w:val="single"/>
      <w:lang w:val="es-ES_tradnl" w:eastAsia="es-ES"/>
    </w:rPr>
  </w:style>
  <w:style w:type="paragraph" w:customStyle="1" w:styleId="Ttulodetabla">
    <w:name w:val="Título de tabla"/>
    <w:basedOn w:val="Normal"/>
    <w:qFormat/>
    <w:rsid w:val="00A26CD3"/>
    <w:pPr>
      <w:keepLines/>
      <w:spacing w:before="120" w:after="120" w:line="240" w:lineRule="auto"/>
      <w:jc w:val="center"/>
    </w:pPr>
    <w:rPr>
      <w:rFonts w:ascii="Arial" w:eastAsia="Times New Roman" w:hAnsi="Arial" w:cs="Times New Roman"/>
      <w:b/>
      <w:color w:val="000000"/>
      <w:szCs w:val="20"/>
      <w:lang w:val="es-ES_tradnl" w:eastAsia="es-ES"/>
    </w:rPr>
  </w:style>
  <w:style w:type="paragraph" w:customStyle="1" w:styleId="Subttulo2">
    <w:name w:val="Subtítulo2"/>
    <w:basedOn w:val="Subttulo"/>
    <w:qFormat/>
    <w:rsid w:val="00A26CD3"/>
    <w:pPr>
      <w:keepNext/>
      <w:keepLines/>
      <w:numPr>
        <w:ilvl w:val="0"/>
      </w:numPr>
      <w:spacing w:before="240" w:after="240" w:line="240" w:lineRule="auto"/>
    </w:pPr>
    <w:rPr>
      <w:rFonts w:ascii="Arial" w:hAnsi="Arial"/>
      <w:b/>
      <w:color w:val="auto"/>
      <w:spacing w:val="0"/>
      <w:kern w:val="2"/>
      <w:sz w:val="24"/>
      <w:szCs w:val="20"/>
      <w:lang w:val="es-ES_tradnl" w:eastAsia="es-ES"/>
      <w14:ligatures w14:val="standardContextual"/>
    </w:rPr>
  </w:style>
  <w:style w:type="paragraph" w:customStyle="1" w:styleId="VietaparaTablas">
    <w:name w:val="Viñeta para Tablas"/>
    <w:basedOn w:val="Listaconvietas2"/>
    <w:qFormat/>
    <w:rsid w:val="00A26CD3"/>
    <w:pPr>
      <w:keepLines/>
      <w:numPr>
        <w:numId w:val="0"/>
      </w:numPr>
      <w:tabs>
        <w:tab w:val="num" w:pos="213"/>
      </w:tabs>
      <w:spacing w:before="120" w:after="120"/>
      <w:ind w:left="213" w:hanging="213"/>
      <w:contextualSpacing w:val="0"/>
      <w:jc w:val="both"/>
    </w:pPr>
    <w:rPr>
      <w:rFonts w:ascii="Arial" w:hAnsi="Arial"/>
      <w:sz w:val="22"/>
      <w:szCs w:val="20"/>
      <w:lang w:val="es-ES_tradnl" w:eastAsia="es-ES"/>
    </w:rPr>
  </w:style>
  <w:style w:type="paragraph" w:customStyle="1" w:styleId="NumeracinenTablas">
    <w:name w:val="Numeración en Tablas"/>
    <w:basedOn w:val="Listaconnmeros"/>
    <w:qFormat/>
    <w:rsid w:val="00A26CD3"/>
    <w:pPr>
      <w:tabs>
        <w:tab w:val="clear" w:pos="360"/>
      </w:tabs>
      <w:ind w:left="0" w:firstLine="0"/>
    </w:pPr>
    <w:rPr>
      <w:rFonts w:asciiTheme="minorHAnsi" w:eastAsiaTheme="minorHAnsi" w:hAnsiTheme="minorHAnsi" w:cstheme="minorBidi"/>
      <w:sz w:val="20"/>
      <w:lang w:eastAsia="en-US"/>
    </w:rPr>
  </w:style>
  <w:style w:type="paragraph" w:customStyle="1" w:styleId="Consecutivo">
    <w:name w:val="Consecutivo"/>
    <w:basedOn w:val="NumeracinenTablas"/>
    <w:qFormat/>
    <w:rsid w:val="00A26CD3"/>
    <w:pPr>
      <w:keepLines/>
      <w:tabs>
        <w:tab w:val="num" w:pos="397"/>
      </w:tabs>
      <w:spacing w:before="120" w:after="120"/>
      <w:jc w:val="center"/>
    </w:pPr>
    <w:rPr>
      <w:rFonts w:ascii="Arial" w:eastAsia="Times New Roman" w:hAnsi="Arial" w:cs="Times New Roman"/>
      <w:sz w:val="22"/>
      <w:lang w:val="es-ES_tradnl" w:eastAsia="es-ES"/>
    </w:rPr>
  </w:style>
  <w:style w:type="paragraph" w:customStyle="1" w:styleId="Numeracin">
    <w:name w:val="Numeración"/>
    <w:basedOn w:val="Subttulo"/>
    <w:qFormat/>
    <w:rsid w:val="00A26CD3"/>
    <w:pPr>
      <w:keepNext/>
      <w:keepLines/>
      <w:numPr>
        <w:ilvl w:val="0"/>
      </w:numPr>
      <w:tabs>
        <w:tab w:val="num" w:pos="397"/>
      </w:tabs>
      <w:spacing w:before="240" w:after="240" w:line="240" w:lineRule="auto"/>
      <w:ind w:left="397" w:hanging="397"/>
    </w:pPr>
    <w:rPr>
      <w:rFonts w:ascii="Arial" w:hAnsi="Arial"/>
      <w:b/>
      <w:color w:val="auto"/>
      <w:spacing w:val="0"/>
      <w:kern w:val="2"/>
      <w:sz w:val="24"/>
      <w:szCs w:val="20"/>
      <w:lang w:val="es-ES_tradnl" w:eastAsia="es-ES"/>
      <w14:ligatures w14:val="standardContextual"/>
    </w:rPr>
  </w:style>
  <w:style w:type="paragraph" w:customStyle="1" w:styleId="Portada">
    <w:name w:val="Portada"/>
    <w:basedOn w:val="Normal"/>
    <w:qFormat/>
    <w:rsid w:val="00A26CD3"/>
    <w:pPr>
      <w:keepLines/>
      <w:spacing w:before="120" w:after="120" w:line="240" w:lineRule="auto"/>
      <w:jc w:val="center"/>
    </w:pPr>
    <w:rPr>
      <w:rFonts w:ascii="Arial" w:eastAsia="Times New Roman" w:hAnsi="Arial" w:cs="Times New Roman"/>
      <w:b/>
      <w:i/>
      <w:smallCaps/>
      <w:sz w:val="36"/>
      <w:szCs w:val="20"/>
      <w:lang w:val="es-ES_tradnl" w:eastAsia="es-ES"/>
    </w:rPr>
  </w:style>
  <w:style w:type="paragraph" w:customStyle="1" w:styleId="Submdulo">
    <w:name w:val="Submódulo"/>
    <w:basedOn w:val="Normal"/>
    <w:next w:val="Normal"/>
    <w:qFormat/>
    <w:rsid w:val="00A26CD3"/>
    <w:pPr>
      <w:keepLines/>
      <w:spacing w:after="240" w:line="240" w:lineRule="auto"/>
      <w:jc w:val="both"/>
    </w:pPr>
    <w:rPr>
      <w:rFonts w:ascii="Arial" w:eastAsia="Times New Roman" w:hAnsi="Arial" w:cs="Times New Roman"/>
      <w:b/>
      <w:caps/>
      <w:sz w:val="28"/>
      <w:szCs w:val="20"/>
      <w:lang w:val="es-ES_tradnl" w:eastAsia="es-ES"/>
    </w:rPr>
  </w:style>
  <w:style w:type="paragraph" w:customStyle="1" w:styleId="Pasos">
    <w:name w:val="Pasos"/>
    <w:basedOn w:val="Normal"/>
    <w:qFormat/>
    <w:rsid w:val="00A26CD3"/>
    <w:pPr>
      <w:keepLines/>
      <w:spacing w:before="120" w:after="120" w:line="240" w:lineRule="auto"/>
      <w:jc w:val="both"/>
    </w:pPr>
    <w:rPr>
      <w:rFonts w:ascii="Arial" w:eastAsia="Times New Roman" w:hAnsi="Arial" w:cs="Times New Roman"/>
      <w:szCs w:val="20"/>
      <w:lang w:val="es-ES_tradnl" w:eastAsia="es-ES"/>
    </w:rPr>
  </w:style>
  <w:style w:type="paragraph" w:customStyle="1" w:styleId="examen">
    <w:name w:val="examen"/>
    <w:basedOn w:val="Normal"/>
    <w:qFormat/>
    <w:rsid w:val="00A26CD3"/>
    <w:pPr>
      <w:keepLines/>
      <w:tabs>
        <w:tab w:val="num" w:pos="360"/>
      </w:tabs>
      <w:spacing w:before="120" w:after="120" w:line="240" w:lineRule="auto"/>
      <w:ind w:left="360" w:hanging="360"/>
      <w:jc w:val="both"/>
    </w:pPr>
    <w:rPr>
      <w:rFonts w:ascii="Arial" w:eastAsia="Times New Roman" w:hAnsi="Arial" w:cs="Times New Roman"/>
      <w:szCs w:val="20"/>
      <w:lang w:val="es-ES_tradnl" w:eastAsia="es-ES"/>
    </w:rPr>
  </w:style>
  <w:style w:type="paragraph" w:customStyle="1" w:styleId="Numeracion2">
    <w:name w:val="Numeracion2"/>
    <w:basedOn w:val="Normal"/>
    <w:qFormat/>
    <w:rsid w:val="00A26CD3"/>
    <w:pPr>
      <w:keepLines/>
      <w:spacing w:before="120" w:after="120" w:line="240" w:lineRule="auto"/>
      <w:ind w:left="283" w:hanging="283"/>
      <w:jc w:val="both"/>
    </w:pPr>
    <w:rPr>
      <w:rFonts w:ascii="Arial" w:eastAsia="Times New Roman" w:hAnsi="Arial" w:cs="Times New Roman"/>
      <w:szCs w:val="20"/>
      <w:lang w:val="es-ES_tradnl" w:eastAsia="es-MX"/>
    </w:rPr>
  </w:style>
  <w:style w:type="paragraph" w:customStyle="1" w:styleId="BodyTextIndent31">
    <w:name w:val="Body Text Indent 31"/>
    <w:basedOn w:val="Normal"/>
    <w:qFormat/>
    <w:rsid w:val="00A26CD3"/>
    <w:pPr>
      <w:widowControl w:val="0"/>
      <w:spacing w:after="0" w:line="240" w:lineRule="auto"/>
      <w:ind w:left="170" w:hanging="170"/>
      <w:jc w:val="both"/>
    </w:pPr>
    <w:rPr>
      <w:rFonts w:ascii="Arial" w:eastAsia="Times New Roman" w:hAnsi="Arial" w:cs="Times New Roman"/>
      <w:szCs w:val="20"/>
      <w:lang w:eastAsia="es-ES"/>
    </w:rPr>
  </w:style>
  <w:style w:type="paragraph" w:customStyle="1" w:styleId="gentext">
    <w:name w:val="gentext"/>
    <w:basedOn w:val="Normal"/>
    <w:qFormat/>
    <w:rsid w:val="00A26CD3"/>
    <w:pPr>
      <w:spacing w:before="100" w:beforeAutospacing="1" w:after="100" w:afterAutospacing="1" w:line="240" w:lineRule="auto"/>
      <w:jc w:val="both"/>
    </w:pPr>
    <w:rPr>
      <w:rFonts w:ascii="Arial" w:eastAsia="Times New Roman" w:hAnsi="Arial" w:cs="Times New Roman"/>
      <w:sz w:val="24"/>
      <w:szCs w:val="24"/>
      <w:lang w:val="en-US"/>
    </w:rPr>
  </w:style>
  <w:style w:type="paragraph" w:customStyle="1" w:styleId="12">
    <w:name w:val="12"/>
    <w:basedOn w:val="Normal"/>
    <w:qFormat/>
    <w:rsid w:val="00A26CD3"/>
    <w:pPr>
      <w:spacing w:after="0" w:line="240" w:lineRule="auto"/>
      <w:jc w:val="both"/>
    </w:pPr>
    <w:rPr>
      <w:rFonts w:ascii="Verdana" w:eastAsia="Times New Roman" w:hAnsi="Verdana" w:cs="Times New Roman"/>
      <w:bCs/>
      <w:kern w:val="32"/>
      <w:sz w:val="24"/>
      <w:szCs w:val="40"/>
      <w:lang w:eastAsia="es-ES"/>
    </w:rPr>
  </w:style>
  <w:style w:type="paragraph" w:customStyle="1" w:styleId="p20">
    <w:name w:val="p2"/>
    <w:basedOn w:val="Normal"/>
    <w:qFormat/>
    <w:rsid w:val="00A26CD3"/>
    <w:pPr>
      <w:tabs>
        <w:tab w:val="num" w:pos="643"/>
      </w:tabs>
      <w:spacing w:after="0" w:line="240" w:lineRule="auto"/>
      <w:ind w:left="643" w:hanging="360"/>
      <w:jc w:val="both"/>
    </w:pPr>
    <w:rPr>
      <w:rFonts w:ascii="Arial" w:eastAsia="Times New Roman" w:hAnsi="Arial" w:cs="Arial"/>
      <w:sz w:val="24"/>
      <w:szCs w:val="20"/>
      <w:lang w:eastAsia="es-ES"/>
    </w:rPr>
  </w:style>
  <w:style w:type="paragraph" w:customStyle="1" w:styleId="Subttulodecubierta">
    <w:name w:val="Subtítulo de cubierta"/>
    <w:basedOn w:val="Ttulodecubierta"/>
    <w:next w:val="Normal"/>
    <w:qFormat/>
    <w:rsid w:val="00A26CD3"/>
    <w:pPr>
      <w:spacing w:before="1520"/>
      <w:ind w:right="1680"/>
    </w:pPr>
    <w:rPr>
      <w:rFonts w:ascii="Times New Roman" w:hAnsi="Times New Roman"/>
      <w:b w:val="0"/>
      <w:i/>
      <w:spacing w:val="-20"/>
      <w:sz w:val="40"/>
    </w:rPr>
  </w:style>
  <w:style w:type="paragraph" w:customStyle="1" w:styleId="Ttulodecubierta">
    <w:name w:val="Título de cubierta"/>
    <w:basedOn w:val="Normal"/>
    <w:next w:val="Subttulodecubierta"/>
    <w:qFormat/>
    <w:rsid w:val="00A26CD3"/>
    <w:pPr>
      <w:keepNext/>
      <w:keepLines/>
      <w:spacing w:before="1800" w:after="0" w:line="240" w:lineRule="atLeast"/>
      <w:ind w:left="1080"/>
      <w:jc w:val="both"/>
    </w:pPr>
    <w:rPr>
      <w:rFonts w:ascii="Arial" w:eastAsia="Times New Roman" w:hAnsi="Arial" w:cs="Times New Roman"/>
      <w:b/>
      <w:spacing w:val="-48"/>
      <w:kern w:val="28"/>
      <w:sz w:val="72"/>
      <w:szCs w:val="20"/>
      <w:lang w:eastAsia="es-ES"/>
    </w:rPr>
  </w:style>
  <w:style w:type="paragraph" w:customStyle="1" w:styleId="Ttulodeseccin">
    <w:name w:val="Título de sección"/>
    <w:basedOn w:val="Normal"/>
    <w:next w:val="Normal"/>
    <w:autoRedefine/>
    <w:qFormat/>
    <w:rsid w:val="00A26CD3"/>
    <w:pPr>
      <w:spacing w:before="220" w:after="0" w:line="220" w:lineRule="atLeast"/>
      <w:ind w:left="720"/>
      <w:jc w:val="both"/>
    </w:pPr>
    <w:rPr>
      <w:rFonts w:ascii="Verdana" w:eastAsia="Times New Roman" w:hAnsi="Verdana" w:cs="Arial"/>
      <w:bCs/>
      <w:spacing w:val="-10"/>
      <w:lang w:eastAsia="es-ES"/>
    </w:rPr>
  </w:style>
  <w:style w:type="paragraph" w:customStyle="1" w:styleId="CommentSubject1">
    <w:name w:val="Comment Subject1"/>
    <w:basedOn w:val="Textocomentario"/>
    <w:next w:val="Textocomentario"/>
    <w:semiHidden/>
    <w:qFormat/>
    <w:rsid w:val="00A26CD3"/>
    <w:pPr>
      <w:spacing w:after="0"/>
      <w:jc w:val="both"/>
    </w:pPr>
    <w:rPr>
      <w:rFonts w:ascii="Arial" w:eastAsia="Times New Roman" w:hAnsi="Arial" w:cs="Times New Roman"/>
      <w:kern w:val="2"/>
      <w:sz w:val="22"/>
      <w:lang w:eastAsia="es-ES"/>
      <w14:ligatures w14:val="standardContextual"/>
    </w:rPr>
  </w:style>
  <w:style w:type="paragraph" w:customStyle="1" w:styleId="Convieta">
    <w:name w:val="Con viñeta"/>
    <w:basedOn w:val="Normal"/>
    <w:qFormat/>
    <w:rsid w:val="00A26CD3"/>
    <w:pPr>
      <w:tabs>
        <w:tab w:val="num" w:pos="2880"/>
        <w:tab w:val="num" w:pos="3600"/>
      </w:tabs>
      <w:spacing w:after="0" w:line="240" w:lineRule="auto"/>
      <w:jc w:val="both"/>
    </w:pPr>
    <w:rPr>
      <w:rFonts w:ascii="Verdana" w:eastAsia="Times New Roman" w:hAnsi="Verdana" w:cs="Arial"/>
      <w:lang w:eastAsia="es-ES"/>
    </w:rPr>
  </w:style>
  <w:style w:type="paragraph" w:customStyle="1" w:styleId="EstiloNormalWebVerdana11ptJustificado">
    <w:name w:val="Estilo Normal (Web) + Verdana 11 pt Justificado"/>
    <w:basedOn w:val="NormalWeb"/>
    <w:qFormat/>
    <w:rsid w:val="00A26CD3"/>
    <w:pPr>
      <w:spacing w:before="0" w:beforeAutospacing="0" w:after="0" w:afterAutospacing="0"/>
    </w:pPr>
    <w:rPr>
      <w:rFonts w:asciiTheme="minorHAnsi" w:eastAsiaTheme="minorHAnsi" w:hAnsiTheme="minorHAnsi" w:cstheme="minorBidi"/>
      <w:kern w:val="2"/>
      <w:lang w:eastAsia="en-US"/>
      <w14:ligatures w14:val="standardContextual"/>
    </w:rPr>
  </w:style>
  <w:style w:type="paragraph" w:customStyle="1" w:styleId="Char">
    <w:name w:val="Char"/>
    <w:basedOn w:val="Normal"/>
    <w:qFormat/>
    <w:rsid w:val="00A26CD3"/>
    <w:pPr>
      <w:spacing w:line="240" w:lineRule="exact"/>
      <w:jc w:val="both"/>
    </w:pPr>
    <w:rPr>
      <w:rFonts w:ascii="Verdana" w:eastAsia="Times New Roman" w:hAnsi="Verdana" w:cs="Times New Roman"/>
      <w:szCs w:val="20"/>
      <w:lang w:val="en-US"/>
    </w:rPr>
  </w:style>
  <w:style w:type="paragraph" w:customStyle="1" w:styleId="Char1CharChar">
    <w:name w:val="Char1 Char Char"/>
    <w:basedOn w:val="Normal"/>
    <w:qFormat/>
    <w:rsid w:val="00A26CD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font9">
    <w:name w:val="font9"/>
    <w:basedOn w:val="Normal"/>
    <w:qFormat/>
    <w:rsid w:val="00A26CD3"/>
    <w:pPr>
      <w:spacing w:before="100" w:beforeAutospacing="1" w:after="100" w:afterAutospacing="1" w:line="240" w:lineRule="auto"/>
    </w:pPr>
    <w:rPr>
      <w:rFonts w:ascii="Gill Sans MT" w:eastAsia="Times New Roman" w:hAnsi="Gill Sans MT" w:cs="Times New Roman"/>
      <w:sz w:val="14"/>
      <w:szCs w:val="14"/>
      <w:lang w:eastAsia="es-MX"/>
    </w:rPr>
  </w:style>
  <w:style w:type="paragraph" w:customStyle="1" w:styleId="font10">
    <w:name w:val="font10"/>
    <w:basedOn w:val="Normal"/>
    <w:qFormat/>
    <w:rsid w:val="00A26CD3"/>
    <w:pPr>
      <w:spacing w:before="100" w:beforeAutospacing="1" w:after="100" w:afterAutospacing="1" w:line="240" w:lineRule="auto"/>
    </w:pPr>
    <w:rPr>
      <w:rFonts w:ascii="Times New Roman" w:eastAsia="Times New Roman" w:hAnsi="Times New Roman" w:cs="Times New Roman"/>
      <w:sz w:val="14"/>
      <w:szCs w:val="14"/>
      <w:lang w:eastAsia="es-MX"/>
    </w:rPr>
  </w:style>
  <w:style w:type="paragraph" w:customStyle="1" w:styleId="font11">
    <w:name w:val="font11"/>
    <w:basedOn w:val="Normal"/>
    <w:qFormat/>
    <w:rsid w:val="00A26CD3"/>
    <w:pPr>
      <w:spacing w:before="100" w:beforeAutospacing="1" w:after="100" w:afterAutospacing="1" w:line="240" w:lineRule="auto"/>
    </w:pPr>
    <w:rPr>
      <w:rFonts w:ascii="Times New Roman" w:eastAsia="Times New Roman" w:hAnsi="Times New Roman" w:cs="Times New Roman"/>
      <w:b/>
      <w:bCs/>
      <w:sz w:val="14"/>
      <w:szCs w:val="14"/>
      <w:lang w:eastAsia="es-MX"/>
    </w:rPr>
  </w:style>
  <w:style w:type="paragraph" w:customStyle="1" w:styleId="Prrafodelista11">
    <w:name w:val="Párrafo de lista11"/>
    <w:basedOn w:val="Normal"/>
    <w:uiPriority w:val="99"/>
    <w:qFormat/>
    <w:rsid w:val="00A26CD3"/>
    <w:pPr>
      <w:spacing w:after="200" w:line="276" w:lineRule="auto"/>
      <w:ind w:left="720"/>
    </w:pPr>
    <w:rPr>
      <w:rFonts w:ascii="Calibri" w:eastAsia="Times New Roman" w:hAnsi="Calibri" w:cs="Calibri"/>
      <w:lang w:eastAsia="es-MX"/>
    </w:rPr>
  </w:style>
  <w:style w:type="paragraph" w:customStyle="1" w:styleId="Textodeglobo2">
    <w:name w:val="Texto de globo2"/>
    <w:basedOn w:val="Normal"/>
    <w:semiHidden/>
    <w:qFormat/>
    <w:rsid w:val="00A26CD3"/>
    <w:pPr>
      <w:overflowPunct w:val="0"/>
      <w:autoSpaceDE w:val="0"/>
      <w:autoSpaceDN w:val="0"/>
      <w:adjustRightInd w:val="0"/>
      <w:spacing w:after="0" w:line="240" w:lineRule="auto"/>
      <w:jc w:val="both"/>
    </w:pPr>
    <w:rPr>
      <w:rFonts w:ascii="Tahoma" w:eastAsia="Times New Roman" w:hAnsi="Tahoma" w:cs="Tahoma"/>
      <w:sz w:val="16"/>
      <w:szCs w:val="16"/>
    </w:rPr>
  </w:style>
  <w:style w:type="paragraph" w:customStyle="1" w:styleId="Textodebloque2">
    <w:name w:val="Texto de bloque2"/>
    <w:basedOn w:val="Normal"/>
    <w:qFormat/>
    <w:rsid w:val="00A26CD3"/>
    <w:pPr>
      <w:tabs>
        <w:tab w:val="right" w:pos="7598"/>
      </w:tabs>
      <w:spacing w:after="0" w:line="240" w:lineRule="auto"/>
      <w:jc w:val="both"/>
    </w:pPr>
    <w:rPr>
      <w:rFonts w:ascii="Arial" w:eastAsia="Times New Roman" w:hAnsi="Arial" w:cs="Times New Roman"/>
      <w:szCs w:val="20"/>
      <w:lang w:eastAsia="es-ES"/>
    </w:rPr>
  </w:style>
  <w:style w:type="paragraph" w:customStyle="1" w:styleId="Sangra3detindependiente2">
    <w:name w:val="Sangría 3 de t. independiente2"/>
    <w:basedOn w:val="Normal"/>
    <w:qFormat/>
    <w:rsid w:val="00A26CD3"/>
    <w:pPr>
      <w:widowControl w:val="0"/>
      <w:overflowPunct w:val="0"/>
      <w:autoSpaceDE w:val="0"/>
      <w:autoSpaceDN w:val="0"/>
      <w:adjustRightInd w:val="0"/>
      <w:spacing w:after="0" w:line="240" w:lineRule="auto"/>
      <w:ind w:left="170" w:hanging="170"/>
      <w:jc w:val="both"/>
    </w:pPr>
    <w:rPr>
      <w:rFonts w:ascii="Arial" w:eastAsia="Times New Roman" w:hAnsi="Arial" w:cs="Times New Roman"/>
      <w:szCs w:val="20"/>
      <w:lang w:eastAsia="es-ES"/>
    </w:rPr>
  </w:style>
  <w:style w:type="paragraph" w:customStyle="1" w:styleId="2">
    <w:name w:val="2"/>
    <w:basedOn w:val="Normal"/>
    <w:qFormat/>
    <w:rsid w:val="00A26CD3"/>
    <w:pPr>
      <w:spacing w:after="0" w:line="240" w:lineRule="auto"/>
    </w:pPr>
    <w:rPr>
      <w:rFonts w:ascii="Times New Roman" w:eastAsia="Times New Roman" w:hAnsi="Times New Roman" w:cs="Times New Roman"/>
      <w:sz w:val="24"/>
      <w:szCs w:val="24"/>
      <w:lang w:eastAsia="es-ES"/>
    </w:rPr>
  </w:style>
  <w:style w:type="paragraph" w:customStyle="1" w:styleId="encabezado0">
    <w:name w:val="encabezado"/>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itulo0">
    <w:name w:val="titulo"/>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tyle20">
    <w:name w:val="Style2"/>
    <w:basedOn w:val="Normal"/>
    <w:uiPriority w:val="99"/>
    <w:qFormat/>
    <w:rsid w:val="00A26CD3"/>
    <w:pPr>
      <w:widowControl w:val="0"/>
      <w:autoSpaceDE w:val="0"/>
      <w:autoSpaceDN w:val="0"/>
      <w:adjustRightInd w:val="0"/>
      <w:spacing w:after="0" w:line="252" w:lineRule="exact"/>
      <w:jc w:val="both"/>
    </w:pPr>
    <w:rPr>
      <w:rFonts w:ascii="Arial" w:eastAsia="Times New Roman" w:hAnsi="Arial" w:cs="Arial"/>
      <w:sz w:val="24"/>
      <w:szCs w:val="24"/>
      <w:lang w:eastAsia="es-MX"/>
    </w:rPr>
  </w:style>
  <w:style w:type="paragraph" w:customStyle="1" w:styleId="Style3">
    <w:name w:val="Style3"/>
    <w:basedOn w:val="Normal"/>
    <w:uiPriority w:val="99"/>
    <w:qFormat/>
    <w:rsid w:val="00A26CD3"/>
    <w:pPr>
      <w:widowControl w:val="0"/>
      <w:autoSpaceDE w:val="0"/>
      <w:autoSpaceDN w:val="0"/>
      <w:adjustRightInd w:val="0"/>
      <w:spacing w:after="0" w:line="252" w:lineRule="exact"/>
      <w:ind w:hanging="358"/>
    </w:pPr>
    <w:rPr>
      <w:rFonts w:ascii="Arial" w:eastAsia="Times New Roman" w:hAnsi="Arial" w:cs="Arial"/>
      <w:sz w:val="24"/>
      <w:szCs w:val="24"/>
      <w:lang w:eastAsia="es-MX"/>
    </w:rPr>
  </w:style>
  <w:style w:type="paragraph" w:customStyle="1" w:styleId="ARIAL">
    <w:name w:val="ARIAL"/>
    <w:basedOn w:val="Normal"/>
    <w:qFormat/>
    <w:rsid w:val="00A26CD3"/>
    <w:pPr>
      <w:spacing w:after="0" w:line="240" w:lineRule="auto"/>
      <w:jc w:val="both"/>
    </w:pPr>
    <w:rPr>
      <w:rFonts w:ascii="Times New Roman" w:eastAsia="MS Mincho" w:hAnsi="Times New Roman" w:cs="Times New Roman"/>
      <w:b/>
      <w:bCs/>
      <w:i/>
      <w:iCs/>
      <w:sz w:val="24"/>
      <w:szCs w:val="20"/>
      <w:lang w:val="es-ES" w:eastAsia="es-ES"/>
    </w:rPr>
  </w:style>
  <w:style w:type="paragraph" w:customStyle="1" w:styleId="yiv6070459627msonormal">
    <w:name w:val="yiv6070459627msonormal"/>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ydp12ca2e4bmsonormal">
    <w:name w:val="ydp12ca2e4bmsonormal"/>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Pa2">
    <w:name w:val="Pa2"/>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paragraph" w:customStyle="1" w:styleId="Style21">
    <w:name w:val="Style 2"/>
    <w:basedOn w:val="Normal"/>
    <w:uiPriority w:val="99"/>
    <w:qFormat/>
    <w:rsid w:val="00A26CD3"/>
    <w:pPr>
      <w:widowControl w:val="0"/>
      <w:autoSpaceDE w:val="0"/>
      <w:autoSpaceDN w:val="0"/>
      <w:spacing w:before="72" w:after="0" w:line="252" w:lineRule="exact"/>
    </w:pPr>
    <w:rPr>
      <w:rFonts w:ascii="Arial" w:eastAsia="Times New Roman" w:hAnsi="Arial" w:cs="Arial"/>
      <w:sz w:val="23"/>
      <w:szCs w:val="23"/>
      <w:lang w:val="en-US" w:eastAsia="es-MX"/>
    </w:rPr>
  </w:style>
  <w:style w:type="paragraph" w:customStyle="1" w:styleId="PROCED">
    <w:name w:val="PROCED"/>
    <w:basedOn w:val="Normal"/>
    <w:qFormat/>
    <w:rsid w:val="00A26CD3"/>
    <w:pPr>
      <w:overflowPunct w:val="0"/>
      <w:autoSpaceDE w:val="0"/>
      <w:autoSpaceDN w:val="0"/>
      <w:adjustRightInd w:val="0"/>
      <w:spacing w:before="120" w:after="120" w:line="240" w:lineRule="auto"/>
      <w:ind w:left="284"/>
    </w:pPr>
    <w:rPr>
      <w:rFonts w:ascii="Arial" w:eastAsia="Times New Roman" w:hAnsi="Arial" w:cs="Times New Roman"/>
      <w:b/>
      <w:sz w:val="20"/>
      <w:szCs w:val="20"/>
      <w:lang w:val="es-ES_tradnl" w:eastAsia="es-ES"/>
    </w:rPr>
  </w:style>
  <w:style w:type="paragraph" w:customStyle="1" w:styleId="numero">
    <w:name w:val="numero"/>
    <w:basedOn w:val="Encabezado"/>
    <w:autoRedefine/>
    <w:qFormat/>
    <w:rsid w:val="00A26CD3"/>
    <w:pPr>
      <w:numPr>
        <w:numId w:val="47"/>
      </w:numPr>
      <w:tabs>
        <w:tab w:val="clear" w:pos="700"/>
        <w:tab w:val="clear" w:pos="4419"/>
        <w:tab w:val="clear" w:pos="8838"/>
      </w:tabs>
      <w:ind w:left="0" w:firstLine="0"/>
    </w:pPr>
    <w:rPr>
      <w:color w:val="000000" w:themeColor="text1"/>
    </w:rPr>
  </w:style>
  <w:style w:type="paragraph" w:customStyle="1" w:styleId="actividad">
    <w:name w:val="actividad"/>
    <w:basedOn w:val="Normal"/>
    <w:qFormat/>
    <w:rsid w:val="00A26CD3"/>
    <w:pPr>
      <w:spacing w:after="240" w:line="240" w:lineRule="auto"/>
      <w:ind w:left="284"/>
      <w:jc w:val="both"/>
    </w:pPr>
    <w:rPr>
      <w:rFonts w:ascii="Arial" w:eastAsia="Times New Roman" w:hAnsi="Arial" w:cs="Times New Roman"/>
      <w:sz w:val="20"/>
      <w:szCs w:val="20"/>
      <w:lang w:val="es-ES_tradnl" w:eastAsia="es-ES"/>
    </w:rPr>
  </w:style>
  <w:style w:type="paragraph" w:customStyle="1" w:styleId="col1">
    <w:name w:val="col1"/>
    <w:basedOn w:val="numero"/>
    <w:qFormat/>
    <w:rsid w:val="00A26CD3"/>
    <w:pPr>
      <w:spacing w:after="240"/>
      <w:jc w:val="center"/>
    </w:pPr>
    <w:rPr>
      <w:rFonts w:ascii="Arial" w:eastAsia="Times New Roman" w:hAnsi="Arial" w:cs="Times New Roman"/>
      <w:color w:val="auto"/>
      <w:kern w:val="2"/>
      <w:sz w:val="20"/>
      <w:szCs w:val="20"/>
      <w:lang w:val="es-ES_tradnl" w:eastAsia="es-ES"/>
      <w14:ligatures w14:val="standardContextual"/>
    </w:rPr>
  </w:style>
  <w:style w:type="paragraph" w:customStyle="1" w:styleId="col2">
    <w:name w:val="col2"/>
    <w:basedOn w:val="col1"/>
    <w:qFormat/>
    <w:rsid w:val="00A26CD3"/>
    <w:pPr>
      <w:jc w:val="left"/>
    </w:pPr>
  </w:style>
  <w:style w:type="paragraph" w:customStyle="1" w:styleId="xl533">
    <w:name w:val="xl533"/>
    <w:basedOn w:val="Normal"/>
    <w:qFormat/>
    <w:rsid w:val="00A26CD3"/>
    <w:pPr>
      <w:spacing w:before="100" w:beforeAutospacing="1" w:after="100" w:afterAutospacing="1" w:line="240" w:lineRule="auto"/>
    </w:pPr>
    <w:rPr>
      <w:rFonts w:ascii="Gotham Book" w:eastAsia="Times New Roman" w:hAnsi="Gotham Book" w:cs="Times New Roman"/>
      <w:sz w:val="20"/>
      <w:szCs w:val="20"/>
      <w:lang w:eastAsia="es-MX"/>
    </w:rPr>
  </w:style>
  <w:style w:type="paragraph" w:customStyle="1" w:styleId="xl534">
    <w:name w:val="xl534"/>
    <w:basedOn w:val="Normal"/>
    <w:qFormat/>
    <w:rsid w:val="00A26CD3"/>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Gotham Book" w:eastAsia="Times New Roman" w:hAnsi="Gotham Book" w:cs="Times New Roman"/>
      <w:sz w:val="16"/>
      <w:szCs w:val="16"/>
      <w:lang w:eastAsia="es-MX"/>
    </w:rPr>
  </w:style>
  <w:style w:type="paragraph" w:customStyle="1" w:styleId="xl535">
    <w:name w:val="xl535"/>
    <w:basedOn w:val="Normal"/>
    <w:qFormat/>
    <w:rsid w:val="00A26CD3"/>
    <w:pPr>
      <w:pBdr>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Gotham Book" w:eastAsia="Times New Roman" w:hAnsi="Gotham Book" w:cs="Times New Roman"/>
      <w:sz w:val="16"/>
      <w:szCs w:val="16"/>
      <w:lang w:eastAsia="es-MX"/>
    </w:rPr>
  </w:style>
  <w:style w:type="paragraph" w:customStyle="1" w:styleId="xl536">
    <w:name w:val="xl536"/>
    <w:basedOn w:val="Normal"/>
    <w:qFormat/>
    <w:rsid w:val="00A26CD3"/>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line="240" w:lineRule="auto"/>
      <w:jc w:val="center"/>
    </w:pPr>
    <w:rPr>
      <w:rFonts w:ascii="Gotham Book" w:eastAsia="Times New Roman" w:hAnsi="Gotham Book" w:cs="Times New Roman"/>
      <w:color w:val="000000"/>
      <w:sz w:val="20"/>
      <w:szCs w:val="20"/>
      <w:lang w:eastAsia="es-MX"/>
    </w:rPr>
  </w:style>
  <w:style w:type="paragraph" w:customStyle="1" w:styleId="xl537">
    <w:name w:val="xl537"/>
    <w:basedOn w:val="Normal"/>
    <w:qFormat/>
    <w:rsid w:val="00A26CD3"/>
    <w:pPr>
      <w:pBdr>
        <w:top w:val="single" w:sz="4" w:space="0" w:color="auto"/>
        <w:left w:val="single" w:sz="4" w:space="7" w:color="auto"/>
        <w:bottom w:val="single" w:sz="4" w:space="0" w:color="auto"/>
        <w:right w:val="single" w:sz="4" w:space="0" w:color="auto"/>
      </w:pBdr>
      <w:shd w:val="clear" w:color="auto" w:fill="F2F2F2"/>
      <w:spacing w:before="100" w:beforeAutospacing="1" w:after="100" w:afterAutospacing="1" w:line="240" w:lineRule="auto"/>
      <w:ind w:firstLineChars="100" w:firstLine="100"/>
    </w:pPr>
    <w:rPr>
      <w:rFonts w:ascii="Gotham Book" w:eastAsia="Times New Roman" w:hAnsi="Gotham Book" w:cs="Times New Roman"/>
      <w:b/>
      <w:bCs/>
      <w:sz w:val="16"/>
      <w:szCs w:val="16"/>
      <w:lang w:eastAsia="es-MX"/>
    </w:rPr>
  </w:style>
  <w:style w:type="paragraph" w:customStyle="1" w:styleId="xl538">
    <w:name w:val="xl538"/>
    <w:basedOn w:val="Normal"/>
    <w:qFormat/>
    <w:rsid w:val="00A26CD3"/>
    <w:pPr>
      <w:pBdr>
        <w:left w:val="single" w:sz="4" w:space="0" w:color="auto"/>
        <w:bottom w:val="single" w:sz="4" w:space="0" w:color="auto"/>
        <w:right w:val="single" w:sz="4" w:space="7" w:color="auto"/>
      </w:pBdr>
      <w:spacing w:before="100" w:beforeAutospacing="1" w:after="100" w:afterAutospacing="1" w:line="240" w:lineRule="auto"/>
      <w:ind w:firstLineChars="100" w:firstLine="100"/>
      <w:jc w:val="right"/>
    </w:pPr>
    <w:rPr>
      <w:rFonts w:ascii="Times New Roman" w:eastAsia="Times New Roman" w:hAnsi="Times New Roman" w:cs="Times New Roman"/>
      <w:sz w:val="20"/>
      <w:szCs w:val="20"/>
      <w:lang w:eastAsia="es-MX"/>
    </w:rPr>
  </w:style>
  <w:style w:type="paragraph" w:customStyle="1" w:styleId="xl539">
    <w:name w:val="xl539"/>
    <w:basedOn w:val="Normal"/>
    <w:qFormat/>
    <w:rsid w:val="00A26CD3"/>
    <w:pPr>
      <w:pBdr>
        <w:left w:val="single" w:sz="4" w:space="0" w:color="auto"/>
        <w:bottom w:val="single" w:sz="4" w:space="0" w:color="auto"/>
        <w:right w:val="single" w:sz="4" w:space="7" w:color="auto"/>
      </w:pBdr>
      <w:spacing w:before="100" w:beforeAutospacing="1" w:after="100" w:afterAutospacing="1" w:line="240" w:lineRule="auto"/>
      <w:ind w:firstLineChars="100" w:firstLine="100"/>
      <w:jc w:val="right"/>
    </w:pPr>
    <w:rPr>
      <w:rFonts w:ascii="Times New Roman" w:eastAsia="Times New Roman" w:hAnsi="Times New Roman" w:cs="Times New Roman"/>
      <w:sz w:val="20"/>
      <w:szCs w:val="20"/>
      <w:lang w:eastAsia="es-MX"/>
    </w:rPr>
  </w:style>
  <w:style w:type="paragraph" w:customStyle="1" w:styleId="xl540">
    <w:name w:val="xl540"/>
    <w:basedOn w:val="Normal"/>
    <w:qFormat/>
    <w:rsid w:val="00A26CD3"/>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pPr>
    <w:rPr>
      <w:rFonts w:ascii="Times New Roman" w:eastAsia="Times New Roman" w:hAnsi="Times New Roman" w:cs="Times New Roman"/>
      <w:sz w:val="20"/>
      <w:szCs w:val="20"/>
      <w:lang w:eastAsia="es-MX"/>
    </w:rPr>
  </w:style>
  <w:style w:type="paragraph" w:customStyle="1" w:styleId="xl541">
    <w:name w:val="xl541"/>
    <w:basedOn w:val="Normal"/>
    <w:qFormat/>
    <w:rsid w:val="00A26CD3"/>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pPr>
    <w:rPr>
      <w:rFonts w:ascii="Times New Roman" w:eastAsia="Times New Roman" w:hAnsi="Times New Roman" w:cs="Times New Roman"/>
      <w:sz w:val="20"/>
      <w:szCs w:val="20"/>
      <w:lang w:eastAsia="es-MX"/>
    </w:rPr>
  </w:style>
  <w:style w:type="paragraph" w:customStyle="1" w:styleId="xl542">
    <w:name w:val="xl542"/>
    <w:basedOn w:val="Normal"/>
    <w:qFormat/>
    <w:rsid w:val="00A26CD3"/>
    <w:pPr>
      <w:pBdr>
        <w:top w:val="single" w:sz="4" w:space="0" w:color="auto"/>
        <w:left w:val="single" w:sz="4" w:space="0" w:color="auto"/>
        <w:bottom w:val="single" w:sz="4" w:space="0" w:color="auto"/>
        <w:right w:val="single" w:sz="4" w:space="7" w:color="auto"/>
      </w:pBdr>
      <w:shd w:val="clear" w:color="auto" w:fill="F2F2F2"/>
      <w:spacing w:before="100" w:beforeAutospacing="1" w:after="100" w:afterAutospacing="1" w:line="240" w:lineRule="auto"/>
      <w:ind w:firstLineChars="100" w:firstLine="100"/>
      <w:jc w:val="right"/>
    </w:pPr>
    <w:rPr>
      <w:rFonts w:ascii="Times New Roman" w:eastAsia="Times New Roman" w:hAnsi="Times New Roman" w:cs="Times New Roman"/>
      <w:b/>
      <w:bCs/>
      <w:sz w:val="20"/>
      <w:szCs w:val="20"/>
      <w:lang w:eastAsia="es-MX"/>
    </w:rPr>
  </w:style>
  <w:style w:type="paragraph" w:customStyle="1" w:styleId="xl543">
    <w:name w:val="xl543"/>
    <w:basedOn w:val="Normal"/>
    <w:qFormat/>
    <w:rsid w:val="00A26CD3"/>
    <w:pPr>
      <w:pBdr>
        <w:top w:val="single" w:sz="4" w:space="0" w:color="auto"/>
        <w:left w:val="single" w:sz="4" w:space="0" w:color="auto"/>
        <w:bottom w:val="single" w:sz="4" w:space="0" w:color="auto"/>
        <w:right w:val="single" w:sz="4" w:space="7" w:color="auto"/>
      </w:pBdr>
      <w:shd w:val="clear" w:color="auto" w:fill="F2F2F2"/>
      <w:spacing w:before="100" w:beforeAutospacing="1" w:after="100" w:afterAutospacing="1" w:line="240" w:lineRule="auto"/>
      <w:ind w:firstLineChars="100" w:firstLine="100"/>
      <w:jc w:val="right"/>
    </w:pPr>
    <w:rPr>
      <w:rFonts w:ascii="Times New Roman" w:eastAsia="Times New Roman" w:hAnsi="Times New Roman" w:cs="Times New Roman"/>
      <w:b/>
      <w:bCs/>
      <w:sz w:val="20"/>
      <w:szCs w:val="20"/>
      <w:lang w:eastAsia="es-MX"/>
    </w:rPr>
  </w:style>
  <w:style w:type="paragraph" w:customStyle="1" w:styleId="xl544">
    <w:name w:val="xl544"/>
    <w:basedOn w:val="Normal"/>
    <w:qFormat/>
    <w:rsid w:val="00A26CD3"/>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line="240" w:lineRule="auto"/>
      <w:jc w:val="center"/>
    </w:pPr>
    <w:rPr>
      <w:rFonts w:ascii="Gotham Book" w:eastAsia="Times New Roman" w:hAnsi="Gotham Book" w:cs="Times New Roman"/>
      <w:color w:val="000000"/>
      <w:sz w:val="20"/>
      <w:szCs w:val="20"/>
      <w:lang w:eastAsia="es-MX"/>
    </w:rPr>
  </w:style>
  <w:style w:type="paragraph" w:customStyle="1" w:styleId="xl545">
    <w:name w:val="xl545"/>
    <w:basedOn w:val="Normal"/>
    <w:qFormat/>
    <w:rsid w:val="00A26CD3"/>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line="240" w:lineRule="auto"/>
      <w:jc w:val="center"/>
    </w:pPr>
    <w:rPr>
      <w:rFonts w:ascii="Gotham Book" w:eastAsia="Times New Roman" w:hAnsi="Gotham Book" w:cs="Times New Roman"/>
      <w:b/>
      <w:bCs/>
      <w:color w:val="000000"/>
      <w:sz w:val="20"/>
      <w:szCs w:val="20"/>
      <w:lang w:eastAsia="es-MX"/>
    </w:rPr>
  </w:style>
  <w:style w:type="paragraph" w:customStyle="1" w:styleId="xl546">
    <w:name w:val="xl546"/>
    <w:basedOn w:val="Normal"/>
    <w:qFormat/>
    <w:rsid w:val="00A26CD3"/>
    <w:pPr>
      <w:pBdr>
        <w:top w:val="single" w:sz="4" w:space="0" w:color="000000"/>
        <w:left w:val="single" w:sz="4" w:space="0" w:color="000000"/>
        <w:bottom w:val="single" w:sz="4" w:space="0" w:color="000000"/>
        <w:right w:val="single" w:sz="4" w:space="0" w:color="000000"/>
      </w:pBdr>
      <w:shd w:val="clear" w:color="auto" w:fill="F2F2F2"/>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547">
    <w:name w:val="xl547"/>
    <w:basedOn w:val="Normal"/>
    <w:qFormat/>
    <w:rsid w:val="00A26CD3"/>
    <w:pPr>
      <w:pBdr>
        <w:top w:val="single" w:sz="4" w:space="0" w:color="000000"/>
        <w:left w:val="single" w:sz="4" w:space="0" w:color="000000"/>
        <w:bottom w:val="single" w:sz="4" w:space="0" w:color="000000"/>
      </w:pBdr>
      <w:shd w:val="clear" w:color="auto" w:fill="F2F2F2"/>
      <w:spacing w:before="100" w:beforeAutospacing="1" w:after="100" w:afterAutospacing="1" w:line="240" w:lineRule="auto"/>
      <w:jc w:val="center"/>
    </w:pPr>
    <w:rPr>
      <w:rFonts w:ascii="Gotham Book" w:eastAsia="Times New Roman" w:hAnsi="Gotham Book" w:cs="Times New Roman"/>
      <w:b/>
      <w:bCs/>
      <w:color w:val="000000"/>
      <w:sz w:val="20"/>
      <w:szCs w:val="20"/>
      <w:lang w:eastAsia="es-MX"/>
    </w:rPr>
  </w:style>
  <w:style w:type="paragraph" w:customStyle="1" w:styleId="xl548">
    <w:name w:val="xl548"/>
    <w:basedOn w:val="Normal"/>
    <w:qFormat/>
    <w:rsid w:val="00A26CD3"/>
    <w:pPr>
      <w:pBdr>
        <w:top w:val="single" w:sz="4" w:space="0" w:color="000000"/>
        <w:bottom w:val="single" w:sz="4" w:space="0" w:color="000000"/>
        <w:right w:val="single" w:sz="4" w:space="0" w:color="000000"/>
      </w:pBdr>
      <w:shd w:val="clear" w:color="auto" w:fill="F2F2F2"/>
      <w:spacing w:before="100" w:beforeAutospacing="1" w:after="100" w:afterAutospacing="1" w:line="240" w:lineRule="auto"/>
      <w:jc w:val="center"/>
    </w:pPr>
    <w:rPr>
      <w:rFonts w:ascii="Gotham Book" w:eastAsia="Times New Roman" w:hAnsi="Gotham Book" w:cs="Times New Roman"/>
      <w:b/>
      <w:bCs/>
      <w:color w:val="000000"/>
      <w:sz w:val="20"/>
      <w:szCs w:val="20"/>
      <w:lang w:eastAsia="es-MX"/>
    </w:rPr>
  </w:style>
  <w:style w:type="paragraph" w:customStyle="1" w:styleId="xl532">
    <w:name w:val="xl532"/>
    <w:basedOn w:val="Normal"/>
    <w:qFormat/>
    <w:rsid w:val="00A26CD3"/>
    <w:pPr>
      <w:spacing w:before="100" w:beforeAutospacing="1" w:after="100" w:afterAutospacing="1" w:line="240" w:lineRule="auto"/>
    </w:pPr>
    <w:rPr>
      <w:rFonts w:ascii="Gotham Book" w:eastAsia="Times New Roman" w:hAnsi="Gotham Book" w:cs="Times New Roman"/>
      <w:sz w:val="20"/>
      <w:szCs w:val="20"/>
      <w:lang w:eastAsia="es-MX"/>
    </w:rPr>
  </w:style>
  <w:style w:type="paragraph" w:customStyle="1" w:styleId="xl752">
    <w:name w:val="xl752"/>
    <w:basedOn w:val="Normal"/>
    <w:qFormat/>
    <w:rsid w:val="00A26CD3"/>
    <w:pPr>
      <w:shd w:val="clear" w:color="auto" w:fill="FFFFFF"/>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753">
    <w:name w:val="xl753"/>
    <w:basedOn w:val="Normal"/>
    <w:qFormat/>
    <w:rsid w:val="00A26CD3"/>
    <w:pPr>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754">
    <w:name w:val="xl754"/>
    <w:basedOn w:val="Normal"/>
    <w:qFormat/>
    <w:rsid w:val="00A26CD3"/>
    <w:pPr>
      <w:spacing w:before="100" w:beforeAutospacing="1" w:after="100" w:afterAutospacing="1" w:line="240" w:lineRule="auto"/>
    </w:pPr>
    <w:rPr>
      <w:rFonts w:ascii="Gotham Book" w:eastAsia="Times New Roman" w:hAnsi="Gotham Book" w:cs="Times New Roman"/>
      <w:b/>
      <w:bCs/>
      <w:color w:val="000000"/>
      <w:sz w:val="20"/>
      <w:szCs w:val="20"/>
      <w:lang w:eastAsia="es-MX"/>
    </w:rPr>
  </w:style>
  <w:style w:type="paragraph" w:customStyle="1" w:styleId="xl755">
    <w:name w:val="xl755"/>
    <w:basedOn w:val="Normal"/>
    <w:qFormat/>
    <w:rsid w:val="00A26CD3"/>
    <w:pPr>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756">
    <w:name w:val="xl756"/>
    <w:basedOn w:val="Normal"/>
    <w:qFormat/>
    <w:rsid w:val="00A26CD3"/>
    <w:pPr>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757">
    <w:name w:val="xl757"/>
    <w:basedOn w:val="Normal"/>
    <w:qFormat/>
    <w:rsid w:val="00A26C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758">
    <w:name w:val="xl758"/>
    <w:basedOn w:val="Normal"/>
    <w:qFormat/>
    <w:rsid w:val="00A26CD3"/>
    <w:pPr>
      <w:spacing w:before="100" w:beforeAutospacing="1" w:after="100" w:afterAutospacing="1" w:line="240" w:lineRule="auto"/>
    </w:pPr>
    <w:rPr>
      <w:rFonts w:ascii="Gotham Book" w:eastAsia="Times New Roman" w:hAnsi="Gotham Book" w:cs="Times New Roman"/>
      <w:sz w:val="20"/>
      <w:szCs w:val="20"/>
      <w:lang w:eastAsia="es-MX"/>
    </w:rPr>
  </w:style>
  <w:style w:type="paragraph" w:customStyle="1" w:styleId="xl759">
    <w:name w:val="xl759"/>
    <w:basedOn w:val="Normal"/>
    <w:qFormat/>
    <w:rsid w:val="00A26C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Gotham Book" w:eastAsia="Times New Roman" w:hAnsi="Gotham Book" w:cs="Times New Roman"/>
      <w:sz w:val="20"/>
      <w:szCs w:val="20"/>
      <w:lang w:eastAsia="es-MX"/>
    </w:rPr>
  </w:style>
  <w:style w:type="paragraph" w:customStyle="1" w:styleId="xl760">
    <w:name w:val="xl760"/>
    <w:basedOn w:val="Normal"/>
    <w:qFormat/>
    <w:rsid w:val="00A26C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Gotham Book" w:eastAsia="Times New Roman" w:hAnsi="Gotham Book" w:cs="Times New Roman"/>
      <w:sz w:val="20"/>
      <w:szCs w:val="20"/>
      <w:lang w:eastAsia="es-MX"/>
    </w:rPr>
  </w:style>
  <w:style w:type="paragraph" w:customStyle="1" w:styleId="xl761">
    <w:name w:val="xl761"/>
    <w:basedOn w:val="Normal"/>
    <w:qFormat/>
    <w:rsid w:val="00A26CD3"/>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762">
    <w:name w:val="xl762"/>
    <w:basedOn w:val="Normal"/>
    <w:qFormat/>
    <w:rsid w:val="00A26CD3"/>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763">
    <w:name w:val="xl763"/>
    <w:basedOn w:val="Normal"/>
    <w:qFormat/>
    <w:rsid w:val="00A26CD3"/>
    <w:pPr>
      <w:spacing w:before="100" w:beforeAutospacing="1" w:after="100" w:afterAutospacing="1" w:line="240" w:lineRule="auto"/>
    </w:pPr>
    <w:rPr>
      <w:rFonts w:ascii="Gotham Book" w:eastAsia="Times New Roman" w:hAnsi="Gotham Book" w:cs="Times New Roman"/>
      <w:color w:val="000000"/>
      <w:sz w:val="20"/>
      <w:szCs w:val="20"/>
      <w:lang w:eastAsia="es-MX"/>
    </w:rPr>
  </w:style>
  <w:style w:type="paragraph" w:customStyle="1" w:styleId="xl764">
    <w:name w:val="xl764"/>
    <w:basedOn w:val="Normal"/>
    <w:qFormat/>
    <w:rsid w:val="00A26CD3"/>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765">
    <w:name w:val="xl765"/>
    <w:basedOn w:val="Normal"/>
    <w:qFormat/>
    <w:rsid w:val="00A26CD3"/>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766">
    <w:name w:val="xl766"/>
    <w:basedOn w:val="Normal"/>
    <w:qFormat/>
    <w:rsid w:val="00A26CD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767">
    <w:name w:val="xl767"/>
    <w:basedOn w:val="Normal"/>
    <w:qFormat/>
    <w:rsid w:val="00A26CD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pPr>
    <w:rPr>
      <w:rFonts w:ascii="Gotham Book" w:eastAsia="Times New Roman" w:hAnsi="Gotham Book" w:cs="Times New Roman"/>
      <w:sz w:val="20"/>
      <w:szCs w:val="20"/>
      <w:lang w:eastAsia="es-MX"/>
    </w:rPr>
  </w:style>
  <w:style w:type="paragraph" w:customStyle="1" w:styleId="xl768">
    <w:name w:val="xl768"/>
    <w:basedOn w:val="Normal"/>
    <w:qFormat/>
    <w:rsid w:val="00A26CD3"/>
    <w:pPr>
      <w:pBdr>
        <w:top w:val="single" w:sz="4"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769">
    <w:name w:val="xl769"/>
    <w:basedOn w:val="Normal"/>
    <w:qFormat/>
    <w:rsid w:val="00A26CD3"/>
    <w:pPr>
      <w:pBdr>
        <w:top w:val="single" w:sz="8" w:space="0" w:color="auto"/>
      </w:pBdr>
      <w:spacing w:before="100" w:beforeAutospacing="1" w:after="100" w:afterAutospacing="1" w:line="240" w:lineRule="auto"/>
    </w:pPr>
    <w:rPr>
      <w:rFonts w:ascii="Gotham Book" w:eastAsia="Times New Roman" w:hAnsi="Gotham Book" w:cs="Times New Roman"/>
      <w:color w:val="000000"/>
      <w:sz w:val="20"/>
      <w:szCs w:val="20"/>
      <w:lang w:eastAsia="es-MX"/>
    </w:rPr>
  </w:style>
  <w:style w:type="paragraph" w:customStyle="1" w:styleId="xl770">
    <w:name w:val="xl770"/>
    <w:basedOn w:val="Normal"/>
    <w:qFormat/>
    <w:rsid w:val="00A26CD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pPr>
    <w:rPr>
      <w:rFonts w:ascii="Gotham Book" w:eastAsia="Times New Roman" w:hAnsi="Gotham Book" w:cs="Times New Roman"/>
      <w:color w:val="000000"/>
      <w:sz w:val="20"/>
      <w:szCs w:val="20"/>
      <w:lang w:eastAsia="es-MX"/>
    </w:rPr>
  </w:style>
  <w:style w:type="paragraph" w:customStyle="1" w:styleId="xl771">
    <w:name w:val="xl771"/>
    <w:basedOn w:val="Normal"/>
    <w:qFormat/>
    <w:rsid w:val="00A26CD3"/>
    <w:pPr>
      <w:pBdr>
        <w:top w:val="single" w:sz="4"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pPr>
    <w:rPr>
      <w:rFonts w:ascii="Gotham Book" w:eastAsia="Times New Roman" w:hAnsi="Gotham Book" w:cs="Times New Roman"/>
      <w:b/>
      <w:bCs/>
      <w:color w:val="000000"/>
      <w:sz w:val="20"/>
      <w:szCs w:val="20"/>
      <w:lang w:eastAsia="es-MX"/>
    </w:rPr>
  </w:style>
  <w:style w:type="paragraph" w:customStyle="1" w:styleId="xl750">
    <w:name w:val="xl750"/>
    <w:basedOn w:val="Normal"/>
    <w:qFormat/>
    <w:rsid w:val="00A26CD3"/>
    <w:pPr>
      <w:shd w:val="clear" w:color="auto" w:fill="FFFFFF"/>
      <w:spacing w:before="100" w:beforeAutospacing="1" w:after="100" w:afterAutospacing="1" w:line="240" w:lineRule="auto"/>
    </w:pPr>
    <w:rPr>
      <w:rFonts w:ascii="HelveticaNeueLT Std" w:eastAsia="Times New Roman" w:hAnsi="HelveticaNeueLT Std" w:cs="Times New Roman"/>
      <w:b/>
      <w:bCs/>
      <w:sz w:val="16"/>
      <w:szCs w:val="16"/>
      <w:lang w:eastAsia="es-MX"/>
    </w:rPr>
  </w:style>
  <w:style w:type="paragraph" w:customStyle="1" w:styleId="xl751">
    <w:name w:val="xl751"/>
    <w:basedOn w:val="Normal"/>
    <w:qFormat/>
    <w:rsid w:val="00A26CD3"/>
    <w:pPr>
      <w:spacing w:before="100" w:beforeAutospacing="1" w:after="100" w:afterAutospacing="1" w:line="240" w:lineRule="auto"/>
    </w:pPr>
    <w:rPr>
      <w:rFonts w:ascii="HelveticaNeueLT Std" w:eastAsia="Times New Roman" w:hAnsi="HelveticaNeueLT Std" w:cs="Times New Roman"/>
      <w:sz w:val="16"/>
      <w:szCs w:val="16"/>
      <w:lang w:eastAsia="es-MX"/>
    </w:rPr>
  </w:style>
  <w:style w:type="paragraph" w:customStyle="1" w:styleId="INCISO">
    <w:name w:val="INCISO"/>
    <w:basedOn w:val="Normal"/>
    <w:qFormat/>
    <w:rsid w:val="00A26CD3"/>
    <w:pPr>
      <w:spacing w:after="101" w:line="216" w:lineRule="exact"/>
      <w:ind w:left="1080" w:hanging="360"/>
      <w:jc w:val="both"/>
    </w:pPr>
    <w:rPr>
      <w:rFonts w:ascii="Arial" w:eastAsia="Times New Roman" w:hAnsi="Arial" w:cs="Arial"/>
      <w:sz w:val="18"/>
      <w:szCs w:val="18"/>
      <w:lang w:val="es-ES" w:eastAsia="es-ES"/>
    </w:rPr>
  </w:style>
  <w:style w:type="paragraph" w:customStyle="1" w:styleId="xl669">
    <w:name w:val="xl669"/>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70">
    <w:name w:val="xl670"/>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71">
    <w:name w:val="xl671"/>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72">
    <w:name w:val="xl672"/>
    <w:basedOn w:val="Normal"/>
    <w:qFormat/>
    <w:rsid w:val="00A26CD3"/>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673">
    <w:name w:val="xl673"/>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74">
    <w:name w:val="xl674"/>
    <w:basedOn w:val="Normal"/>
    <w:qFormat/>
    <w:rsid w:val="00A26CD3"/>
    <w:pPr>
      <w:pBdr>
        <w:top w:val="single" w:sz="4" w:space="0" w:color="auto"/>
        <w:left w:val="single" w:sz="4" w:space="0" w:color="auto"/>
        <w:right w:val="single" w:sz="4" w:space="0" w:color="auto"/>
      </w:pBdr>
      <w:shd w:val="clear" w:color="auto" w:fill="F2F2F2"/>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675">
    <w:name w:val="xl675"/>
    <w:basedOn w:val="Normal"/>
    <w:qFormat/>
    <w:rsid w:val="00A26CD3"/>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Gotham Book" w:eastAsia="Times New Roman" w:hAnsi="Gotham Book" w:cs="Times New Roman"/>
      <w:b/>
      <w:bCs/>
      <w:sz w:val="20"/>
      <w:szCs w:val="20"/>
      <w:lang w:eastAsia="es-MX"/>
    </w:rPr>
  </w:style>
  <w:style w:type="paragraph" w:customStyle="1" w:styleId="xl676">
    <w:name w:val="xl676"/>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s-MX"/>
    </w:rPr>
  </w:style>
  <w:style w:type="paragraph" w:customStyle="1" w:styleId="xl677">
    <w:name w:val="xl677"/>
    <w:basedOn w:val="Normal"/>
    <w:qFormat/>
    <w:rsid w:val="00A26CD3"/>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right"/>
    </w:pPr>
    <w:rPr>
      <w:rFonts w:ascii="Gotham Book" w:eastAsia="Times New Roman" w:hAnsi="Gotham Book" w:cs="Times New Roman"/>
      <w:b/>
      <w:bCs/>
      <w:sz w:val="20"/>
      <w:szCs w:val="20"/>
      <w:lang w:eastAsia="es-MX"/>
    </w:rPr>
  </w:style>
  <w:style w:type="paragraph" w:customStyle="1" w:styleId="xl678">
    <w:name w:val="xl678"/>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79">
    <w:name w:val="xl679"/>
    <w:basedOn w:val="Normal"/>
    <w:qFormat/>
    <w:rsid w:val="00A26CD3"/>
    <w:pPr>
      <w:pBdr>
        <w:top w:val="single" w:sz="4" w:space="0" w:color="auto"/>
        <w:left w:val="single" w:sz="4" w:space="0" w:color="auto"/>
      </w:pBdr>
      <w:shd w:val="clear" w:color="auto" w:fill="F2F2F2"/>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680">
    <w:name w:val="xl680"/>
    <w:basedOn w:val="Normal"/>
    <w:qFormat/>
    <w:rsid w:val="00A26CD3"/>
    <w:pPr>
      <w:pBdr>
        <w:top w:val="single" w:sz="4" w:space="0" w:color="auto"/>
        <w:right w:val="single" w:sz="4" w:space="0" w:color="auto"/>
      </w:pBdr>
      <w:shd w:val="clear" w:color="auto" w:fill="F2F2F2"/>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681">
    <w:name w:val="xl681"/>
    <w:basedOn w:val="Normal"/>
    <w:qFormat/>
    <w:rsid w:val="00A26CD3"/>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xl682">
    <w:name w:val="xl682"/>
    <w:basedOn w:val="Normal"/>
    <w:qFormat/>
    <w:rsid w:val="00A26CD3"/>
    <w:pPr>
      <w:pBdr>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ascii="Gotham Book" w:eastAsia="Times New Roman" w:hAnsi="Gotham Book" w:cs="Times New Roman"/>
      <w:b/>
      <w:bCs/>
      <w:sz w:val="20"/>
      <w:szCs w:val="20"/>
      <w:lang w:eastAsia="es-MX"/>
    </w:rPr>
  </w:style>
  <w:style w:type="paragraph" w:customStyle="1" w:styleId="Cuadrculamedia21">
    <w:name w:val="Cuadrícula media 21"/>
    <w:uiPriority w:val="1"/>
    <w:qFormat/>
    <w:rsid w:val="00A26CD3"/>
    <w:pPr>
      <w:spacing w:after="0" w:line="240" w:lineRule="auto"/>
    </w:pPr>
    <w:rPr>
      <w:rFonts w:ascii="Cambria" w:eastAsia="MS Mincho" w:hAnsi="Cambria" w:cs="Times New Roman"/>
      <w:sz w:val="24"/>
      <w:szCs w:val="24"/>
      <w:lang w:val="en-US" w:eastAsia="es-ES"/>
    </w:rPr>
  </w:style>
  <w:style w:type="paragraph" w:customStyle="1" w:styleId="epgrafe10">
    <w:name w:val="epígrafe1"/>
    <w:qFormat/>
    <w:rsid w:val="00A26CD3"/>
    <w:pPr>
      <w:tabs>
        <w:tab w:val="left" w:pos="108"/>
        <w:tab w:val="left" w:pos="828"/>
        <w:tab w:val="left" w:pos="1548"/>
        <w:tab w:val="left" w:pos="2268"/>
        <w:tab w:val="left" w:pos="2988"/>
        <w:tab w:val="left" w:pos="3708"/>
        <w:tab w:val="left" w:pos="4428"/>
        <w:tab w:val="left" w:pos="5148"/>
        <w:tab w:val="left" w:pos="5868"/>
        <w:tab w:val="left" w:pos="6588"/>
        <w:tab w:val="left" w:pos="7308"/>
        <w:tab w:val="left" w:pos="8028"/>
        <w:tab w:val="left" w:pos="8748"/>
        <w:tab w:val="left" w:pos="9468"/>
      </w:tabs>
      <w:suppressAutoHyphens/>
      <w:spacing w:after="0" w:line="240" w:lineRule="auto"/>
    </w:pPr>
    <w:rPr>
      <w:rFonts w:ascii="Univers" w:eastAsia="Times New Roman" w:hAnsi="Univers" w:cs="Times New Roman"/>
      <w:sz w:val="24"/>
      <w:szCs w:val="20"/>
      <w:lang w:val="es-ES_tradnl" w:eastAsia="es-ES"/>
    </w:rPr>
  </w:style>
  <w:style w:type="paragraph" w:customStyle="1" w:styleId="p81">
    <w:name w:val="p81"/>
    <w:basedOn w:val="Normal"/>
    <w:uiPriority w:val="99"/>
    <w:qFormat/>
    <w:rsid w:val="00A26CD3"/>
    <w:pPr>
      <w:widowControl w:val="0"/>
      <w:tabs>
        <w:tab w:val="left" w:pos="204"/>
      </w:tabs>
      <w:autoSpaceDE w:val="0"/>
      <w:autoSpaceDN w:val="0"/>
      <w:adjustRightInd w:val="0"/>
      <w:spacing w:after="0" w:line="238" w:lineRule="atLeast"/>
    </w:pPr>
    <w:rPr>
      <w:rFonts w:ascii="Times New Roman" w:eastAsia="Times New Roman" w:hAnsi="Times New Roman" w:cs="Times New Roman"/>
      <w:sz w:val="24"/>
      <w:szCs w:val="24"/>
      <w:lang w:val="en-US" w:eastAsia="es-MX"/>
    </w:rPr>
  </w:style>
  <w:style w:type="paragraph" w:customStyle="1" w:styleId="yiv2907404436msonormal">
    <w:name w:val="yiv2907404436msonormal"/>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yiv1634550987msonormal">
    <w:name w:val="yiv1634550987msonormal"/>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yiv1634550987listacc">
    <w:name w:val="yiv1634550987listacc"/>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tyle100">
    <w:name w:val="Style10"/>
    <w:basedOn w:val="Normal"/>
    <w:uiPriority w:val="99"/>
    <w:qFormat/>
    <w:rsid w:val="00A26CD3"/>
    <w:pPr>
      <w:widowControl w:val="0"/>
      <w:autoSpaceDE w:val="0"/>
      <w:autoSpaceDN w:val="0"/>
      <w:adjustRightInd w:val="0"/>
      <w:spacing w:after="0" w:line="284" w:lineRule="exact"/>
      <w:jc w:val="both"/>
    </w:pPr>
    <w:rPr>
      <w:rFonts w:ascii="Tahoma" w:eastAsia="Times New Roman" w:hAnsi="Tahoma" w:cs="Tahoma"/>
      <w:sz w:val="24"/>
      <w:szCs w:val="24"/>
      <w:lang w:eastAsia="es-MX"/>
    </w:rPr>
  </w:style>
  <w:style w:type="paragraph" w:customStyle="1" w:styleId="Direccininterior">
    <w:name w:val="Dirección interior"/>
    <w:basedOn w:val="Normal"/>
    <w:qFormat/>
    <w:rsid w:val="00A26CD3"/>
    <w:pPr>
      <w:spacing w:after="0" w:line="240" w:lineRule="auto"/>
    </w:pPr>
    <w:rPr>
      <w:rFonts w:ascii="Cambria" w:eastAsia="Cambria" w:hAnsi="Cambria" w:cs="Times New Roman"/>
      <w:sz w:val="24"/>
      <w:szCs w:val="24"/>
      <w:lang w:val="es-ES_tradnl"/>
    </w:rPr>
  </w:style>
  <w:style w:type="paragraph" w:customStyle="1" w:styleId="Remite">
    <w:name w:val="Remite"/>
    <w:basedOn w:val="Normal"/>
    <w:qFormat/>
    <w:rsid w:val="00A26CD3"/>
    <w:pPr>
      <w:spacing w:after="0" w:line="240" w:lineRule="auto"/>
    </w:pPr>
    <w:rPr>
      <w:rFonts w:ascii="Cambria" w:eastAsia="Cambria" w:hAnsi="Cambria" w:cs="Times New Roman"/>
      <w:sz w:val="24"/>
      <w:szCs w:val="24"/>
      <w:lang w:val="es-ES_tradnl"/>
    </w:rPr>
  </w:style>
  <w:style w:type="paragraph" w:customStyle="1" w:styleId="NormalArial">
    <w:name w:val="Normal + Arial"/>
    <w:basedOn w:val="Normal"/>
    <w:uiPriority w:val="99"/>
    <w:qFormat/>
    <w:rsid w:val="00A26CD3"/>
    <w:pPr>
      <w:spacing w:after="0" w:line="240" w:lineRule="auto"/>
    </w:pPr>
    <w:rPr>
      <w:rFonts w:ascii="Arial" w:eastAsia="Times New Roman" w:hAnsi="Arial" w:cs="Arial"/>
      <w:b/>
      <w:bCs/>
      <w:sz w:val="24"/>
      <w:szCs w:val="24"/>
      <w:lang w:eastAsia="es-ES"/>
    </w:rPr>
  </w:style>
  <w:style w:type="character" w:customStyle="1" w:styleId="NAUCPrimerparrCar">
    <w:name w:val="NAUC Primer parr Car"/>
    <w:link w:val="NAUCPrimerparr"/>
    <w:locked/>
    <w:rsid w:val="00A26CD3"/>
    <w:rPr>
      <w:rFonts w:ascii="Arial" w:eastAsia="Calibri" w:hAnsi="Arial" w:cs="Times New Roman"/>
      <w:lang w:val="es-ES"/>
    </w:rPr>
  </w:style>
  <w:style w:type="paragraph" w:customStyle="1" w:styleId="NAUCPrimerparr">
    <w:name w:val="NAUC Primer parr"/>
    <w:basedOn w:val="Normal"/>
    <w:link w:val="NAUCPrimerparrCar"/>
    <w:qFormat/>
    <w:rsid w:val="00A26CD3"/>
    <w:pPr>
      <w:spacing w:before="240" w:after="120" w:line="240" w:lineRule="auto"/>
      <w:jc w:val="both"/>
    </w:pPr>
    <w:rPr>
      <w:rFonts w:ascii="Arial" w:eastAsia="Calibri" w:hAnsi="Arial" w:cs="Times New Roman"/>
      <w:lang w:val="es-ES"/>
    </w:rPr>
  </w:style>
  <w:style w:type="character" w:customStyle="1" w:styleId="BibliografiaCar">
    <w:name w:val="Bibliografia Car"/>
    <w:link w:val="Bibliografia"/>
    <w:locked/>
    <w:rsid w:val="00A26CD3"/>
    <w:rPr>
      <w:rFonts w:ascii="Arial" w:eastAsia="Calibri" w:hAnsi="Arial" w:cs="Times New Roman"/>
      <w:lang w:val="es-ES"/>
    </w:rPr>
  </w:style>
  <w:style w:type="paragraph" w:customStyle="1" w:styleId="Bibliografia">
    <w:name w:val="Bibliografia"/>
    <w:basedOn w:val="NAUCPrimerparr"/>
    <w:link w:val="BibliografiaCar"/>
    <w:qFormat/>
    <w:rsid w:val="00A26CD3"/>
    <w:pPr>
      <w:spacing w:after="240"/>
      <w:ind w:left="567" w:hanging="567"/>
    </w:pPr>
  </w:style>
  <w:style w:type="character" w:customStyle="1" w:styleId="NAUCCeldasOKCar">
    <w:name w:val="NAUC CeldasOK Car"/>
    <w:link w:val="NAUCCeldasOK"/>
    <w:locked/>
    <w:rsid w:val="00A26CD3"/>
    <w:rPr>
      <w:rFonts w:ascii="Arial Narrow" w:eastAsia="Calibri" w:hAnsi="Arial Narrow" w:cs="Times New Roman"/>
      <w:sz w:val="18"/>
      <w:lang w:val="es-ES"/>
    </w:rPr>
  </w:style>
  <w:style w:type="paragraph" w:customStyle="1" w:styleId="NAUCCeldasOK">
    <w:name w:val="NAUC CeldasOK"/>
    <w:basedOn w:val="Normal"/>
    <w:link w:val="NAUCCeldasOKCar"/>
    <w:qFormat/>
    <w:rsid w:val="00A26CD3"/>
    <w:pPr>
      <w:spacing w:after="0" w:line="240" w:lineRule="auto"/>
    </w:pPr>
    <w:rPr>
      <w:rFonts w:ascii="Arial Narrow" w:eastAsia="Calibri" w:hAnsi="Arial Narrow" w:cs="Times New Roman"/>
      <w:sz w:val="18"/>
      <w:lang w:val="es-ES"/>
    </w:rPr>
  </w:style>
  <w:style w:type="character" w:customStyle="1" w:styleId="NAUCTituloTablaCar">
    <w:name w:val="NAUC Titulo Tabla Car"/>
    <w:link w:val="NAUCTituloTabla"/>
    <w:locked/>
    <w:rsid w:val="00A26CD3"/>
    <w:rPr>
      <w:rFonts w:ascii="Arial" w:eastAsia="Batang" w:hAnsi="Arial" w:cs="Arial"/>
      <w:b/>
      <w:bCs/>
      <w:lang w:eastAsia="es-MX"/>
    </w:rPr>
  </w:style>
  <w:style w:type="paragraph" w:customStyle="1" w:styleId="NAUCTituloTabla">
    <w:name w:val="NAUC Titulo Tabla"/>
    <w:basedOn w:val="Normal"/>
    <w:link w:val="NAUCTituloTablaCar"/>
    <w:qFormat/>
    <w:rsid w:val="00A26CD3"/>
    <w:pPr>
      <w:keepNext/>
      <w:spacing w:after="100" w:line="240" w:lineRule="auto"/>
      <w:jc w:val="center"/>
    </w:pPr>
    <w:rPr>
      <w:rFonts w:ascii="Arial" w:eastAsia="Batang" w:hAnsi="Arial" w:cs="Arial"/>
      <w:b/>
      <w:bCs/>
      <w:lang w:eastAsia="es-MX"/>
    </w:rPr>
  </w:style>
  <w:style w:type="paragraph" w:customStyle="1" w:styleId="Body">
    <w:name w:val="Body"/>
    <w:qFormat/>
    <w:rsid w:val="00A26CD3"/>
    <w:pPr>
      <w:spacing w:after="0" w:line="240" w:lineRule="auto"/>
    </w:pPr>
    <w:rPr>
      <w:rFonts w:ascii="Helvetica" w:eastAsia="Arial Unicode MS" w:hAnsi="Arial Unicode MS" w:cs="Arial Unicode MS"/>
      <w:color w:val="000000"/>
      <w:lang w:val="es-ES_tradnl" w:eastAsia="es-MX"/>
    </w:rPr>
  </w:style>
  <w:style w:type="character" w:customStyle="1" w:styleId="NumeracionCar">
    <w:name w:val="Numeracion Car"/>
    <w:link w:val="Numeracion"/>
    <w:locked/>
    <w:rsid w:val="00A26CD3"/>
    <w:rPr>
      <w:rFonts w:ascii="Arial" w:eastAsia="Calibri" w:hAnsi="Arial" w:cs="Times New Roman"/>
      <w:lang w:val="es-ES"/>
    </w:rPr>
  </w:style>
  <w:style w:type="paragraph" w:customStyle="1" w:styleId="Numeracion">
    <w:name w:val="Numeracion"/>
    <w:basedOn w:val="NAUCPrimerparr"/>
    <w:link w:val="NumeracionCar"/>
    <w:qFormat/>
    <w:rsid w:val="00A26CD3"/>
    <w:pPr>
      <w:numPr>
        <w:numId w:val="48"/>
      </w:numPr>
      <w:spacing w:before="0" w:after="0"/>
    </w:pPr>
  </w:style>
  <w:style w:type="character" w:customStyle="1" w:styleId="ListaletrasCar">
    <w:name w:val="Lista letras Car"/>
    <w:link w:val="Listaletras"/>
    <w:locked/>
    <w:rsid w:val="00A26CD3"/>
    <w:rPr>
      <w:rFonts w:ascii="Arial" w:eastAsia="Calibri" w:hAnsi="Arial" w:cs="Times New Roman"/>
      <w:lang w:val="es-ES"/>
    </w:rPr>
  </w:style>
  <w:style w:type="paragraph" w:customStyle="1" w:styleId="Listaletras">
    <w:name w:val="Lista letras"/>
    <w:basedOn w:val="Normal"/>
    <w:link w:val="ListaletrasCar"/>
    <w:autoRedefine/>
    <w:qFormat/>
    <w:rsid w:val="00A26CD3"/>
    <w:pPr>
      <w:numPr>
        <w:numId w:val="49"/>
      </w:numPr>
      <w:spacing w:before="120" w:after="120" w:line="240" w:lineRule="auto"/>
      <w:jc w:val="both"/>
    </w:pPr>
    <w:rPr>
      <w:rFonts w:ascii="Arial" w:eastAsia="Calibri" w:hAnsi="Arial" w:cs="Times New Roman"/>
      <w:lang w:val="es-ES"/>
    </w:rPr>
  </w:style>
  <w:style w:type="paragraph" w:customStyle="1" w:styleId="HeaderFooter">
    <w:name w:val="Header &amp; Footer"/>
    <w:qFormat/>
    <w:rsid w:val="00A26CD3"/>
    <w:pPr>
      <w:tabs>
        <w:tab w:val="right" w:pos="9020"/>
      </w:tabs>
      <w:spacing w:after="0" w:line="240" w:lineRule="auto"/>
    </w:pPr>
    <w:rPr>
      <w:rFonts w:ascii="Helvetica" w:eastAsia="Arial Unicode MS" w:hAnsi="Arial Unicode MS" w:cs="Arial Unicode MS"/>
      <w:color w:val="000000"/>
      <w:sz w:val="24"/>
      <w:szCs w:val="24"/>
      <w:lang w:eastAsia="es-MX"/>
    </w:rPr>
  </w:style>
  <w:style w:type="paragraph" w:customStyle="1" w:styleId="Ttulodocumentoportadilla">
    <w:name w:val="Título documento portadilla"/>
    <w:qFormat/>
    <w:rsid w:val="00A26CD3"/>
    <w:pPr>
      <w:spacing w:after="0" w:line="240" w:lineRule="auto"/>
    </w:pPr>
    <w:rPr>
      <w:rFonts w:ascii="Arial" w:eastAsia="Arial Unicode MS" w:hAnsi="Arial Unicode MS" w:cs="Arial Unicode MS"/>
      <w:color w:val="000000"/>
      <w:sz w:val="24"/>
      <w:szCs w:val="24"/>
      <w:u w:color="000000"/>
      <w:lang w:val="es-ES_tradnl" w:eastAsia="es-MX"/>
    </w:rPr>
  </w:style>
  <w:style w:type="character" w:customStyle="1" w:styleId="NAUCFuenteTablaCar">
    <w:name w:val="NAUC Fuente Tabla Car"/>
    <w:link w:val="NAUCFuenteTabla"/>
    <w:locked/>
    <w:rsid w:val="00A26CD3"/>
    <w:rPr>
      <w:rFonts w:ascii="Arial Narrow" w:eastAsia="Times New Roman" w:hAnsi="Arial Narrow" w:cs="Arial"/>
      <w:noProof/>
      <w:sz w:val="18"/>
      <w:lang w:eastAsia="es-MX"/>
    </w:rPr>
  </w:style>
  <w:style w:type="paragraph" w:customStyle="1" w:styleId="NAUCFuenteTabla">
    <w:name w:val="NAUC Fuente Tabla"/>
    <w:basedOn w:val="Normal"/>
    <w:link w:val="NAUCFuenteTablaCar"/>
    <w:qFormat/>
    <w:rsid w:val="00A26CD3"/>
    <w:pPr>
      <w:spacing w:before="120" w:after="240" w:line="240" w:lineRule="auto"/>
      <w:ind w:left="851" w:right="782"/>
      <w:jc w:val="center"/>
    </w:pPr>
    <w:rPr>
      <w:rFonts w:ascii="Arial Narrow" w:eastAsia="Times New Roman" w:hAnsi="Arial Narrow" w:cs="Arial"/>
      <w:noProof/>
      <w:sz w:val="18"/>
      <w:lang w:eastAsia="es-MX"/>
    </w:rPr>
  </w:style>
  <w:style w:type="character" w:customStyle="1" w:styleId="bulletsJBGCar">
    <w:name w:val="bulletsJBG Car"/>
    <w:link w:val="bulletsJBG"/>
    <w:locked/>
    <w:rsid w:val="00A26CD3"/>
    <w:rPr>
      <w:rFonts w:ascii="Arial" w:eastAsia="Times New Roman" w:hAnsi="Arial" w:cs="Arial"/>
      <w:bCs/>
      <w:lang w:val="es-ES" w:eastAsia="es-ES"/>
    </w:rPr>
  </w:style>
  <w:style w:type="paragraph" w:customStyle="1" w:styleId="bulletsJBG">
    <w:name w:val="bulletsJBG"/>
    <w:basedOn w:val="Prrafodelista"/>
    <w:link w:val="bulletsJBGCar"/>
    <w:autoRedefine/>
    <w:qFormat/>
    <w:rsid w:val="00A26CD3"/>
    <w:pPr>
      <w:numPr>
        <w:ilvl w:val="1"/>
        <w:numId w:val="50"/>
      </w:numPr>
      <w:tabs>
        <w:tab w:val="clear" w:pos="2160"/>
        <w:tab w:val="right" w:pos="284"/>
        <w:tab w:val="left" w:pos="463"/>
        <w:tab w:val="left" w:pos="709"/>
        <w:tab w:val="num" w:pos="1440"/>
        <w:tab w:val="left" w:pos="4320"/>
      </w:tabs>
      <w:spacing w:before="120" w:after="120" w:line="240" w:lineRule="auto"/>
      <w:ind w:left="1440" w:right="134"/>
      <w:contextualSpacing w:val="0"/>
      <w:jc w:val="both"/>
    </w:pPr>
    <w:rPr>
      <w:rFonts w:ascii="Arial" w:eastAsia="Times New Roman" w:hAnsi="Arial" w:cs="Arial"/>
      <w:bCs/>
      <w:lang w:val="es-ES" w:eastAsia="es-ES"/>
    </w:rPr>
  </w:style>
  <w:style w:type="character" w:customStyle="1" w:styleId="bulletsJBG2doNivelCar">
    <w:name w:val="bulletsJBG2doNivel Car"/>
    <w:link w:val="bulletsJBG2doNivel"/>
    <w:locked/>
    <w:rsid w:val="00A26CD3"/>
    <w:rPr>
      <w:rFonts w:ascii="Arial" w:eastAsia="Calibri" w:hAnsi="Arial" w:cs="Arial"/>
      <w:szCs w:val="24"/>
    </w:rPr>
  </w:style>
  <w:style w:type="paragraph" w:customStyle="1" w:styleId="bulletsJBG2doNivel">
    <w:name w:val="bulletsJBG2doNivel"/>
    <w:basedOn w:val="Normal"/>
    <w:link w:val="bulletsJBG2doNivelCar"/>
    <w:qFormat/>
    <w:rsid w:val="00A26CD3"/>
    <w:pPr>
      <w:numPr>
        <w:numId w:val="51"/>
      </w:numPr>
      <w:spacing w:after="0" w:line="240" w:lineRule="auto"/>
      <w:jc w:val="both"/>
    </w:pPr>
    <w:rPr>
      <w:rFonts w:ascii="Arial" w:eastAsia="Calibri" w:hAnsi="Arial" w:cs="Arial"/>
      <w:szCs w:val="24"/>
    </w:rPr>
  </w:style>
  <w:style w:type="character" w:customStyle="1" w:styleId="BulletCar">
    <w:name w:val="Bullet Car"/>
    <w:link w:val="Bullet"/>
    <w:locked/>
    <w:rsid w:val="00A26CD3"/>
    <w:rPr>
      <w:rFonts w:ascii="Arial" w:eastAsia="Calibri" w:hAnsi="Arial" w:cs="Arial"/>
      <w:szCs w:val="24"/>
      <w:lang w:val="es-ES"/>
    </w:rPr>
  </w:style>
  <w:style w:type="paragraph" w:customStyle="1" w:styleId="Bullet">
    <w:name w:val="Bullet"/>
    <w:basedOn w:val="Normal"/>
    <w:link w:val="BulletCar"/>
    <w:qFormat/>
    <w:rsid w:val="00A26CD3"/>
    <w:pPr>
      <w:numPr>
        <w:numId w:val="52"/>
      </w:numPr>
      <w:spacing w:before="120" w:after="120" w:line="240" w:lineRule="auto"/>
      <w:jc w:val="both"/>
    </w:pPr>
    <w:rPr>
      <w:rFonts w:ascii="Arial" w:eastAsia="Calibri" w:hAnsi="Arial" w:cs="Arial"/>
      <w:szCs w:val="24"/>
      <w:lang w:val="es-ES"/>
    </w:rPr>
  </w:style>
  <w:style w:type="character" w:customStyle="1" w:styleId="bulletJBG3Car">
    <w:name w:val="bulletJBG3 Car"/>
    <w:link w:val="bulletJBG3"/>
    <w:locked/>
    <w:rsid w:val="00A26CD3"/>
    <w:rPr>
      <w:rFonts w:ascii="Arial" w:eastAsia="Calibri" w:hAnsi="Arial" w:cs="Arial"/>
      <w:szCs w:val="24"/>
    </w:rPr>
  </w:style>
  <w:style w:type="paragraph" w:customStyle="1" w:styleId="bulletJBG3">
    <w:name w:val="bulletJBG3"/>
    <w:basedOn w:val="bulletsJBG2doNivel"/>
    <w:link w:val="bulletJBG3Car"/>
    <w:qFormat/>
    <w:rsid w:val="00A26CD3"/>
    <w:pPr>
      <w:numPr>
        <w:ilvl w:val="1"/>
        <w:numId w:val="53"/>
      </w:numPr>
    </w:pPr>
  </w:style>
  <w:style w:type="paragraph" w:customStyle="1" w:styleId="Pa0">
    <w:name w:val="Pa0"/>
    <w:basedOn w:val="Normal"/>
    <w:next w:val="Normal"/>
    <w:uiPriority w:val="99"/>
    <w:qFormat/>
    <w:rsid w:val="00A26CD3"/>
    <w:pPr>
      <w:autoSpaceDE w:val="0"/>
      <w:autoSpaceDN w:val="0"/>
      <w:adjustRightInd w:val="0"/>
      <w:spacing w:before="120" w:after="0" w:line="241" w:lineRule="atLeast"/>
      <w:ind w:firstLine="357"/>
      <w:jc w:val="both"/>
    </w:pPr>
    <w:rPr>
      <w:rFonts w:ascii="Eureka Sans" w:eastAsia="Times New Roman" w:hAnsi="Eureka Sans" w:cs="Arial"/>
      <w:sz w:val="24"/>
      <w:szCs w:val="24"/>
      <w:lang w:eastAsia="es-ES"/>
    </w:rPr>
  </w:style>
  <w:style w:type="paragraph" w:customStyle="1" w:styleId="TableHeading">
    <w:name w:val="Table Heading"/>
    <w:basedOn w:val="TableContents"/>
    <w:qFormat/>
    <w:rsid w:val="00A26CD3"/>
    <w:pPr>
      <w:suppressLineNumbers w:val="0"/>
      <w:suppressAutoHyphens w:val="0"/>
      <w:autoSpaceDN/>
    </w:pPr>
    <w:rPr>
      <w:rFonts w:ascii="Calibri" w:eastAsia="Calibri" w:hAnsi="Calibri" w:cs="Times New Roman"/>
      <w:kern w:val="0"/>
      <w:sz w:val="22"/>
      <w:szCs w:val="22"/>
      <w:lang w:eastAsia="en-US" w:bidi="ar-SA"/>
    </w:rPr>
  </w:style>
  <w:style w:type="paragraph" w:customStyle="1" w:styleId="Pa19">
    <w:name w:val="Pa19"/>
    <w:basedOn w:val="Normal"/>
    <w:next w:val="Normal"/>
    <w:qFormat/>
    <w:rsid w:val="00A26CD3"/>
    <w:pPr>
      <w:widowControl w:val="0"/>
      <w:autoSpaceDE w:val="0"/>
      <w:autoSpaceDN w:val="0"/>
      <w:adjustRightInd w:val="0"/>
      <w:spacing w:before="120" w:after="0" w:line="221" w:lineRule="atLeast"/>
      <w:ind w:firstLine="357"/>
      <w:jc w:val="both"/>
    </w:pPr>
    <w:rPr>
      <w:rFonts w:ascii="Perpetua" w:eastAsia="Times New Roman" w:hAnsi="Perpetua" w:cs="Liberation Sans"/>
      <w:sz w:val="24"/>
      <w:szCs w:val="24"/>
      <w:lang w:val="es-ES_tradnl" w:eastAsia="zh-CN" w:bidi="hi-IN"/>
    </w:rPr>
  </w:style>
  <w:style w:type="character" w:customStyle="1" w:styleId="NotaalPieCar">
    <w:name w:val="Nota al Pie Car"/>
    <w:link w:val="NotaalPie"/>
    <w:locked/>
    <w:rsid w:val="00A26CD3"/>
    <w:rPr>
      <w:rFonts w:ascii="Arial Narrow" w:eastAsia="Times New Roman" w:hAnsi="Arial Narrow" w:cs="Arial"/>
      <w:iCs/>
      <w:color w:val="000000"/>
      <w:sz w:val="20"/>
      <w:lang w:eastAsia="es-MX"/>
    </w:rPr>
  </w:style>
  <w:style w:type="paragraph" w:customStyle="1" w:styleId="NotaalPie">
    <w:name w:val="Nota al Pie"/>
    <w:basedOn w:val="Cita"/>
    <w:link w:val="NotaalPieCar"/>
    <w:autoRedefine/>
    <w:qFormat/>
    <w:rsid w:val="00A26CD3"/>
    <w:pPr>
      <w:spacing w:before="0" w:after="0" w:line="240" w:lineRule="auto"/>
      <w:ind w:left="0" w:right="0"/>
      <w:jc w:val="both"/>
    </w:pPr>
    <w:rPr>
      <w:rFonts w:ascii="Arial Narrow" w:eastAsia="Times New Roman" w:hAnsi="Arial Narrow" w:cs="Arial"/>
      <w:i w:val="0"/>
      <w:color w:val="000000"/>
      <w:sz w:val="20"/>
      <w:lang w:eastAsia="es-MX"/>
    </w:rPr>
  </w:style>
  <w:style w:type="paragraph" w:customStyle="1" w:styleId="ANEXOEPIGRAFE">
    <w:name w:val="ANEXO EPIGRAFE"/>
    <w:basedOn w:val="Descripcin"/>
    <w:qFormat/>
    <w:rsid w:val="00A26CD3"/>
    <w:pPr>
      <w:spacing w:after="0"/>
      <w:jc w:val="left"/>
    </w:pPr>
    <w:rPr>
      <w:rFonts w:asciiTheme="minorHAnsi" w:eastAsiaTheme="minorHAnsi" w:hAnsiTheme="minorHAnsi" w:cstheme="minorBidi"/>
      <w:b w:val="0"/>
      <w:bCs w:val="0"/>
      <w:color w:val="000000"/>
      <w:kern w:val="2"/>
      <w:sz w:val="24"/>
      <w:lang w:eastAsia="en-US"/>
      <w14:ligatures w14:val="standardContextual"/>
    </w:rPr>
  </w:style>
  <w:style w:type="character" w:customStyle="1" w:styleId="TABLAJBGCar">
    <w:name w:val="TABLAJBG Car"/>
    <w:link w:val="TABLAJBG"/>
    <w:locked/>
    <w:rsid w:val="00A26CD3"/>
    <w:rPr>
      <w:rFonts w:ascii="Arial Narrow" w:eastAsia="Times New Roman" w:hAnsi="Arial Narrow" w:cs="Arial"/>
    </w:rPr>
  </w:style>
  <w:style w:type="paragraph" w:customStyle="1" w:styleId="TABLAJBG">
    <w:name w:val="TABLAJBG"/>
    <w:basedOn w:val="Prrafodelista"/>
    <w:link w:val="TABLAJBGCar"/>
    <w:qFormat/>
    <w:rsid w:val="00A26CD3"/>
    <w:pPr>
      <w:tabs>
        <w:tab w:val="right" w:pos="284"/>
        <w:tab w:val="left" w:pos="463"/>
        <w:tab w:val="left" w:pos="4320"/>
      </w:tabs>
      <w:spacing w:before="120" w:after="120" w:line="240" w:lineRule="auto"/>
      <w:ind w:left="0" w:right="134"/>
    </w:pPr>
    <w:rPr>
      <w:rFonts w:ascii="Arial Narrow" w:eastAsia="Times New Roman" w:hAnsi="Arial Narrow" w:cs="Arial"/>
    </w:rPr>
  </w:style>
  <w:style w:type="character" w:customStyle="1" w:styleId="TABLAGASTCar">
    <w:name w:val="TABLA GAST Car"/>
    <w:link w:val="TABLAGAST"/>
    <w:locked/>
    <w:rsid w:val="00A26CD3"/>
    <w:rPr>
      <w:rFonts w:ascii="Arial Narrow" w:eastAsia="Calibri" w:hAnsi="Arial Narrow" w:cs="Arial"/>
      <w:b/>
      <w:sz w:val="20"/>
      <w:szCs w:val="20"/>
      <w:lang w:val="es-ES"/>
    </w:rPr>
  </w:style>
  <w:style w:type="paragraph" w:customStyle="1" w:styleId="TABLAGAST">
    <w:name w:val="TABLA GAST"/>
    <w:basedOn w:val="Sinespaciado"/>
    <w:link w:val="TABLAGASTCar"/>
    <w:qFormat/>
    <w:rsid w:val="00A26CD3"/>
    <w:pPr>
      <w:jc w:val="center"/>
    </w:pPr>
    <w:rPr>
      <w:rFonts w:ascii="Arial Narrow" w:eastAsia="Calibri" w:hAnsi="Arial Narrow" w:cs="Arial"/>
      <w:b/>
      <w:sz w:val="20"/>
      <w:szCs w:val="20"/>
      <w:lang w:val="es-ES"/>
    </w:rPr>
  </w:style>
  <w:style w:type="paragraph" w:customStyle="1" w:styleId="contenttxt">
    <w:name w:val="content_txt"/>
    <w:basedOn w:val="Normal"/>
    <w:uiPriority w:val="99"/>
    <w:qFormat/>
    <w:rsid w:val="00A26CD3"/>
    <w:pPr>
      <w:spacing w:after="0" w:line="314" w:lineRule="atLeast"/>
      <w:jc w:val="both"/>
    </w:pPr>
    <w:rPr>
      <w:rFonts w:ascii="Times New Roman" w:eastAsia="Calibri" w:hAnsi="Times New Roman" w:cs="Times New Roman"/>
      <w:sz w:val="24"/>
      <w:szCs w:val="24"/>
      <w:lang w:val="es-ES" w:eastAsia="es-ES"/>
    </w:rPr>
  </w:style>
  <w:style w:type="character" w:customStyle="1" w:styleId="SecuenBulletCar">
    <w:name w:val="SecuenBullet Car"/>
    <w:link w:val="SecuenBullet"/>
    <w:locked/>
    <w:rsid w:val="00A26CD3"/>
    <w:rPr>
      <w:rFonts w:ascii="Arial" w:eastAsia="Calibri" w:hAnsi="Arial" w:cs="Times New Roman"/>
      <w:lang w:val="es-ES"/>
    </w:rPr>
  </w:style>
  <w:style w:type="paragraph" w:customStyle="1" w:styleId="SecuenBullet">
    <w:name w:val="SecuenBullet"/>
    <w:basedOn w:val="Normal"/>
    <w:link w:val="SecuenBulletCar"/>
    <w:qFormat/>
    <w:rsid w:val="00A26CD3"/>
    <w:pPr>
      <w:spacing w:before="120" w:after="120" w:line="240" w:lineRule="auto"/>
      <w:ind w:left="680"/>
      <w:jc w:val="both"/>
    </w:pPr>
    <w:rPr>
      <w:rFonts w:ascii="Arial" w:eastAsia="Calibri" w:hAnsi="Arial" w:cs="Times New Roman"/>
      <w:lang w:val="es-ES"/>
    </w:rPr>
  </w:style>
  <w:style w:type="character" w:customStyle="1" w:styleId="CIATCar">
    <w:name w:val="CIAT Car"/>
    <w:link w:val="CIAT"/>
    <w:locked/>
    <w:rsid w:val="00A26CD3"/>
    <w:rPr>
      <w:rFonts w:ascii="Arial" w:eastAsia="Times New Roman" w:hAnsi="Arial" w:cs="Arial"/>
      <w:sz w:val="20"/>
      <w:szCs w:val="20"/>
      <w:lang w:val="es-ES" w:eastAsia="es-MX"/>
    </w:rPr>
  </w:style>
  <w:style w:type="paragraph" w:customStyle="1" w:styleId="CIAT">
    <w:name w:val="CIAT"/>
    <w:basedOn w:val="Normal"/>
    <w:link w:val="CIATCar"/>
    <w:autoRedefine/>
    <w:qFormat/>
    <w:rsid w:val="00A26CD3"/>
    <w:pPr>
      <w:jc w:val="both"/>
    </w:pPr>
    <w:rPr>
      <w:rFonts w:ascii="Arial" w:eastAsia="Times New Roman" w:hAnsi="Arial" w:cs="Arial"/>
      <w:sz w:val="20"/>
      <w:szCs w:val="20"/>
      <w:lang w:val="es-ES" w:eastAsia="es-MX"/>
    </w:rPr>
  </w:style>
  <w:style w:type="character" w:customStyle="1" w:styleId="CIAT2Car">
    <w:name w:val="CIAT2 Car"/>
    <w:link w:val="CIAT2"/>
    <w:locked/>
    <w:rsid w:val="00A26CD3"/>
    <w:rPr>
      <w:rFonts w:ascii="Arial" w:eastAsia="Times New Roman" w:hAnsi="Arial" w:cs="Arial"/>
      <w:sz w:val="20"/>
      <w:szCs w:val="20"/>
      <w:lang w:val="es-ES" w:eastAsia="es-MX"/>
    </w:rPr>
  </w:style>
  <w:style w:type="paragraph" w:customStyle="1" w:styleId="CIAT2">
    <w:name w:val="CIAT2"/>
    <w:basedOn w:val="CIAT"/>
    <w:next w:val="CIAT"/>
    <w:link w:val="CIAT2Car"/>
    <w:autoRedefine/>
    <w:qFormat/>
    <w:rsid w:val="00A26CD3"/>
    <w:pPr>
      <w:spacing w:after="200" w:line="288" w:lineRule="auto"/>
    </w:pPr>
  </w:style>
  <w:style w:type="character" w:customStyle="1" w:styleId="NAUCIMAGENCar">
    <w:name w:val="NAUC IMAGEN Car"/>
    <w:link w:val="NAUCIMAGEN"/>
    <w:locked/>
    <w:rsid w:val="00A26CD3"/>
    <w:rPr>
      <w:rFonts w:ascii="Arial" w:eastAsia="Calibri" w:hAnsi="Arial" w:cs="Times New Roman"/>
      <w:noProof/>
      <w:lang w:val="es-ES" w:eastAsia="es-MX"/>
    </w:rPr>
  </w:style>
  <w:style w:type="paragraph" w:customStyle="1" w:styleId="NAUCIMAGEN">
    <w:name w:val="NAUC IMAGEN"/>
    <w:basedOn w:val="NAUCPrimerparr"/>
    <w:link w:val="NAUCIMAGENCar"/>
    <w:qFormat/>
    <w:rsid w:val="00A26CD3"/>
    <w:pPr>
      <w:spacing w:before="60" w:after="60"/>
      <w:jc w:val="center"/>
    </w:pPr>
    <w:rPr>
      <w:noProof/>
      <w:lang w:eastAsia="es-MX"/>
    </w:rPr>
  </w:style>
  <w:style w:type="character" w:customStyle="1" w:styleId="NAUCCeldas2018Car">
    <w:name w:val="NAUC Celdas 2018 Car"/>
    <w:link w:val="NAUCCeldas2018"/>
    <w:locked/>
    <w:rsid w:val="00A26CD3"/>
    <w:rPr>
      <w:rFonts w:ascii="Arial Narrow" w:eastAsia="Times New Roman" w:hAnsi="Arial Narrow" w:cs="Arial"/>
      <w:sz w:val="18"/>
      <w:lang w:val="es-ES" w:eastAsia="es-ES"/>
    </w:rPr>
  </w:style>
  <w:style w:type="paragraph" w:customStyle="1" w:styleId="NAUCCeldas2018">
    <w:name w:val="NAUC Celdas 2018"/>
    <w:basedOn w:val="NAUCPrimerparr"/>
    <w:link w:val="NAUCCeldas2018Car"/>
    <w:autoRedefine/>
    <w:qFormat/>
    <w:rsid w:val="00A26CD3"/>
    <w:pPr>
      <w:spacing w:before="0" w:after="0"/>
      <w:jc w:val="center"/>
    </w:pPr>
    <w:rPr>
      <w:rFonts w:ascii="Arial Narrow" w:eastAsia="Times New Roman" w:hAnsi="Arial Narrow" w:cs="Arial"/>
      <w:sz w:val="18"/>
      <w:lang w:eastAsia="es-ES"/>
    </w:rPr>
  </w:style>
  <w:style w:type="paragraph" w:styleId="TDC4">
    <w:name w:val="toc 4"/>
    <w:basedOn w:val="Normal"/>
    <w:next w:val="Normal"/>
    <w:autoRedefine/>
    <w:unhideWhenUsed/>
    <w:rsid w:val="00A26CD3"/>
    <w:pPr>
      <w:spacing w:after="0" w:line="240" w:lineRule="auto"/>
      <w:ind w:left="600"/>
      <w:jc w:val="both"/>
    </w:pPr>
    <w:rPr>
      <w:rFonts w:ascii="Arial" w:eastAsia="Times New Roman" w:hAnsi="Arial" w:cs="Times New Roman"/>
      <w:sz w:val="18"/>
      <w:szCs w:val="18"/>
      <w:lang w:eastAsia="es-ES"/>
    </w:rPr>
  </w:style>
  <w:style w:type="character" w:customStyle="1" w:styleId="IndiceCar0">
    <w:name w:val="Indice Car"/>
    <w:link w:val="Indice0"/>
    <w:locked/>
    <w:rsid w:val="00A26CD3"/>
    <w:rPr>
      <w:rFonts w:ascii="Arial Narrow" w:eastAsia="Calibri" w:hAnsi="Arial Narrow" w:cs="Calibri"/>
      <w:noProof/>
      <w:color w:val="833C0C"/>
      <w:sz w:val="20"/>
      <w:szCs w:val="18"/>
      <w:lang w:val="es-ES"/>
    </w:rPr>
  </w:style>
  <w:style w:type="paragraph" w:customStyle="1" w:styleId="Indice0">
    <w:name w:val="Indice"/>
    <w:basedOn w:val="TDC4"/>
    <w:link w:val="IndiceCar0"/>
    <w:qFormat/>
    <w:rsid w:val="00A26CD3"/>
    <w:pPr>
      <w:tabs>
        <w:tab w:val="left" w:pos="1418"/>
        <w:tab w:val="right" w:leader="dot" w:pos="8885"/>
      </w:tabs>
      <w:spacing w:after="60"/>
      <w:ind w:left="1134"/>
    </w:pPr>
    <w:rPr>
      <w:rFonts w:ascii="Arial Narrow" w:eastAsia="Calibri" w:hAnsi="Arial Narrow" w:cs="Calibri"/>
      <w:noProof/>
      <w:color w:val="833C0C"/>
      <w:sz w:val="20"/>
      <w:lang w:val="es-ES" w:eastAsia="en-US"/>
    </w:rPr>
  </w:style>
  <w:style w:type="character" w:customStyle="1" w:styleId="PiegraficoCar">
    <w:name w:val="Pie grafico Car"/>
    <w:link w:val="Piegrafico"/>
    <w:locked/>
    <w:rsid w:val="00A26CD3"/>
    <w:rPr>
      <w:rFonts w:ascii="Arial" w:eastAsia="Calibri" w:hAnsi="Arial" w:cs="Arial"/>
      <w:sz w:val="18"/>
      <w:lang w:eastAsia="es-MX"/>
    </w:rPr>
  </w:style>
  <w:style w:type="paragraph" w:customStyle="1" w:styleId="Piegrafico">
    <w:name w:val="Pie grafico"/>
    <w:basedOn w:val="Normal"/>
    <w:link w:val="PiegraficoCar"/>
    <w:qFormat/>
    <w:rsid w:val="00A26CD3"/>
    <w:pPr>
      <w:spacing w:line="240" w:lineRule="auto"/>
      <w:jc w:val="center"/>
    </w:pPr>
    <w:rPr>
      <w:rFonts w:ascii="Arial" w:eastAsia="Calibri" w:hAnsi="Arial" w:cs="Arial"/>
      <w:sz w:val="18"/>
      <w:lang w:eastAsia="es-MX"/>
    </w:rPr>
  </w:style>
  <w:style w:type="character" w:customStyle="1" w:styleId="4ArtculoCar">
    <w:name w:val="4. Artículo Car"/>
    <w:link w:val="4Artculo"/>
    <w:locked/>
    <w:rsid w:val="00A26CD3"/>
    <w:rPr>
      <w:rFonts w:ascii="Arial" w:eastAsia="Calibri" w:hAnsi="Arial" w:cs="Arial"/>
    </w:rPr>
  </w:style>
  <w:style w:type="paragraph" w:customStyle="1" w:styleId="4Artculo">
    <w:name w:val="4. Artículo"/>
    <w:basedOn w:val="Normal"/>
    <w:link w:val="4ArtculoCar"/>
    <w:qFormat/>
    <w:rsid w:val="00A26CD3"/>
    <w:pPr>
      <w:numPr>
        <w:numId w:val="54"/>
      </w:numPr>
      <w:spacing w:after="120" w:line="240" w:lineRule="auto"/>
      <w:jc w:val="both"/>
    </w:pPr>
    <w:rPr>
      <w:rFonts w:ascii="Arial" w:eastAsia="Calibri" w:hAnsi="Arial" w:cs="Arial"/>
    </w:rPr>
  </w:style>
  <w:style w:type="paragraph" w:customStyle="1" w:styleId="Textoppal">
    <w:name w:val="Texto ppal."/>
    <w:qFormat/>
    <w:rsid w:val="00A26CD3"/>
    <w:pPr>
      <w:spacing w:after="0" w:line="240" w:lineRule="auto"/>
      <w:jc w:val="both"/>
    </w:pPr>
    <w:rPr>
      <w:rFonts w:ascii="Arial" w:eastAsia="Times New Roman" w:hAnsi="Arial" w:cs="Times New Roman"/>
      <w:sz w:val="24"/>
      <w:szCs w:val="20"/>
      <w:lang w:val="es-ES" w:eastAsia="es-MX"/>
    </w:rPr>
  </w:style>
  <w:style w:type="paragraph" w:customStyle="1" w:styleId="Simple">
    <w:name w:val="Simple"/>
    <w:qFormat/>
    <w:rsid w:val="00A26CD3"/>
    <w:pPr>
      <w:snapToGrid w:val="0"/>
      <w:spacing w:after="0" w:line="240" w:lineRule="auto"/>
    </w:pPr>
    <w:rPr>
      <w:rFonts w:ascii="Times New Roman" w:eastAsia="Times New Roman" w:hAnsi="Times New Roman" w:cs="Times New Roman"/>
      <w:color w:val="000000"/>
      <w:sz w:val="24"/>
      <w:szCs w:val="20"/>
      <w:lang w:val="es-ES" w:eastAsia="es-ES"/>
    </w:rPr>
  </w:style>
  <w:style w:type="paragraph" w:customStyle="1" w:styleId="resume">
    <w:name w:val="resume"/>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informesty">
    <w:name w:val="informe.sty"/>
    <w:basedOn w:val="Normal"/>
    <w:qFormat/>
    <w:rsid w:val="00A26CD3"/>
    <w:pPr>
      <w:overflowPunct w:val="0"/>
      <w:autoSpaceDE w:val="0"/>
      <w:autoSpaceDN w:val="0"/>
      <w:adjustRightInd w:val="0"/>
      <w:spacing w:after="0" w:line="238" w:lineRule="exact"/>
      <w:ind w:left="567" w:right="567"/>
      <w:jc w:val="both"/>
    </w:pPr>
    <w:rPr>
      <w:rFonts w:ascii="Arial" w:eastAsia="Times New Roman" w:hAnsi="Arial" w:cs="Times New Roman"/>
      <w:sz w:val="20"/>
      <w:szCs w:val="20"/>
      <w:lang w:eastAsia="es-MX"/>
    </w:rPr>
  </w:style>
  <w:style w:type="character" w:customStyle="1" w:styleId="TextoRegCar">
    <w:name w:val="TextoReg Car"/>
    <w:link w:val="TextoReg"/>
    <w:locked/>
    <w:rsid w:val="00A26CD3"/>
    <w:rPr>
      <w:rFonts w:ascii="Arial Narrow" w:eastAsia="Times New Roman" w:hAnsi="Arial Narrow" w:cs="Tahoma"/>
      <w:sz w:val="24"/>
      <w:szCs w:val="24"/>
      <w:lang w:eastAsia="es-ES"/>
    </w:rPr>
  </w:style>
  <w:style w:type="paragraph" w:customStyle="1" w:styleId="TextoReg">
    <w:name w:val="TextoReg"/>
    <w:basedOn w:val="Normal"/>
    <w:link w:val="TextoRegCar"/>
    <w:qFormat/>
    <w:rsid w:val="00A26CD3"/>
    <w:pPr>
      <w:snapToGrid w:val="0"/>
      <w:spacing w:after="60" w:line="288" w:lineRule="auto"/>
      <w:ind w:firstLine="238"/>
      <w:jc w:val="both"/>
    </w:pPr>
    <w:rPr>
      <w:rFonts w:ascii="Arial Narrow" w:eastAsia="Times New Roman" w:hAnsi="Arial Narrow" w:cs="Tahoma"/>
      <w:sz w:val="24"/>
      <w:szCs w:val="24"/>
      <w:lang w:eastAsia="es-ES"/>
    </w:rPr>
  </w:style>
  <w:style w:type="character" w:customStyle="1" w:styleId="CuadroRglSinSangraCar">
    <w:name w:val="CuadroRglSinSangría Car"/>
    <w:link w:val="CuadroRglSinSangra"/>
    <w:locked/>
    <w:rsid w:val="00A26CD3"/>
    <w:rPr>
      <w:rFonts w:ascii="Arial Narrow" w:eastAsia="Calibri" w:hAnsi="Arial Narrow" w:cs="Tahoma"/>
      <w:sz w:val="20"/>
      <w:szCs w:val="20"/>
      <w:lang w:eastAsia="es-ES"/>
    </w:rPr>
  </w:style>
  <w:style w:type="paragraph" w:customStyle="1" w:styleId="CuadroRglSinSangra">
    <w:name w:val="CuadroRglSinSangría"/>
    <w:basedOn w:val="Normal"/>
    <w:link w:val="CuadroRglSinSangraCar"/>
    <w:qFormat/>
    <w:rsid w:val="00A26CD3"/>
    <w:pPr>
      <w:snapToGrid w:val="0"/>
      <w:spacing w:after="60" w:line="240" w:lineRule="auto"/>
    </w:pPr>
    <w:rPr>
      <w:rFonts w:ascii="Arial Narrow" w:eastAsia="Calibri" w:hAnsi="Arial Narrow" w:cs="Tahoma"/>
      <w:sz w:val="20"/>
      <w:szCs w:val="20"/>
      <w:lang w:eastAsia="es-ES"/>
    </w:rPr>
  </w:style>
  <w:style w:type="paragraph" w:customStyle="1" w:styleId="Foto">
    <w:name w:val="Foto"/>
    <w:basedOn w:val="TextoReg"/>
    <w:qFormat/>
    <w:rsid w:val="00A26CD3"/>
    <w:pPr>
      <w:keepNext/>
      <w:spacing w:after="0" w:line="240" w:lineRule="auto"/>
      <w:ind w:firstLine="0"/>
      <w:jc w:val="left"/>
    </w:pPr>
  </w:style>
  <w:style w:type="paragraph" w:customStyle="1" w:styleId="Pa8">
    <w:name w:val="Pa8"/>
    <w:basedOn w:val="Normal"/>
    <w:next w:val="Normal"/>
    <w:uiPriority w:val="99"/>
    <w:qFormat/>
    <w:rsid w:val="00A26CD3"/>
    <w:pPr>
      <w:autoSpaceDE w:val="0"/>
      <w:autoSpaceDN w:val="0"/>
      <w:adjustRightInd w:val="0"/>
      <w:spacing w:after="0" w:line="201" w:lineRule="atLeast"/>
    </w:pPr>
    <w:rPr>
      <w:rFonts w:ascii="Soberana Texto" w:eastAsia="Calibri" w:hAnsi="Soberana Texto" w:cs="Arial"/>
      <w:sz w:val="24"/>
      <w:szCs w:val="24"/>
      <w:lang w:val="en-US"/>
    </w:rPr>
  </w:style>
  <w:style w:type="character" w:customStyle="1" w:styleId="Estilo1aCar">
    <w:name w:val="Estilo1a Car"/>
    <w:link w:val="Estilo1a"/>
    <w:locked/>
    <w:rsid w:val="00A26CD3"/>
    <w:rPr>
      <w:rFonts w:ascii="Arial" w:eastAsia="Arial" w:hAnsi="Arial" w:cs="Arial"/>
      <w:b/>
      <w:bCs/>
      <w:color w:val="3A0000"/>
      <w:sz w:val="32"/>
      <w:szCs w:val="32"/>
      <w:shd w:val="clear" w:color="auto" w:fill="E0DBFD"/>
      <w:lang w:val="es-ES"/>
    </w:rPr>
  </w:style>
  <w:style w:type="paragraph" w:customStyle="1" w:styleId="Estilo1a">
    <w:name w:val="Estilo1a"/>
    <w:basedOn w:val="Prrafodelista"/>
    <w:link w:val="Estilo1aCar"/>
    <w:qFormat/>
    <w:rsid w:val="00A26CD3"/>
    <w:pPr>
      <w:numPr>
        <w:ilvl w:val="1"/>
        <w:numId w:val="55"/>
      </w:numPr>
      <w:shd w:val="clear" w:color="auto" w:fill="E0DBFD"/>
      <w:tabs>
        <w:tab w:val="left" w:pos="142"/>
        <w:tab w:val="right" w:pos="284"/>
        <w:tab w:val="left" w:pos="463"/>
        <w:tab w:val="left" w:pos="4320"/>
        <w:tab w:val="left" w:pos="9923"/>
      </w:tabs>
      <w:spacing w:before="120" w:after="120" w:line="240" w:lineRule="auto"/>
      <w:ind w:left="851" w:right="134" w:hanging="993"/>
    </w:pPr>
    <w:rPr>
      <w:rFonts w:ascii="Arial" w:eastAsia="Arial" w:hAnsi="Arial" w:cs="Arial"/>
      <w:b/>
      <w:bCs/>
      <w:color w:val="3A0000"/>
      <w:sz w:val="32"/>
      <w:szCs w:val="32"/>
      <w:lang w:val="es-ES"/>
    </w:rPr>
  </w:style>
  <w:style w:type="character" w:customStyle="1" w:styleId="TextoBaseCar">
    <w:name w:val="Texto Base Car"/>
    <w:link w:val="TextoBase"/>
    <w:locked/>
    <w:rsid w:val="00A26CD3"/>
    <w:rPr>
      <w:rFonts w:ascii="Arial" w:eastAsia="Calibri" w:hAnsi="Arial" w:cs="Arial"/>
    </w:rPr>
  </w:style>
  <w:style w:type="paragraph" w:customStyle="1" w:styleId="TextoBase">
    <w:name w:val="Texto Base"/>
    <w:basedOn w:val="Normal"/>
    <w:link w:val="TextoBaseCar"/>
    <w:qFormat/>
    <w:rsid w:val="00A26CD3"/>
    <w:pPr>
      <w:jc w:val="both"/>
    </w:pPr>
    <w:rPr>
      <w:rFonts w:ascii="Arial" w:eastAsia="Calibri" w:hAnsi="Arial" w:cs="Arial"/>
    </w:rPr>
  </w:style>
  <w:style w:type="character" w:customStyle="1" w:styleId="SegundoParrCar">
    <w:name w:val="Segundo Parr Car"/>
    <w:link w:val="SegundoParr"/>
    <w:locked/>
    <w:rsid w:val="00A26CD3"/>
    <w:rPr>
      <w:rFonts w:ascii="Arial" w:eastAsia="Calibri" w:hAnsi="Arial" w:cs="Arial"/>
    </w:rPr>
  </w:style>
  <w:style w:type="paragraph" w:customStyle="1" w:styleId="SegundoParr">
    <w:name w:val="Segundo Parr"/>
    <w:basedOn w:val="Normal"/>
    <w:link w:val="SegundoParrCar"/>
    <w:qFormat/>
    <w:rsid w:val="00A26CD3"/>
    <w:pPr>
      <w:spacing w:before="120" w:after="120" w:line="240" w:lineRule="auto"/>
      <w:ind w:firstLine="708"/>
      <w:jc w:val="both"/>
    </w:pPr>
    <w:rPr>
      <w:rFonts w:ascii="Arial" w:eastAsia="Calibri" w:hAnsi="Arial" w:cs="Arial"/>
    </w:rPr>
  </w:style>
  <w:style w:type="character" w:customStyle="1" w:styleId="NAUNumNv4Car">
    <w:name w:val="NAU NumNv4 Car"/>
    <w:link w:val="NAUNumNv4"/>
    <w:locked/>
    <w:rsid w:val="00A26CD3"/>
    <w:rPr>
      <w:rFonts w:ascii="Arial" w:eastAsia="Times New Roman" w:hAnsi="Arial" w:cs="Arial"/>
      <w:b/>
      <w:bCs/>
      <w:noProof/>
      <w:color w:val="833C0C"/>
      <w:spacing w:val="30"/>
      <w:sz w:val="26"/>
      <w:szCs w:val="18"/>
      <w:lang w:eastAsia="es-ES"/>
    </w:rPr>
  </w:style>
  <w:style w:type="paragraph" w:customStyle="1" w:styleId="NAUNumNv4">
    <w:name w:val="NAU NumNv4"/>
    <w:basedOn w:val="Ttulo3"/>
    <w:link w:val="NAUNumNv4Car"/>
    <w:qFormat/>
    <w:rsid w:val="00A26CD3"/>
    <w:pPr>
      <w:keepLines w:val="0"/>
      <w:numPr>
        <w:numId w:val="56"/>
      </w:numPr>
      <w:spacing w:before="600" w:after="120" w:line="240" w:lineRule="auto"/>
      <w:ind w:left="357" w:hanging="357"/>
      <w:outlineLvl w:val="3"/>
    </w:pPr>
    <w:rPr>
      <w:rFonts w:ascii="Arial" w:hAnsi="Arial" w:cs="Arial"/>
      <w:b/>
      <w:bCs/>
      <w:noProof/>
      <w:color w:val="833C0C"/>
      <w:spacing w:val="30"/>
      <w:sz w:val="26"/>
      <w:szCs w:val="18"/>
      <w:lang w:eastAsia="es-ES"/>
    </w:rPr>
  </w:style>
  <w:style w:type="character" w:customStyle="1" w:styleId="NAUCTablaPlainCar">
    <w:name w:val="NAUC TablaPlain Car"/>
    <w:link w:val="NAUCTablaPlain"/>
    <w:locked/>
    <w:rsid w:val="00A26CD3"/>
    <w:rPr>
      <w:rFonts w:ascii="Arial Narrow" w:eastAsia="Calibri" w:hAnsi="Arial Narrow" w:cs="Times New Roman"/>
      <w:bCs/>
      <w:sz w:val="18"/>
      <w:szCs w:val="18"/>
      <w:lang w:val="es-ES"/>
    </w:rPr>
  </w:style>
  <w:style w:type="paragraph" w:customStyle="1" w:styleId="NAUCTablaPlain">
    <w:name w:val="NAUC TablaPlain"/>
    <w:basedOn w:val="Normal"/>
    <w:link w:val="NAUCTablaPlainCar"/>
    <w:qFormat/>
    <w:rsid w:val="00A26CD3"/>
    <w:pPr>
      <w:spacing w:after="0" w:line="240" w:lineRule="auto"/>
      <w:jc w:val="center"/>
    </w:pPr>
    <w:rPr>
      <w:rFonts w:ascii="Arial Narrow" w:eastAsia="Calibri" w:hAnsi="Arial Narrow" w:cs="Times New Roman"/>
      <w:bCs/>
      <w:sz w:val="18"/>
      <w:szCs w:val="18"/>
      <w:lang w:val="es-ES"/>
    </w:rPr>
  </w:style>
  <w:style w:type="character" w:customStyle="1" w:styleId="NAULetraNv3Car">
    <w:name w:val="NAU LetraNv3 Car"/>
    <w:link w:val="NAULetraNv3"/>
    <w:locked/>
    <w:rsid w:val="00A26CD3"/>
    <w:rPr>
      <w:rFonts w:ascii="Arial" w:eastAsia="Times New Roman" w:hAnsi="Arial" w:cs="Arial"/>
      <w:b/>
      <w:bCs/>
      <w:noProof/>
      <w:color w:val="833C0C"/>
      <w:spacing w:val="30"/>
      <w:sz w:val="26"/>
      <w:szCs w:val="18"/>
      <w:lang w:eastAsia="es-ES"/>
    </w:rPr>
  </w:style>
  <w:style w:type="paragraph" w:customStyle="1" w:styleId="NAULetraNv3">
    <w:name w:val="NAU LetraNv3"/>
    <w:basedOn w:val="Ttulo3"/>
    <w:link w:val="NAULetraNv3Car"/>
    <w:qFormat/>
    <w:rsid w:val="00A26CD3"/>
    <w:pPr>
      <w:keepLines w:val="0"/>
      <w:spacing w:before="480" w:after="120" w:line="240" w:lineRule="auto"/>
    </w:pPr>
    <w:rPr>
      <w:rFonts w:ascii="Arial" w:hAnsi="Arial" w:cs="Arial"/>
      <w:b/>
      <w:bCs/>
      <w:noProof/>
      <w:color w:val="833C0C"/>
      <w:spacing w:val="30"/>
      <w:sz w:val="26"/>
      <w:szCs w:val="18"/>
      <w:lang w:eastAsia="es-ES"/>
    </w:rPr>
  </w:style>
  <w:style w:type="character" w:customStyle="1" w:styleId="PrimerCar">
    <w:name w:val="Primer Car"/>
    <w:link w:val="Primer"/>
    <w:locked/>
    <w:rsid w:val="00A26CD3"/>
    <w:rPr>
      <w:rFonts w:ascii="Arial" w:eastAsia="Calibri" w:hAnsi="Arial" w:cs="Arial"/>
      <w:lang w:eastAsia="es-MX"/>
    </w:rPr>
  </w:style>
  <w:style w:type="paragraph" w:customStyle="1" w:styleId="Primer">
    <w:name w:val="Primer"/>
    <w:basedOn w:val="TextoBase"/>
    <w:link w:val="PrimerCar"/>
    <w:qFormat/>
    <w:rsid w:val="00A26CD3"/>
    <w:pPr>
      <w:spacing w:before="120" w:after="120"/>
    </w:pPr>
    <w:rPr>
      <w:lang w:eastAsia="es-MX"/>
    </w:rPr>
  </w:style>
  <w:style w:type="character" w:customStyle="1" w:styleId="NAUCSegParrCar">
    <w:name w:val="NAUC Seg Parr Car"/>
    <w:link w:val="NAUCSegParr"/>
    <w:locked/>
    <w:rsid w:val="00A26CD3"/>
    <w:rPr>
      <w:rFonts w:ascii="Arial" w:eastAsia="Calibri" w:hAnsi="Arial" w:cs="Arial"/>
      <w:color w:val="000000"/>
      <w:lang w:eastAsia="es-MX"/>
    </w:rPr>
  </w:style>
  <w:style w:type="paragraph" w:customStyle="1" w:styleId="NAUCSegParr">
    <w:name w:val="NAUC Seg Parr"/>
    <w:basedOn w:val="TextoBase"/>
    <w:link w:val="NAUCSegParrCar"/>
    <w:qFormat/>
    <w:rsid w:val="00A26CD3"/>
    <w:pPr>
      <w:spacing w:before="120" w:after="120" w:line="240" w:lineRule="auto"/>
      <w:ind w:firstLine="567"/>
    </w:pPr>
    <w:rPr>
      <w:color w:val="000000"/>
      <w:lang w:eastAsia="es-MX"/>
    </w:rPr>
  </w:style>
  <w:style w:type="character" w:customStyle="1" w:styleId="SegParrCar">
    <w:name w:val="SegParr Car"/>
    <w:link w:val="SegParr"/>
    <w:locked/>
    <w:rsid w:val="00A26CD3"/>
    <w:rPr>
      <w:rFonts w:ascii="Arial" w:eastAsia="Calibri" w:hAnsi="Arial" w:cs="Arial"/>
      <w:lang w:eastAsia="es-MX"/>
    </w:rPr>
  </w:style>
  <w:style w:type="paragraph" w:customStyle="1" w:styleId="SegParr">
    <w:name w:val="SegParr"/>
    <w:basedOn w:val="TextoBase"/>
    <w:link w:val="SegParrCar"/>
    <w:qFormat/>
    <w:rsid w:val="00A26CD3"/>
    <w:pPr>
      <w:ind w:firstLine="709"/>
    </w:pPr>
    <w:rPr>
      <w:lang w:eastAsia="es-MX"/>
    </w:rPr>
  </w:style>
  <w:style w:type="character" w:customStyle="1" w:styleId="NAUNv2Car">
    <w:name w:val="NAU Nv2 Car"/>
    <w:link w:val="NAUNv2"/>
    <w:locked/>
    <w:rsid w:val="00A26CD3"/>
    <w:rPr>
      <w:rFonts w:ascii="Arial" w:eastAsia="Times New Roman" w:hAnsi="Arial" w:cs="Arial"/>
      <w:b/>
      <w:noProof/>
      <w:color w:val="833C0C"/>
      <w:sz w:val="32"/>
      <w:szCs w:val="24"/>
      <w:lang w:eastAsia="es-MX"/>
    </w:rPr>
  </w:style>
  <w:style w:type="paragraph" w:customStyle="1" w:styleId="NAUNv2">
    <w:name w:val="NAU Nv2"/>
    <w:basedOn w:val="Ttulo2"/>
    <w:link w:val="NAUNv2Car"/>
    <w:qFormat/>
    <w:rsid w:val="00A26CD3"/>
    <w:pPr>
      <w:keepNext w:val="0"/>
      <w:keepLines w:val="0"/>
      <w:pageBreakBefore/>
      <w:widowControl w:val="0"/>
      <w:spacing w:before="840" w:after="480" w:line="240" w:lineRule="auto"/>
    </w:pPr>
    <w:rPr>
      <w:rFonts w:ascii="Arial" w:hAnsi="Arial" w:cs="Arial"/>
      <w:b/>
      <w:noProof/>
      <w:color w:val="833C0C"/>
      <w:szCs w:val="24"/>
      <w:lang w:eastAsia="es-MX"/>
    </w:rPr>
  </w:style>
  <w:style w:type="character" w:customStyle="1" w:styleId="NAUNv6Car">
    <w:name w:val="NAU Nv6 Car"/>
    <w:link w:val="NAUNv6"/>
    <w:locked/>
    <w:rsid w:val="00A26CD3"/>
    <w:rPr>
      <w:rFonts w:ascii="Arial" w:eastAsia="Calibri" w:hAnsi="Arial" w:cs="Arial"/>
      <w:i/>
      <w:noProof/>
      <w:color w:val="833C0C"/>
      <w:spacing w:val="12"/>
      <w:lang w:val="es-ES"/>
    </w:rPr>
  </w:style>
  <w:style w:type="paragraph" w:customStyle="1" w:styleId="NAUNv6">
    <w:name w:val="NAU Nv6"/>
    <w:basedOn w:val="Texto"/>
    <w:link w:val="NAUNv6Car"/>
    <w:qFormat/>
    <w:rsid w:val="00A26CD3"/>
    <w:pPr>
      <w:spacing w:before="240" w:after="120" w:line="240" w:lineRule="auto"/>
      <w:ind w:firstLine="0"/>
      <w:jc w:val="left"/>
      <w:outlineLvl w:val="5"/>
    </w:pPr>
    <w:rPr>
      <w:rFonts w:eastAsia="Calibri"/>
      <w:i/>
      <w:noProof/>
      <w:color w:val="833C0C"/>
      <w:spacing w:val="12"/>
      <w:sz w:val="22"/>
      <w:szCs w:val="22"/>
      <w:lang w:eastAsia="en-US"/>
    </w:rPr>
  </w:style>
  <w:style w:type="character" w:customStyle="1" w:styleId="NAUNv7Car">
    <w:name w:val="NAU Nv7 Car"/>
    <w:link w:val="NAUNv7"/>
    <w:locked/>
    <w:rsid w:val="00A26CD3"/>
    <w:rPr>
      <w:rFonts w:ascii="Arial" w:eastAsia="Calibri" w:hAnsi="Arial" w:cs="Arial"/>
      <w:b/>
      <w:noProof/>
      <w:spacing w:val="40"/>
      <w:sz w:val="18"/>
      <w:szCs w:val="18"/>
      <w:lang w:val="es-ES"/>
    </w:rPr>
  </w:style>
  <w:style w:type="paragraph" w:customStyle="1" w:styleId="NAUNv7">
    <w:name w:val="NAU Nv7"/>
    <w:basedOn w:val="Texto"/>
    <w:link w:val="NAUNv7Car"/>
    <w:qFormat/>
    <w:rsid w:val="00A26CD3"/>
    <w:pPr>
      <w:spacing w:before="120" w:after="0" w:line="240" w:lineRule="auto"/>
      <w:ind w:firstLine="0"/>
      <w:outlineLvl w:val="6"/>
    </w:pPr>
    <w:rPr>
      <w:rFonts w:eastAsia="Calibri"/>
      <w:b/>
      <w:noProof/>
      <w:spacing w:val="40"/>
      <w:szCs w:val="18"/>
      <w:lang w:eastAsia="en-US"/>
    </w:rPr>
  </w:style>
  <w:style w:type="character" w:customStyle="1" w:styleId="EtrategiaNivel3Car">
    <w:name w:val="EtrategiaNivel3 Car"/>
    <w:link w:val="EtrategiaNivel3"/>
    <w:locked/>
    <w:rsid w:val="00A26CD3"/>
    <w:rPr>
      <w:rFonts w:ascii="Arial" w:eastAsia="Calibri" w:hAnsi="Arial" w:cs="Arial"/>
      <w:bCs/>
      <w:i/>
      <w:color w:val="000000"/>
      <w:lang w:val="es-ES"/>
    </w:rPr>
  </w:style>
  <w:style w:type="paragraph" w:customStyle="1" w:styleId="EtrategiaNivel3">
    <w:name w:val="EtrategiaNivel3"/>
    <w:basedOn w:val="Normal"/>
    <w:link w:val="EtrategiaNivel3Car"/>
    <w:qFormat/>
    <w:rsid w:val="00A26CD3"/>
    <w:pPr>
      <w:widowControl w:val="0"/>
      <w:autoSpaceDE w:val="0"/>
      <w:autoSpaceDN w:val="0"/>
      <w:adjustRightInd w:val="0"/>
      <w:spacing w:before="240" w:after="120"/>
      <w:jc w:val="both"/>
      <w:outlineLvl w:val="2"/>
    </w:pPr>
    <w:rPr>
      <w:rFonts w:ascii="Arial" w:eastAsia="Calibri" w:hAnsi="Arial" w:cs="Arial"/>
      <w:bCs/>
      <w:i/>
      <w:color w:val="000000"/>
      <w:lang w:val="es-ES"/>
    </w:rPr>
  </w:style>
  <w:style w:type="character" w:customStyle="1" w:styleId="PrimerparrafoCar">
    <w:name w:val="Primer parrafo Car"/>
    <w:link w:val="Primerparrafo"/>
    <w:locked/>
    <w:rsid w:val="00A26CD3"/>
    <w:rPr>
      <w:rFonts w:ascii="Arial" w:eastAsia="Calibri" w:hAnsi="Arial" w:cs="Times New Roman"/>
      <w:lang w:val="es-ES"/>
    </w:rPr>
  </w:style>
  <w:style w:type="paragraph" w:customStyle="1" w:styleId="Primerparrafo">
    <w:name w:val="Primer parrafo"/>
    <w:basedOn w:val="Normal"/>
    <w:link w:val="PrimerparrafoCar"/>
    <w:qFormat/>
    <w:rsid w:val="00A26CD3"/>
    <w:pPr>
      <w:spacing w:before="240" w:after="120" w:line="240" w:lineRule="auto"/>
      <w:jc w:val="both"/>
    </w:pPr>
    <w:rPr>
      <w:rFonts w:ascii="Arial" w:eastAsia="Calibri" w:hAnsi="Arial" w:cs="Times New Roman"/>
      <w:lang w:val="es-ES"/>
    </w:rPr>
  </w:style>
  <w:style w:type="character" w:customStyle="1" w:styleId="CeldasCar">
    <w:name w:val="Celdas Car"/>
    <w:link w:val="Celdas"/>
    <w:locked/>
    <w:rsid w:val="00A26CD3"/>
    <w:rPr>
      <w:rFonts w:ascii="Arial" w:eastAsia="Calibri" w:hAnsi="Arial" w:cs="Times New Roman"/>
      <w:sz w:val="18"/>
      <w:lang w:val="es-ES"/>
    </w:rPr>
  </w:style>
  <w:style w:type="paragraph" w:customStyle="1" w:styleId="Celdas">
    <w:name w:val="Celdas"/>
    <w:basedOn w:val="Normal"/>
    <w:link w:val="CeldasCar"/>
    <w:qFormat/>
    <w:rsid w:val="00A26CD3"/>
    <w:pPr>
      <w:spacing w:after="0" w:line="240" w:lineRule="auto"/>
    </w:pPr>
    <w:rPr>
      <w:rFonts w:ascii="Arial" w:eastAsia="Calibri" w:hAnsi="Arial" w:cs="Times New Roman"/>
      <w:sz w:val="18"/>
      <w:lang w:val="es-ES"/>
    </w:rPr>
  </w:style>
  <w:style w:type="character" w:customStyle="1" w:styleId="TituloTablaCar">
    <w:name w:val="Titulo Tabla Car"/>
    <w:link w:val="TituloTabla"/>
    <w:locked/>
    <w:rsid w:val="00A26CD3"/>
    <w:rPr>
      <w:rFonts w:ascii="Arial" w:eastAsia="Calibri" w:hAnsi="Arial" w:cs="Arial"/>
      <w:b/>
      <w:noProof/>
      <w:sz w:val="18"/>
      <w:szCs w:val="18"/>
      <w:lang w:val="es-ES" w:eastAsia="es-MX"/>
    </w:rPr>
  </w:style>
  <w:style w:type="paragraph" w:customStyle="1" w:styleId="TituloTabla">
    <w:name w:val="Titulo Tabla"/>
    <w:basedOn w:val="Normal"/>
    <w:link w:val="TituloTablaCar"/>
    <w:autoRedefine/>
    <w:qFormat/>
    <w:rsid w:val="00A26CD3"/>
    <w:pPr>
      <w:keepNext/>
      <w:spacing w:after="0" w:line="240" w:lineRule="auto"/>
      <w:jc w:val="center"/>
    </w:pPr>
    <w:rPr>
      <w:rFonts w:ascii="Arial" w:eastAsia="Calibri" w:hAnsi="Arial" w:cs="Arial"/>
      <w:b/>
      <w:noProof/>
      <w:sz w:val="18"/>
      <w:szCs w:val="18"/>
      <w:lang w:val="es-ES" w:eastAsia="es-MX"/>
    </w:rPr>
  </w:style>
  <w:style w:type="character" w:customStyle="1" w:styleId="FuenteTablaCar">
    <w:name w:val="Fuente Tabla Car"/>
    <w:link w:val="FuenteTabla"/>
    <w:locked/>
    <w:rsid w:val="00A26CD3"/>
    <w:rPr>
      <w:rFonts w:ascii="Arial" w:eastAsia="Calibri" w:hAnsi="Arial" w:cs="Arial"/>
      <w:sz w:val="18"/>
      <w:lang w:eastAsia="es-MX"/>
    </w:rPr>
  </w:style>
  <w:style w:type="paragraph" w:customStyle="1" w:styleId="FuenteTabla">
    <w:name w:val="Fuente Tabla"/>
    <w:basedOn w:val="Normal"/>
    <w:link w:val="FuenteTablaCar"/>
    <w:qFormat/>
    <w:rsid w:val="00A26CD3"/>
    <w:pPr>
      <w:spacing w:before="60" w:after="240" w:line="240" w:lineRule="auto"/>
      <w:jc w:val="center"/>
    </w:pPr>
    <w:rPr>
      <w:rFonts w:ascii="Arial" w:eastAsia="Calibri" w:hAnsi="Arial" w:cs="Arial"/>
      <w:sz w:val="18"/>
      <w:lang w:eastAsia="es-MX"/>
    </w:rPr>
  </w:style>
  <w:style w:type="character" w:customStyle="1" w:styleId="FRACCIONESCar">
    <w:name w:val="FRACCIONES Car"/>
    <w:link w:val="FRACCIONES"/>
    <w:uiPriority w:val="99"/>
    <w:locked/>
    <w:rsid w:val="00A26CD3"/>
    <w:rPr>
      <w:rFonts w:ascii="Arial" w:eastAsia="Calibri" w:hAnsi="Arial" w:cs="Arial"/>
      <w:sz w:val="24"/>
      <w:szCs w:val="24"/>
      <w:lang w:val="es-ES"/>
    </w:rPr>
  </w:style>
  <w:style w:type="paragraph" w:customStyle="1" w:styleId="FRACCIONES">
    <w:name w:val="FRACCIONES"/>
    <w:basedOn w:val="4Artculo"/>
    <w:link w:val="FRACCIONESCar"/>
    <w:uiPriority w:val="99"/>
    <w:qFormat/>
    <w:rsid w:val="00A26CD3"/>
    <w:pPr>
      <w:numPr>
        <w:numId w:val="57"/>
      </w:numPr>
    </w:pPr>
    <w:rPr>
      <w:sz w:val="24"/>
      <w:szCs w:val="24"/>
      <w:lang w:val="es-ES"/>
    </w:rPr>
  </w:style>
  <w:style w:type="character" w:customStyle="1" w:styleId="ParrafonormasCar">
    <w:name w:val="Parrafo normas Car"/>
    <w:link w:val="Parrafonormas"/>
    <w:locked/>
    <w:rsid w:val="00A26CD3"/>
    <w:rPr>
      <w:rFonts w:ascii="Arial" w:eastAsia="Calibri" w:hAnsi="Arial" w:cs="Arial"/>
      <w:sz w:val="24"/>
      <w:szCs w:val="24"/>
      <w:lang w:val="es-ES"/>
    </w:rPr>
  </w:style>
  <w:style w:type="paragraph" w:customStyle="1" w:styleId="Parrafonormas">
    <w:name w:val="Parrafo normas"/>
    <w:basedOn w:val="4Artculo"/>
    <w:link w:val="ParrafonormasCar"/>
    <w:qFormat/>
    <w:rsid w:val="00A26CD3"/>
    <w:pPr>
      <w:numPr>
        <w:numId w:val="0"/>
      </w:numPr>
      <w:ind w:left="567"/>
    </w:pPr>
    <w:rPr>
      <w:sz w:val="24"/>
      <w:szCs w:val="24"/>
      <w:lang w:val="es-ES"/>
    </w:rPr>
  </w:style>
  <w:style w:type="character" w:customStyle="1" w:styleId="NormasCar">
    <w:name w:val="Normas Car"/>
    <w:link w:val="Normas"/>
    <w:locked/>
    <w:rsid w:val="00A26CD3"/>
    <w:rPr>
      <w:rFonts w:ascii="Arial" w:eastAsia="Calibri" w:hAnsi="Arial" w:cs="Arial"/>
      <w:sz w:val="24"/>
      <w:szCs w:val="24"/>
      <w:lang w:val="es-ES"/>
    </w:rPr>
  </w:style>
  <w:style w:type="paragraph" w:customStyle="1" w:styleId="Normas">
    <w:name w:val="Normas"/>
    <w:basedOn w:val="4Artculo"/>
    <w:link w:val="NormasCar"/>
    <w:qFormat/>
    <w:rsid w:val="00A26CD3"/>
    <w:pPr>
      <w:numPr>
        <w:numId w:val="0"/>
      </w:numPr>
      <w:ind w:left="567" w:hanging="567"/>
    </w:pPr>
    <w:rPr>
      <w:sz w:val="24"/>
      <w:szCs w:val="24"/>
      <w:lang w:val="es-ES"/>
    </w:rPr>
  </w:style>
  <w:style w:type="paragraph" w:customStyle="1" w:styleId="m-9050362408272779662gmail-etrategianivel3">
    <w:name w:val="m_-9050362408272779662gmail-etrategianivel3"/>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m-9050362408272779662gmail-segparr">
    <w:name w:val="m_-9050362408272779662gmail-segparr"/>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estilo0">
    <w:name w:val="estilo"/>
    <w:basedOn w:val="Normal"/>
    <w:qFormat/>
    <w:rsid w:val="00A26CD3"/>
    <w:pPr>
      <w:spacing w:after="0" w:line="240" w:lineRule="auto"/>
      <w:ind w:left="189" w:right="238"/>
      <w:jc w:val="both"/>
    </w:pPr>
    <w:rPr>
      <w:rFonts w:ascii="Gill Sans" w:eastAsia="Times New Roman" w:hAnsi="Gill Sans" w:cs="Times New Roman"/>
      <w:b/>
      <w:bCs/>
      <w:color w:val="000000"/>
      <w:sz w:val="16"/>
      <w:szCs w:val="18"/>
      <w:lang w:val="es-ES" w:eastAsia="es-ES"/>
    </w:rPr>
  </w:style>
  <w:style w:type="paragraph" w:customStyle="1" w:styleId="CELDA">
    <w:name w:val="CELDA"/>
    <w:qFormat/>
    <w:rsid w:val="00A26CD3"/>
    <w:pPr>
      <w:spacing w:before="40" w:after="0" w:line="240" w:lineRule="auto"/>
      <w:jc w:val="center"/>
    </w:pPr>
    <w:rPr>
      <w:rFonts w:ascii="Helvetica" w:eastAsia="Times New Roman" w:hAnsi="Helvetica" w:cs="Times New Roman"/>
      <w:b/>
      <w:noProof/>
      <w:sz w:val="16"/>
      <w:szCs w:val="20"/>
      <w:lang w:val="es-ES" w:eastAsia="es-ES"/>
    </w:rPr>
  </w:style>
  <w:style w:type="paragraph" w:customStyle="1" w:styleId="raya">
    <w:name w:val="raya"/>
    <w:basedOn w:val="Normal"/>
    <w:qFormat/>
    <w:rsid w:val="00A26CD3"/>
    <w:pPr>
      <w:overflowPunct w:val="0"/>
      <w:autoSpaceDE w:val="0"/>
      <w:autoSpaceDN w:val="0"/>
      <w:adjustRightInd w:val="0"/>
      <w:spacing w:before="120" w:after="120" w:line="240" w:lineRule="auto"/>
      <w:ind w:left="397" w:hanging="397"/>
      <w:jc w:val="both"/>
    </w:pPr>
    <w:rPr>
      <w:rFonts w:ascii="Arial" w:eastAsia="Times New Roman" w:hAnsi="Arial" w:cs="Times New Roman"/>
      <w:sz w:val="24"/>
      <w:szCs w:val="20"/>
      <w:lang w:val="es-ES_tradnl" w:eastAsia="es-ES"/>
    </w:rPr>
  </w:style>
  <w:style w:type="paragraph" w:customStyle="1" w:styleId="Ttulo20">
    <w:name w:val="Título2"/>
    <w:basedOn w:val="Normal"/>
    <w:uiPriority w:val="10"/>
    <w:qFormat/>
    <w:rsid w:val="00A26CD3"/>
    <w:pPr>
      <w:spacing w:after="0" w:line="240" w:lineRule="auto"/>
      <w:jc w:val="center"/>
    </w:pPr>
    <w:rPr>
      <w:rFonts w:ascii="Arial" w:eastAsia="Times New Roman" w:hAnsi="Arial" w:cs="Times New Roman"/>
      <w:b/>
      <w:bCs/>
      <w:sz w:val="24"/>
      <w:szCs w:val="24"/>
      <w:lang w:val="es-ES" w:eastAsia="es-ES"/>
    </w:rPr>
  </w:style>
  <w:style w:type="character" w:customStyle="1" w:styleId="ENCANUMCar">
    <w:name w:val="ENCANUM Car"/>
    <w:link w:val="ENCANUM"/>
    <w:locked/>
    <w:rsid w:val="00A26CD3"/>
    <w:rPr>
      <w:rFonts w:ascii="HelveticaNeueLT Std" w:eastAsia="Calibri" w:hAnsi="HelveticaNeueLT Std" w:cs="Times New Roman"/>
      <w:b/>
      <w:spacing w:val="20"/>
      <w:lang w:val="x-none"/>
    </w:rPr>
  </w:style>
  <w:style w:type="paragraph" w:customStyle="1" w:styleId="ENCANUM">
    <w:name w:val="ENCANUM"/>
    <w:basedOn w:val="Prrafodelista"/>
    <w:link w:val="ENCANUMCar"/>
    <w:qFormat/>
    <w:rsid w:val="00A26CD3"/>
    <w:pPr>
      <w:numPr>
        <w:numId w:val="58"/>
      </w:numPr>
      <w:spacing w:after="0" w:line="240" w:lineRule="auto"/>
      <w:ind w:left="284" w:hanging="252"/>
      <w:jc w:val="center"/>
    </w:pPr>
    <w:rPr>
      <w:rFonts w:ascii="HelveticaNeueLT Std" w:eastAsia="Calibri" w:hAnsi="HelveticaNeueLT Std" w:cs="Times New Roman"/>
      <w:b/>
      <w:spacing w:val="20"/>
      <w:lang w:val="x-none"/>
    </w:rPr>
  </w:style>
  <w:style w:type="paragraph" w:customStyle="1" w:styleId="comicsans">
    <w:name w:val="comic sans"/>
    <w:basedOn w:val="Normal"/>
    <w:qFormat/>
    <w:rsid w:val="00A26CD3"/>
    <w:pPr>
      <w:spacing w:after="0" w:line="240" w:lineRule="auto"/>
    </w:pPr>
    <w:rPr>
      <w:rFonts w:ascii="Times New Roman" w:eastAsia="Times New Roman" w:hAnsi="Times New Roman" w:cs="Times New Roman"/>
      <w:sz w:val="24"/>
      <w:szCs w:val="24"/>
      <w:lang w:val="es-ES" w:eastAsia="es-ES"/>
    </w:rPr>
  </w:style>
  <w:style w:type="paragraph" w:customStyle="1" w:styleId="p39">
    <w:name w:val="p39"/>
    <w:basedOn w:val="Normal"/>
    <w:qFormat/>
    <w:rsid w:val="00A26CD3"/>
    <w:pPr>
      <w:widowControl w:val="0"/>
      <w:tabs>
        <w:tab w:val="left" w:pos="720"/>
      </w:tabs>
      <w:spacing w:after="0" w:line="240" w:lineRule="atLeast"/>
    </w:pPr>
    <w:rPr>
      <w:rFonts w:ascii="Arial" w:eastAsia="Times New Roman" w:hAnsi="Arial" w:cs="Times New Roman"/>
      <w:b/>
      <w:sz w:val="24"/>
      <w:szCs w:val="20"/>
      <w:lang w:val="es-ES_tradnl" w:eastAsia="es-ES"/>
    </w:rPr>
  </w:style>
  <w:style w:type="paragraph" w:customStyle="1" w:styleId="p40">
    <w:name w:val="p40"/>
    <w:basedOn w:val="Normal"/>
    <w:qFormat/>
    <w:rsid w:val="00A26CD3"/>
    <w:pPr>
      <w:widowControl w:val="0"/>
      <w:tabs>
        <w:tab w:val="left" w:pos="6360"/>
      </w:tabs>
      <w:spacing w:after="0" w:line="240" w:lineRule="atLeast"/>
      <w:ind w:left="4920"/>
    </w:pPr>
    <w:rPr>
      <w:rFonts w:ascii="Arial" w:eastAsia="Times New Roman" w:hAnsi="Arial" w:cs="Times New Roman"/>
      <w:b/>
      <w:sz w:val="24"/>
      <w:szCs w:val="20"/>
      <w:lang w:val="es-ES_tradnl" w:eastAsia="es-ES"/>
    </w:rPr>
  </w:style>
  <w:style w:type="paragraph" w:customStyle="1" w:styleId="Style30">
    <w:name w:val="Style 3"/>
    <w:basedOn w:val="Normal"/>
    <w:uiPriority w:val="99"/>
    <w:qFormat/>
    <w:rsid w:val="00A26CD3"/>
    <w:pPr>
      <w:widowControl w:val="0"/>
      <w:autoSpaceDE w:val="0"/>
      <w:autoSpaceDN w:val="0"/>
      <w:spacing w:before="252" w:after="0" w:line="240" w:lineRule="auto"/>
      <w:ind w:left="1080" w:right="1152"/>
    </w:pPr>
    <w:rPr>
      <w:rFonts w:ascii="Arial" w:eastAsia="Times New Roman" w:hAnsi="Arial" w:cs="Arial"/>
      <w:lang w:val="en-US" w:eastAsia="es-MX"/>
    </w:rPr>
  </w:style>
  <w:style w:type="paragraph" w:customStyle="1" w:styleId="yiv5923849848ydp6e14adfdmsonormal">
    <w:name w:val="yiv5923849848ydp6e14adfdmsonormal"/>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Heading11">
    <w:name w:val="Heading #1|1_"/>
    <w:link w:val="Heading110"/>
    <w:locked/>
    <w:rsid w:val="00A26CD3"/>
    <w:rPr>
      <w:rFonts w:ascii="Arial" w:eastAsia="Arial" w:hAnsi="Arial" w:cs="Arial"/>
      <w:b/>
      <w:bCs/>
      <w:shd w:val="clear" w:color="auto" w:fill="FFFFFF"/>
    </w:rPr>
  </w:style>
  <w:style w:type="paragraph" w:customStyle="1" w:styleId="Heading110">
    <w:name w:val="Heading #1|1"/>
    <w:basedOn w:val="Normal"/>
    <w:link w:val="Heading11"/>
    <w:qFormat/>
    <w:rsid w:val="00A26CD3"/>
    <w:pPr>
      <w:widowControl w:val="0"/>
      <w:shd w:val="clear" w:color="auto" w:fill="FFFFFF"/>
      <w:spacing w:after="240" w:line="240" w:lineRule="auto"/>
      <w:jc w:val="center"/>
      <w:outlineLvl w:val="0"/>
    </w:pPr>
    <w:rPr>
      <w:rFonts w:ascii="Arial" w:eastAsia="Arial" w:hAnsi="Arial" w:cs="Arial"/>
      <w:b/>
      <w:bCs/>
    </w:rPr>
  </w:style>
  <w:style w:type="paragraph" w:customStyle="1" w:styleId="Lneadeasunto">
    <w:name w:val="Línea de asunto"/>
    <w:basedOn w:val="Standard"/>
    <w:qFormat/>
    <w:rsid w:val="00A26CD3"/>
    <w:rPr>
      <w:rFonts w:eastAsia="Noto Serif CJK SC" w:cs="Lohit Devanagari"/>
    </w:rPr>
  </w:style>
  <w:style w:type="paragraph" w:customStyle="1" w:styleId="m-3892998095844642798gmail-msonormal">
    <w:name w:val="m_-3892998095844642798gmail-msonormal"/>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Cuerpodeltexto5">
    <w:name w:val="Cuerpo del texto (5)_"/>
    <w:link w:val="Cuerpodeltexto50"/>
    <w:locked/>
    <w:rsid w:val="00A26CD3"/>
    <w:rPr>
      <w:rFonts w:ascii="Segoe UI" w:eastAsia="Segoe UI" w:hAnsi="Segoe UI" w:cs="Segoe UI"/>
      <w:b/>
      <w:bCs/>
      <w:shd w:val="clear" w:color="auto" w:fill="FFFFFF"/>
    </w:rPr>
  </w:style>
  <w:style w:type="paragraph" w:customStyle="1" w:styleId="Cuerpodeltexto50">
    <w:name w:val="Cuerpo del texto (5)"/>
    <w:basedOn w:val="Normal"/>
    <w:link w:val="Cuerpodeltexto5"/>
    <w:qFormat/>
    <w:rsid w:val="00A26CD3"/>
    <w:pPr>
      <w:widowControl w:val="0"/>
      <w:shd w:val="clear" w:color="auto" w:fill="FFFFFF"/>
      <w:spacing w:after="360" w:line="204" w:lineRule="auto"/>
      <w:jc w:val="center"/>
    </w:pPr>
    <w:rPr>
      <w:rFonts w:ascii="Segoe UI" w:eastAsia="Segoe UI" w:hAnsi="Segoe UI" w:cs="Segoe UI"/>
      <w:b/>
      <w:bCs/>
    </w:rPr>
  </w:style>
  <w:style w:type="paragraph" w:customStyle="1" w:styleId="Sangra2detindependiente3">
    <w:name w:val="Sangría 2 de t. independiente3"/>
    <w:basedOn w:val="Normal"/>
    <w:qFormat/>
    <w:rsid w:val="00A26CD3"/>
    <w:pPr>
      <w:suppressAutoHyphens/>
      <w:spacing w:after="200" w:line="276" w:lineRule="auto"/>
      <w:ind w:firstLine="708"/>
      <w:jc w:val="both"/>
    </w:pPr>
    <w:rPr>
      <w:rFonts w:ascii="Calibri" w:eastAsia="Calibri" w:hAnsi="Calibri" w:cs="Times New Roman"/>
      <w:b/>
      <w:sz w:val="24"/>
      <w:lang w:val="x-none" w:eastAsia="zh-CN"/>
    </w:rPr>
  </w:style>
  <w:style w:type="paragraph" w:customStyle="1" w:styleId="Ttulo120">
    <w:name w:val="Título 12"/>
    <w:basedOn w:val="Normal"/>
    <w:uiPriority w:val="1"/>
    <w:qFormat/>
    <w:rsid w:val="00A26CD3"/>
    <w:pPr>
      <w:widowControl w:val="0"/>
      <w:autoSpaceDE w:val="0"/>
      <w:autoSpaceDN w:val="0"/>
      <w:spacing w:after="0" w:line="240" w:lineRule="auto"/>
      <w:ind w:left="125"/>
      <w:outlineLvl w:val="1"/>
    </w:pPr>
    <w:rPr>
      <w:rFonts w:ascii="Arial" w:eastAsia="Arial" w:hAnsi="Arial" w:cs="Arial"/>
      <w:b/>
      <w:bCs/>
      <w:sz w:val="23"/>
      <w:szCs w:val="23"/>
      <w:lang w:val="es-ES"/>
    </w:rPr>
  </w:style>
  <w:style w:type="character" w:customStyle="1" w:styleId="Encabezadoopiedepgina">
    <w:name w:val="Encabezado o pie de página_"/>
    <w:link w:val="Encabezadoopiedepgina0"/>
    <w:locked/>
    <w:rsid w:val="00A26CD3"/>
    <w:rPr>
      <w:rFonts w:ascii="Arial" w:eastAsia="Arial" w:hAnsi="Arial" w:cs="Arial"/>
      <w:shd w:val="clear" w:color="auto" w:fill="FFFFFF"/>
    </w:rPr>
  </w:style>
  <w:style w:type="paragraph" w:customStyle="1" w:styleId="Encabezadoopiedepgina0">
    <w:name w:val="Encabezado o pie de página"/>
    <w:basedOn w:val="Normal"/>
    <w:link w:val="Encabezadoopiedepgina"/>
    <w:qFormat/>
    <w:rsid w:val="00A26CD3"/>
    <w:pPr>
      <w:widowControl w:val="0"/>
      <w:shd w:val="clear" w:color="auto" w:fill="FFFFFF"/>
      <w:spacing w:after="0" w:line="264" w:lineRule="auto"/>
      <w:jc w:val="center"/>
    </w:pPr>
    <w:rPr>
      <w:rFonts w:ascii="Arial" w:eastAsia="Arial" w:hAnsi="Arial" w:cs="Arial"/>
    </w:rPr>
  </w:style>
  <w:style w:type="character" w:customStyle="1" w:styleId="Cuerpodeltexto6">
    <w:name w:val="Cuerpo del texto (6)_"/>
    <w:link w:val="Cuerpodeltexto60"/>
    <w:locked/>
    <w:rsid w:val="00A26CD3"/>
    <w:rPr>
      <w:rFonts w:ascii="Calibri" w:hAnsi="Calibri" w:cs="Calibri"/>
      <w:b/>
      <w:bCs/>
      <w:shd w:val="clear" w:color="auto" w:fill="FFFFFF"/>
    </w:rPr>
  </w:style>
  <w:style w:type="paragraph" w:customStyle="1" w:styleId="Cuerpodeltexto60">
    <w:name w:val="Cuerpo del texto (6)"/>
    <w:basedOn w:val="Normal"/>
    <w:link w:val="Cuerpodeltexto6"/>
    <w:qFormat/>
    <w:rsid w:val="00A26CD3"/>
    <w:pPr>
      <w:widowControl w:val="0"/>
      <w:shd w:val="clear" w:color="auto" w:fill="FFFFFF"/>
      <w:spacing w:before="420" w:after="240" w:line="0" w:lineRule="atLeast"/>
      <w:jc w:val="center"/>
    </w:pPr>
    <w:rPr>
      <w:rFonts w:ascii="Calibri" w:hAnsi="Calibri" w:cs="Calibri"/>
      <w:b/>
      <w:bCs/>
    </w:rPr>
  </w:style>
  <w:style w:type="paragraph" w:customStyle="1" w:styleId="Pa1">
    <w:name w:val="Pa1"/>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character" w:customStyle="1" w:styleId="Bodytext">
    <w:name w:val="Body text_"/>
    <w:link w:val="Textoindependiente20"/>
    <w:locked/>
    <w:rsid w:val="00A26CD3"/>
    <w:rPr>
      <w:rFonts w:ascii="Times New Roman" w:eastAsia="Times New Roman" w:hAnsi="Times New Roman" w:cs="Times New Roman"/>
      <w:sz w:val="24"/>
      <w:szCs w:val="24"/>
      <w:shd w:val="clear" w:color="auto" w:fill="FFFFFF"/>
    </w:rPr>
  </w:style>
  <w:style w:type="paragraph" w:customStyle="1" w:styleId="Textoindependiente20">
    <w:name w:val="Texto independiente2"/>
    <w:basedOn w:val="Normal"/>
    <w:link w:val="Bodytext"/>
    <w:qFormat/>
    <w:rsid w:val="00A26CD3"/>
    <w:pPr>
      <w:shd w:val="clear" w:color="auto" w:fill="FFFFFF"/>
      <w:spacing w:after="0" w:line="274" w:lineRule="exact"/>
      <w:jc w:val="both"/>
    </w:pPr>
    <w:rPr>
      <w:rFonts w:ascii="Times New Roman" w:eastAsia="Times New Roman" w:hAnsi="Times New Roman" w:cs="Times New Roman"/>
      <w:sz w:val="24"/>
      <w:szCs w:val="24"/>
    </w:rPr>
  </w:style>
  <w:style w:type="paragraph" w:customStyle="1" w:styleId="snapshot">
    <w:name w:val="snapshot"/>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op-link">
    <w:name w:val="top-link"/>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BasicParagraph">
    <w:name w:val="[Basic Paragraph]"/>
    <w:basedOn w:val="Normal"/>
    <w:uiPriority w:val="99"/>
    <w:qFormat/>
    <w:rsid w:val="00A26CD3"/>
    <w:pPr>
      <w:widowControl w:val="0"/>
      <w:autoSpaceDE w:val="0"/>
      <w:autoSpaceDN w:val="0"/>
      <w:adjustRightInd w:val="0"/>
      <w:spacing w:after="0" w:line="288" w:lineRule="auto"/>
    </w:pPr>
    <w:rPr>
      <w:rFonts w:ascii="MinionPro-Regular" w:eastAsia="MS Mincho" w:hAnsi="MinionPro-Regular" w:cs="MinionPro-Regular"/>
      <w:color w:val="000000"/>
      <w:sz w:val="24"/>
      <w:szCs w:val="24"/>
      <w:lang w:val="es-ES_tradnl" w:eastAsia="es-ES"/>
    </w:rPr>
  </w:style>
  <w:style w:type="paragraph" w:customStyle="1" w:styleId="BodyText21Car">
    <w:name w:val="Body Text 21 Car"/>
    <w:basedOn w:val="Normal"/>
    <w:qFormat/>
    <w:rsid w:val="00A26CD3"/>
    <w:pPr>
      <w:widowControl w:val="0"/>
      <w:snapToGrid w:val="0"/>
      <w:spacing w:after="0" w:line="240" w:lineRule="auto"/>
      <w:jc w:val="both"/>
    </w:pPr>
    <w:rPr>
      <w:rFonts w:ascii="Arial" w:eastAsia="Times New Roman" w:hAnsi="Arial" w:cs="Arial Narrow"/>
      <w:sz w:val="24"/>
      <w:szCs w:val="24"/>
      <w:lang w:eastAsia="es-ES"/>
    </w:rPr>
  </w:style>
  <w:style w:type="character" w:customStyle="1" w:styleId="ENCA-NOCar">
    <w:name w:val="ENCA-NO Car"/>
    <w:link w:val="ENCA-NO"/>
    <w:locked/>
    <w:rsid w:val="00A26CD3"/>
    <w:rPr>
      <w:rFonts w:ascii="HelveticaNeueLT Std" w:eastAsia="Arial" w:hAnsi="HelveticaNeueLT Std" w:cs="Times New Roman"/>
      <w:b/>
      <w:sz w:val="24"/>
      <w:szCs w:val="24"/>
    </w:rPr>
  </w:style>
  <w:style w:type="paragraph" w:customStyle="1" w:styleId="ENCA-NO">
    <w:name w:val="ENCA-NO"/>
    <w:basedOn w:val="Normal"/>
    <w:link w:val="ENCA-NOCar"/>
    <w:qFormat/>
    <w:rsid w:val="00A26CD3"/>
    <w:pPr>
      <w:numPr>
        <w:numId w:val="59"/>
      </w:numPr>
      <w:spacing w:before="240" w:after="240" w:line="240" w:lineRule="auto"/>
      <w:jc w:val="center"/>
    </w:pPr>
    <w:rPr>
      <w:rFonts w:ascii="HelveticaNeueLT Std" w:eastAsia="Arial" w:hAnsi="HelveticaNeueLT Std" w:cs="Times New Roman"/>
      <w:b/>
      <w:sz w:val="24"/>
      <w:szCs w:val="24"/>
    </w:rPr>
  </w:style>
  <w:style w:type="character" w:customStyle="1" w:styleId="ENCAB-NUMCar">
    <w:name w:val="ENCAB-NUM Car"/>
    <w:link w:val="ENCAB-NUM"/>
    <w:locked/>
    <w:rsid w:val="00A26CD3"/>
    <w:rPr>
      <w:rFonts w:ascii="HelveticaNeueLT Std Med" w:eastAsia="Arial" w:hAnsi="HelveticaNeueLT Std Med" w:cs="Times New Roman"/>
      <w:b/>
      <w:sz w:val="16"/>
      <w:szCs w:val="16"/>
    </w:rPr>
  </w:style>
  <w:style w:type="paragraph" w:customStyle="1" w:styleId="ENCAB-NUM">
    <w:name w:val="ENCAB-NUM"/>
    <w:basedOn w:val="ENCA-NO"/>
    <w:link w:val="ENCAB-NUMCar"/>
    <w:autoRedefine/>
    <w:qFormat/>
    <w:rsid w:val="00A26CD3"/>
    <w:pPr>
      <w:spacing w:before="0" w:after="120"/>
      <w:ind w:left="425" w:hanging="448"/>
    </w:pPr>
    <w:rPr>
      <w:rFonts w:ascii="HelveticaNeueLT Std Med" w:hAnsi="HelveticaNeueLT Std Med"/>
      <w:sz w:val="16"/>
      <w:szCs w:val="16"/>
    </w:rPr>
  </w:style>
  <w:style w:type="character" w:customStyle="1" w:styleId="ESTRU-ORGACar">
    <w:name w:val="ESTRU-ORGA Car"/>
    <w:link w:val="ESTRU-ORGA"/>
    <w:locked/>
    <w:rsid w:val="00A26CD3"/>
    <w:rPr>
      <w:rFonts w:ascii="HelveticaNeueLT Std" w:eastAsia="Times New Roman" w:hAnsi="HelveticaNeueLT Std" w:cs="Arial"/>
      <w:noProof/>
      <w:sz w:val="16"/>
      <w:szCs w:val="16"/>
      <w:lang w:eastAsia="es-MX"/>
    </w:rPr>
  </w:style>
  <w:style w:type="paragraph" w:customStyle="1" w:styleId="ESTRU-ORGA">
    <w:name w:val="ESTRU-ORGA"/>
    <w:basedOn w:val="Normal"/>
    <w:link w:val="ESTRU-ORGACar"/>
    <w:qFormat/>
    <w:rsid w:val="00A26CD3"/>
    <w:pPr>
      <w:spacing w:before="120" w:after="0" w:line="240" w:lineRule="auto"/>
      <w:ind w:left="1559" w:hanging="1559"/>
    </w:pPr>
    <w:rPr>
      <w:rFonts w:ascii="HelveticaNeueLT Std" w:eastAsia="Times New Roman" w:hAnsi="HelveticaNeueLT Std" w:cs="Arial"/>
      <w:noProof/>
      <w:sz w:val="16"/>
      <w:szCs w:val="16"/>
      <w:lang w:eastAsia="es-MX"/>
    </w:rPr>
  </w:style>
  <w:style w:type="character" w:customStyle="1" w:styleId="atrib2Car">
    <w:name w:val="atrib2 Car"/>
    <w:link w:val="atrib2"/>
    <w:locked/>
    <w:rsid w:val="00A26CD3"/>
    <w:rPr>
      <w:rFonts w:ascii="HelveticaNeueLT Std" w:eastAsia="Calibri" w:hAnsi="HelveticaNeueLT Std" w:cs="Arial"/>
      <w:sz w:val="16"/>
      <w:szCs w:val="16"/>
    </w:rPr>
  </w:style>
  <w:style w:type="paragraph" w:customStyle="1" w:styleId="atrib2">
    <w:name w:val="atrib2"/>
    <w:basedOn w:val="ATRIB"/>
    <w:link w:val="atrib2Car"/>
    <w:qFormat/>
    <w:rsid w:val="00A26CD3"/>
    <w:pPr>
      <w:numPr>
        <w:numId w:val="60"/>
      </w:numPr>
    </w:pPr>
    <w:rPr>
      <w:sz w:val="16"/>
      <w:szCs w:val="16"/>
    </w:rPr>
  </w:style>
  <w:style w:type="character" w:customStyle="1" w:styleId="FUNCIONCar0">
    <w:name w:val="FUNCION Car"/>
    <w:link w:val="FUNCION0"/>
    <w:locked/>
    <w:rsid w:val="00A26CD3"/>
    <w:rPr>
      <w:rFonts w:ascii="HelveticaNeueLT Std" w:eastAsia="Calibri" w:hAnsi="HelveticaNeueLT Std" w:cs="Times New Roman"/>
      <w:sz w:val="16"/>
      <w:szCs w:val="16"/>
    </w:rPr>
  </w:style>
  <w:style w:type="paragraph" w:customStyle="1" w:styleId="FUNCION0">
    <w:name w:val="FUNCION"/>
    <w:basedOn w:val="FUNADMVA"/>
    <w:link w:val="FUNCIONCar0"/>
    <w:qFormat/>
    <w:rsid w:val="00A26CD3"/>
    <w:pPr>
      <w:numPr>
        <w:numId w:val="61"/>
      </w:numPr>
      <w:spacing w:before="100" w:after="0"/>
      <w:ind w:left="363" w:hanging="357"/>
    </w:pPr>
    <w:rPr>
      <w:sz w:val="16"/>
      <w:szCs w:val="16"/>
    </w:rPr>
  </w:style>
  <w:style w:type="character" w:customStyle="1" w:styleId="Bodytext2">
    <w:name w:val="Body text (2)_"/>
    <w:link w:val="Bodytext20"/>
    <w:locked/>
    <w:rsid w:val="00A26CD3"/>
    <w:rPr>
      <w:rFonts w:ascii="Arial" w:eastAsia="Arial" w:hAnsi="Arial" w:cs="Arial"/>
      <w:sz w:val="23"/>
      <w:szCs w:val="23"/>
      <w:shd w:val="clear" w:color="auto" w:fill="FFFFFF"/>
    </w:rPr>
  </w:style>
  <w:style w:type="paragraph" w:customStyle="1" w:styleId="Bodytext20">
    <w:name w:val="Body text (2)"/>
    <w:basedOn w:val="Normal"/>
    <w:link w:val="Bodytext2"/>
    <w:qFormat/>
    <w:rsid w:val="00A26CD3"/>
    <w:pPr>
      <w:shd w:val="clear" w:color="auto" w:fill="FFFFFF"/>
      <w:spacing w:after="240" w:line="256" w:lineRule="exact"/>
      <w:jc w:val="center"/>
    </w:pPr>
    <w:rPr>
      <w:rFonts w:ascii="Arial" w:eastAsia="Arial" w:hAnsi="Arial" w:cs="Arial"/>
      <w:sz w:val="23"/>
      <w:szCs w:val="23"/>
    </w:rPr>
  </w:style>
  <w:style w:type="character" w:customStyle="1" w:styleId="Heading1">
    <w:name w:val="Heading #1_"/>
    <w:link w:val="Heading10"/>
    <w:locked/>
    <w:rsid w:val="00A26CD3"/>
    <w:rPr>
      <w:rFonts w:ascii="Arial" w:eastAsia="Arial" w:hAnsi="Arial" w:cs="Arial"/>
      <w:sz w:val="23"/>
      <w:szCs w:val="23"/>
      <w:shd w:val="clear" w:color="auto" w:fill="FFFFFF"/>
    </w:rPr>
  </w:style>
  <w:style w:type="paragraph" w:customStyle="1" w:styleId="Heading10">
    <w:name w:val="Heading #1"/>
    <w:basedOn w:val="Normal"/>
    <w:link w:val="Heading1"/>
    <w:qFormat/>
    <w:rsid w:val="00A26CD3"/>
    <w:pPr>
      <w:shd w:val="clear" w:color="auto" w:fill="FFFFFF"/>
      <w:spacing w:before="720" w:after="1860" w:line="0" w:lineRule="atLeast"/>
      <w:outlineLvl w:val="0"/>
    </w:pPr>
    <w:rPr>
      <w:rFonts w:ascii="Arial" w:eastAsia="Arial" w:hAnsi="Arial" w:cs="Arial"/>
      <w:sz w:val="23"/>
      <w:szCs w:val="23"/>
    </w:rPr>
  </w:style>
  <w:style w:type="character" w:customStyle="1" w:styleId="Heading2">
    <w:name w:val="Heading #2_"/>
    <w:link w:val="Heading20"/>
    <w:locked/>
    <w:rsid w:val="00A26CD3"/>
    <w:rPr>
      <w:rFonts w:ascii="Arial" w:eastAsia="Arial" w:hAnsi="Arial" w:cs="Arial"/>
      <w:sz w:val="23"/>
      <w:szCs w:val="23"/>
      <w:shd w:val="clear" w:color="auto" w:fill="FFFFFF"/>
    </w:rPr>
  </w:style>
  <w:style w:type="paragraph" w:customStyle="1" w:styleId="Heading20">
    <w:name w:val="Heading #2"/>
    <w:basedOn w:val="Normal"/>
    <w:link w:val="Heading2"/>
    <w:qFormat/>
    <w:rsid w:val="00A26CD3"/>
    <w:pPr>
      <w:shd w:val="clear" w:color="auto" w:fill="FFFFFF"/>
      <w:spacing w:after="0" w:line="274" w:lineRule="exact"/>
      <w:outlineLvl w:val="1"/>
    </w:pPr>
    <w:rPr>
      <w:rFonts w:ascii="Arial" w:eastAsia="Arial" w:hAnsi="Arial" w:cs="Arial"/>
      <w:sz w:val="23"/>
      <w:szCs w:val="23"/>
    </w:rPr>
  </w:style>
  <w:style w:type="paragraph" w:customStyle="1" w:styleId="yiv6274068501msonormal">
    <w:name w:val="yiv6274068501msonormal"/>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p1">
    <w:name w:val="p1"/>
    <w:basedOn w:val="Normal"/>
    <w:qFormat/>
    <w:rsid w:val="00A26CD3"/>
    <w:pPr>
      <w:spacing w:after="0" w:line="240" w:lineRule="auto"/>
    </w:pPr>
    <w:rPr>
      <w:rFonts w:ascii="Helvetica" w:eastAsia="Times New Roman" w:hAnsi="Helvetica" w:cs="Times New Roman"/>
      <w:sz w:val="18"/>
      <w:szCs w:val="18"/>
      <w:lang w:eastAsia="es-MX"/>
    </w:rPr>
  </w:style>
  <w:style w:type="paragraph" w:customStyle="1" w:styleId="li1">
    <w:name w:val="li1"/>
    <w:basedOn w:val="Normal"/>
    <w:qFormat/>
    <w:rsid w:val="00A26CD3"/>
    <w:pPr>
      <w:spacing w:after="0" w:line="240" w:lineRule="auto"/>
    </w:pPr>
    <w:rPr>
      <w:rFonts w:ascii="Helvetica" w:eastAsia="Times New Roman" w:hAnsi="Helvetica" w:cs="Times New Roman"/>
      <w:sz w:val="18"/>
      <w:szCs w:val="18"/>
      <w:lang w:eastAsia="es-MX"/>
    </w:rPr>
  </w:style>
  <w:style w:type="paragraph" w:customStyle="1" w:styleId="Standarduseruser">
    <w:name w:val="Standard (user) (user)"/>
    <w:qFormat/>
    <w:rsid w:val="00A26CD3"/>
    <w:pPr>
      <w:suppressAutoHyphens/>
      <w:spacing w:after="0" w:line="240" w:lineRule="auto"/>
    </w:pPr>
    <w:rPr>
      <w:rFonts w:ascii="Liberation Serif" w:eastAsia="SimSun" w:hAnsi="Liberation Serif" w:cs="Arial"/>
      <w:kern w:val="2"/>
      <w:sz w:val="24"/>
      <w:szCs w:val="24"/>
      <w:lang w:eastAsia="zh-CN" w:bidi="hi-IN"/>
    </w:rPr>
  </w:style>
  <w:style w:type="paragraph" w:customStyle="1" w:styleId="CarCarCarCarCarCarCarCarCarCarCarCar">
    <w:name w:val="Car Car Car Car Car Car Car Car Car Car Car Car"/>
    <w:basedOn w:val="Normal"/>
    <w:qFormat/>
    <w:rsid w:val="00A26CD3"/>
    <w:pPr>
      <w:spacing w:line="240" w:lineRule="exact"/>
      <w:jc w:val="right"/>
    </w:pPr>
    <w:rPr>
      <w:rFonts w:ascii="Verdana" w:eastAsia="Times New Roman" w:hAnsi="Verdana" w:cs="Arial"/>
      <w:sz w:val="20"/>
      <w:szCs w:val="21"/>
    </w:rPr>
  </w:style>
  <w:style w:type="character" w:customStyle="1" w:styleId="Bodytext23">
    <w:name w:val="Body text|2_"/>
    <w:link w:val="Bodytext25"/>
    <w:locked/>
    <w:rsid w:val="00A26CD3"/>
    <w:rPr>
      <w:rFonts w:ascii="Arial" w:eastAsia="Arial" w:hAnsi="Arial" w:cs="Arial"/>
      <w:i/>
      <w:iCs/>
      <w:sz w:val="18"/>
      <w:szCs w:val="18"/>
      <w:shd w:val="clear" w:color="auto" w:fill="FFFFFF"/>
    </w:rPr>
  </w:style>
  <w:style w:type="paragraph" w:customStyle="1" w:styleId="Bodytext25">
    <w:name w:val="Body text|2"/>
    <w:basedOn w:val="Normal"/>
    <w:link w:val="Bodytext23"/>
    <w:qFormat/>
    <w:rsid w:val="00A26CD3"/>
    <w:pPr>
      <w:widowControl w:val="0"/>
      <w:shd w:val="clear" w:color="auto" w:fill="FFFFFF"/>
      <w:spacing w:after="0" w:line="304" w:lineRule="auto"/>
    </w:pPr>
    <w:rPr>
      <w:rFonts w:ascii="Arial" w:eastAsia="Arial" w:hAnsi="Arial" w:cs="Arial"/>
      <w:i/>
      <w:iCs/>
      <w:sz w:val="18"/>
      <w:szCs w:val="18"/>
    </w:rPr>
  </w:style>
  <w:style w:type="character" w:customStyle="1" w:styleId="Heading21">
    <w:name w:val="Heading #2|1_"/>
    <w:link w:val="Heading210"/>
    <w:locked/>
    <w:rsid w:val="00A26CD3"/>
    <w:rPr>
      <w:rFonts w:ascii="Arial" w:eastAsia="Arial" w:hAnsi="Arial" w:cs="Arial"/>
      <w:shd w:val="clear" w:color="auto" w:fill="FFFFFF"/>
    </w:rPr>
  </w:style>
  <w:style w:type="paragraph" w:customStyle="1" w:styleId="Heading210">
    <w:name w:val="Heading #2|1"/>
    <w:basedOn w:val="Normal"/>
    <w:link w:val="Heading21"/>
    <w:qFormat/>
    <w:rsid w:val="00A26CD3"/>
    <w:pPr>
      <w:widowControl w:val="0"/>
      <w:shd w:val="clear" w:color="auto" w:fill="FFFFFF"/>
      <w:spacing w:after="0" w:line="240" w:lineRule="auto"/>
      <w:outlineLvl w:val="1"/>
    </w:pPr>
    <w:rPr>
      <w:rFonts w:ascii="Arial" w:eastAsia="Arial" w:hAnsi="Arial" w:cs="Arial"/>
    </w:rPr>
  </w:style>
  <w:style w:type="character" w:customStyle="1" w:styleId="Picturecaption1">
    <w:name w:val="Picture caption|1_"/>
    <w:link w:val="Picturecaption10"/>
    <w:locked/>
    <w:rsid w:val="00A26CD3"/>
    <w:rPr>
      <w:rFonts w:ascii="Arial" w:eastAsia="Arial" w:hAnsi="Arial" w:cs="Arial"/>
      <w:sz w:val="13"/>
      <w:szCs w:val="13"/>
      <w:shd w:val="clear" w:color="auto" w:fill="FFFFFF"/>
    </w:rPr>
  </w:style>
  <w:style w:type="paragraph" w:customStyle="1" w:styleId="Picturecaption10">
    <w:name w:val="Picture caption|1"/>
    <w:basedOn w:val="Normal"/>
    <w:link w:val="Picturecaption1"/>
    <w:qFormat/>
    <w:rsid w:val="00A26CD3"/>
    <w:pPr>
      <w:widowControl w:val="0"/>
      <w:shd w:val="clear" w:color="auto" w:fill="FFFFFF"/>
      <w:spacing w:after="0" w:line="228" w:lineRule="auto"/>
    </w:pPr>
    <w:rPr>
      <w:rFonts w:ascii="Arial" w:eastAsia="Arial" w:hAnsi="Arial" w:cs="Arial"/>
      <w:sz w:val="13"/>
      <w:szCs w:val="13"/>
    </w:rPr>
  </w:style>
  <w:style w:type="paragraph" w:customStyle="1" w:styleId="Standarduseruseruseruser">
    <w:name w:val="Standard (user) (user) (user) (user)"/>
    <w:qFormat/>
    <w:rsid w:val="00A26CD3"/>
    <w:pPr>
      <w:suppressAutoHyphens/>
      <w:autoSpaceDN w:val="0"/>
      <w:spacing w:after="0" w:line="240" w:lineRule="auto"/>
    </w:pPr>
    <w:rPr>
      <w:rFonts w:ascii="Liberation Serif" w:eastAsia="SimSun" w:hAnsi="Liberation Serif" w:cs="Times New R཯ऀ値대"/>
      <w:kern w:val="3"/>
      <w:sz w:val="24"/>
      <w:szCs w:val="24"/>
      <w:lang w:eastAsia="zh-CN" w:bidi="hi-IN"/>
    </w:rPr>
  </w:style>
  <w:style w:type="paragraph" w:customStyle="1" w:styleId="Contenidodelmarco">
    <w:name w:val="Contenido del marco"/>
    <w:basedOn w:val="Normal"/>
    <w:qFormat/>
    <w:rsid w:val="00A26CD3"/>
    <w:pPr>
      <w:suppressAutoHyphens/>
    </w:pPr>
    <w:rPr>
      <w:rFonts w:ascii="Calibri" w:eastAsia="Calibri" w:hAnsi="Calibri" w:cs="Times New Roman"/>
      <w:lang w:val="es-ES"/>
    </w:rPr>
  </w:style>
  <w:style w:type="paragraph" w:customStyle="1" w:styleId="NoParagraphStyle">
    <w:name w:val="[No Paragraph Style]"/>
    <w:qFormat/>
    <w:rsid w:val="00A26CD3"/>
    <w:pPr>
      <w:autoSpaceDE w:val="0"/>
      <w:autoSpaceDN w:val="0"/>
      <w:adjustRightInd w:val="0"/>
      <w:spacing w:after="0" w:line="288" w:lineRule="auto"/>
    </w:pPr>
    <w:rPr>
      <w:rFonts w:ascii="Times" w:eastAsia="Calibri" w:hAnsi="Times" w:cs="Times"/>
      <w:color w:val="000000"/>
      <w:sz w:val="24"/>
      <w:szCs w:val="24"/>
      <w:lang w:val="en-US"/>
    </w:rPr>
  </w:style>
  <w:style w:type="paragraph" w:customStyle="1" w:styleId="PreformattedText">
    <w:name w:val="Preformatted Text"/>
    <w:basedOn w:val="Normal"/>
    <w:uiPriority w:val="99"/>
    <w:qFormat/>
    <w:rsid w:val="00A26CD3"/>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character" w:customStyle="1" w:styleId="FRACC-ATRIBCar">
    <w:name w:val="FRACC-ATRIB Car"/>
    <w:link w:val="FRACC-ATRIB"/>
    <w:locked/>
    <w:rsid w:val="00A26CD3"/>
    <w:rPr>
      <w:rFonts w:ascii="HelveticaNeueLT Std" w:eastAsia="Calibri" w:hAnsi="HelveticaNeueLT Std" w:cs="Times New Roman"/>
      <w:spacing w:val="-2"/>
      <w:sz w:val="16"/>
      <w:szCs w:val="16"/>
    </w:rPr>
  </w:style>
  <w:style w:type="paragraph" w:customStyle="1" w:styleId="FRACC-ATRIB">
    <w:name w:val="FRACC-ATRIB"/>
    <w:basedOn w:val="Prrafodelista"/>
    <w:link w:val="FRACC-ATRIBCar"/>
    <w:qFormat/>
    <w:rsid w:val="00A26CD3"/>
    <w:pPr>
      <w:numPr>
        <w:numId w:val="62"/>
      </w:numPr>
      <w:spacing w:before="100" w:after="100" w:line="240" w:lineRule="auto"/>
      <w:contextualSpacing w:val="0"/>
      <w:jc w:val="both"/>
    </w:pPr>
    <w:rPr>
      <w:rFonts w:ascii="HelveticaNeueLT Std" w:eastAsia="Calibri" w:hAnsi="HelveticaNeueLT Std" w:cs="Times New Roman"/>
      <w:spacing w:val="-2"/>
      <w:sz w:val="16"/>
      <w:szCs w:val="16"/>
    </w:rPr>
  </w:style>
  <w:style w:type="paragraph" w:customStyle="1" w:styleId="Normal0">
    <w:name w:val="[Normal]"/>
    <w:qFormat/>
    <w:rsid w:val="00A26CD3"/>
    <w:pPr>
      <w:suppressAutoHyphens/>
      <w:autoSpaceDE w:val="0"/>
      <w:spacing w:line="240" w:lineRule="auto"/>
      <w:jc w:val="both"/>
    </w:pPr>
    <w:rPr>
      <w:rFonts w:ascii="Arial" w:eastAsia="Times New Roman" w:hAnsi="Arial" w:cs="Arial"/>
      <w:lang w:val="es-ES" w:eastAsia="zh-CN"/>
    </w:rPr>
  </w:style>
  <w:style w:type="paragraph" w:customStyle="1" w:styleId="TextoindependienteVerdana">
    <w:name w:val="Texto independiente + Verdana"/>
    <w:basedOn w:val="Standard"/>
    <w:qFormat/>
    <w:rsid w:val="00A26CD3"/>
    <w:pPr>
      <w:widowControl w:val="0"/>
      <w:autoSpaceDN/>
      <w:spacing w:after="200" w:line="360" w:lineRule="auto"/>
      <w:ind w:right="-109"/>
      <w:jc w:val="both"/>
    </w:pPr>
    <w:rPr>
      <w:rFonts w:ascii="Verdana" w:eastAsia="HG Mincho Light J" w:hAnsi="Verdana" w:cs="Verdana"/>
      <w:color w:val="0000FF"/>
      <w:kern w:val="0"/>
      <w:szCs w:val="22"/>
      <w:lang w:bidi="ar-SA"/>
    </w:rPr>
  </w:style>
  <w:style w:type="paragraph" w:customStyle="1" w:styleId="Textoindep2">
    <w:name w:val="Texto indep2"/>
    <w:basedOn w:val="Standard"/>
    <w:qFormat/>
    <w:rsid w:val="00A26CD3"/>
    <w:pPr>
      <w:widowControl w:val="0"/>
      <w:autoSpaceDN/>
      <w:spacing w:after="200" w:line="300" w:lineRule="auto"/>
      <w:jc w:val="both"/>
    </w:pPr>
    <w:rPr>
      <w:rFonts w:ascii="Arial" w:eastAsia="Arial" w:hAnsi="Arial" w:cs="Arial"/>
      <w:kern w:val="0"/>
      <w:szCs w:val="20"/>
      <w:lang w:val="en-US" w:bidi="ar-SA"/>
    </w:rPr>
  </w:style>
  <w:style w:type="paragraph" w:customStyle="1" w:styleId="Jurisprudencia">
    <w:name w:val="Jurisprudencia"/>
    <w:basedOn w:val="Standard"/>
    <w:qFormat/>
    <w:rsid w:val="00A26CD3"/>
    <w:pPr>
      <w:autoSpaceDN/>
      <w:spacing w:after="200" w:line="276" w:lineRule="auto"/>
      <w:ind w:left="737" w:right="737"/>
      <w:jc w:val="both"/>
    </w:pPr>
    <w:rPr>
      <w:rFonts w:ascii="Verdana" w:eastAsia="Verdana" w:hAnsi="Verdana" w:cs="Verdana"/>
      <w:i/>
      <w:kern w:val="0"/>
      <w:sz w:val="26"/>
      <w:szCs w:val="22"/>
      <w:lang w:bidi="ar-SA"/>
    </w:rPr>
  </w:style>
  <w:style w:type="paragraph" w:customStyle="1" w:styleId="standard0">
    <w:name w:val="standard"/>
    <w:basedOn w:val="Normal"/>
    <w:qFormat/>
    <w:rsid w:val="00A26CD3"/>
    <w:pPr>
      <w:spacing w:before="100" w:after="100" w:line="240" w:lineRule="auto"/>
      <w:jc w:val="both"/>
    </w:pPr>
    <w:rPr>
      <w:rFonts w:ascii="Times New Roman" w:eastAsia="Times New Roman" w:hAnsi="Times New Roman" w:cs="Times New Roman"/>
      <w:lang w:eastAsia="zh-CN"/>
    </w:rPr>
  </w:style>
  <w:style w:type="paragraph" w:customStyle="1" w:styleId="Sangradet">
    <w:name w:val="Sangría de t"/>
    <w:qFormat/>
    <w:rsid w:val="00A26CD3"/>
    <w:pPr>
      <w:widowControl w:val="0"/>
      <w:tabs>
        <w:tab w:val="left" w:pos="-720"/>
      </w:tabs>
      <w:suppressAutoHyphens/>
      <w:autoSpaceDE w:val="0"/>
      <w:spacing w:after="0" w:line="240" w:lineRule="auto"/>
      <w:jc w:val="both"/>
    </w:pPr>
    <w:rPr>
      <w:rFonts w:ascii="Arial" w:eastAsia="Times New Roman" w:hAnsi="Arial" w:cs="Arial"/>
      <w:sz w:val="24"/>
      <w:szCs w:val="20"/>
      <w:lang w:val="es-ES_tradnl" w:eastAsia="zh-CN"/>
    </w:rPr>
  </w:style>
  <w:style w:type="paragraph" w:customStyle="1" w:styleId="Textoindependienteprimerasangra21">
    <w:name w:val="Texto independiente primera sangría 21"/>
    <w:basedOn w:val="Sangradetextonormal"/>
    <w:qFormat/>
    <w:rsid w:val="00A26CD3"/>
    <w:pPr>
      <w:numPr>
        <w:ilvl w:val="1"/>
      </w:numPr>
      <w:spacing w:after="160" w:line="278" w:lineRule="auto"/>
      <w:ind w:left="360"/>
      <w:jc w:val="left"/>
    </w:pPr>
    <w:rPr>
      <w:rFonts w:asciiTheme="minorHAnsi" w:hAnsiTheme="minorHAnsi"/>
      <w:b w:val="0"/>
      <w:bCs w:val="0"/>
      <w:color w:val="595959"/>
      <w:spacing w:val="15"/>
      <w:kern w:val="2"/>
      <w:sz w:val="28"/>
      <w:szCs w:val="28"/>
      <w:lang w:val="es-MX" w:eastAsia="en-US"/>
      <w14:ligatures w14:val="standardContextual"/>
    </w:rPr>
  </w:style>
  <w:style w:type="paragraph" w:customStyle="1" w:styleId="msonormalcxspmiddle">
    <w:name w:val="msonormalcxspmiddle"/>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listparagraphcxsplast">
    <w:name w:val="listparagraphcxsplast"/>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prrafodelistacxspmiddle">
    <w:name w:val="prrafodelistacxspmiddle"/>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prrafodelistacxsplast">
    <w:name w:val="prrafodelistacxsplast"/>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msonormalcxspmiddlecxsplast">
    <w:name w:val="msonormalcxspmiddlecxsplast"/>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msonormalcxspmiddlecxspmiddle">
    <w:name w:val="msonormalcxspmiddlecxspmiddle"/>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Textoindep1">
    <w:name w:val="Texto indep1"/>
    <w:basedOn w:val="Normal"/>
    <w:qFormat/>
    <w:rsid w:val="00A26CD3"/>
    <w:pPr>
      <w:widowControl w:val="0"/>
      <w:snapToGrid w:val="0"/>
      <w:spacing w:after="0" w:line="360" w:lineRule="auto"/>
      <w:jc w:val="both"/>
    </w:pPr>
    <w:rPr>
      <w:rFonts w:ascii="Arial" w:eastAsia="Times New Roman" w:hAnsi="Arial" w:cs="Arial"/>
      <w:sz w:val="24"/>
      <w:szCs w:val="20"/>
      <w:lang w:val="es-ES_tradnl" w:eastAsia="zh-CN"/>
    </w:rPr>
  </w:style>
  <w:style w:type="paragraph" w:customStyle="1" w:styleId="msonormalcxsplast">
    <w:name w:val="msonormalcxsplast"/>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msonormalcxspmiddlecxspmiddlecxspmiddle">
    <w:name w:val="msonormalcxspmiddlecxspmiddlecxspmiddle"/>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msonormalcxspmiddlecxspmiddlecxsplast">
    <w:name w:val="msonormalcxspmiddlecxspmiddlecxsplast"/>
    <w:basedOn w:val="Normal"/>
    <w:qFormat/>
    <w:rsid w:val="00A26CD3"/>
    <w:pPr>
      <w:spacing w:before="100" w:after="100" w:line="240" w:lineRule="auto"/>
    </w:pPr>
    <w:rPr>
      <w:rFonts w:ascii="Times New Roman" w:eastAsia="Times New Roman" w:hAnsi="Times New Roman" w:cs="Times New Roman"/>
      <w:sz w:val="24"/>
      <w:szCs w:val="24"/>
      <w:lang w:val="es-ES" w:eastAsia="zh-CN"/>
    </w:rPr>
  </w:style>
  <w:style w:type="paragraph" w:customStyle="1" w:styleId="Sinespaciado2">
    <w:name w:val="Sin espaciado2"/>
    <w:qFormat/>
    <w:rsid w:val="00A26CD3"/>
    <w:pPr>
      <w:suppressAutoHyphens/>
      <w:spacing w:after="0" w:line="240" w:lineRule="auto"/>
    </w:pPr>
    <w:rPr>
      <w:rFonts w:ascii="Arial" w:eastAsia="Calibri" w:hAnsi="Arial" w:cs="Arial"/>
      <w:sz w:val="24"/>
      <w:szCs w:val="24"/>
      <w:lang w:val="es-ES" w:eastAsia="zh-CN"/>
    </w:rPr>
  </w:style>
  <w:style w:type="paragraph" w:customStyle="1" w:styleId="Prrafobsico">
    <w:name w:val="[Párrafo básico]"/>
    <w:basedOn w:val="Normal"/>
    <w:uiPriority w:val="99"/>
    <w:qFormat/>
    <w:rsid w:val="00A26CD3"/>
    <w:pPr>
      <w:autoSpaceDE w:val="0"/>
      <w:autoSpaceDN w:val="0"/>
      <w:adjustRightInd w:val="0"/>
      <w:spacing w:after="0" w:line="288" w:lineRule="auto"/>
    </w:pPr>
    <w:rPr>
      <w:rFonts w:ascii="MinionPro-Regular" w:eastAsia="Calibri" w:hAnsi="MinionPro-Regular" w:cs="MinionPro-Regular"/>
      <w:color w:val="000000"/>
      <w:sz w:val="24"/>
      <w:szCs w:val="24"/>
      <w:lang w:val="es-ES_tradnl"/>
    </w:rPr>
  </w:style>
  <w:style w:type="paragraph" w:customStyle="1" w:styleId="xcuerpo">
    <w:name w:val="x_cuerpo"/>
    <w:basedOn w:val="Normal"/>
    <w:uiPriority w:val="99"/>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angria">
    <w:name w:val="sangria"/>
    <w:basedOn w:val="Normal"/>
    <w:uiPriority w:val="99"/>
    <w:qFormat/>
    <w:rsid w:val="00A26CD3"/>
    <w:pPr>
      <w:widowControl w:val="0"/>
      <w:spacing w:after="240" w:line="240" w:lineRule="auto"/>
      <w:ind w:firstLine="2268"/>
      <w:jc w:val="both"/>
    </w:pPr>
    <w:rPr>
      <w:rFonts w:ascii="Arial" w:eastAsia="Times New Roman" w:hAnsi="Arial" w:cs="Times New Roman"/>
      <w:sz w:val="20"/>
      <w:szCs w:val="20"/>
      <w:lang w:val="es-ES_tradnl" w:eastAsia="es-ES"/>
    </w:rPr>
  </w:style>
  <w:style w:type="paragraph" w:customStyle="1" w:styleId="ecxmsolistparagraph">
    <w:name w:val="ecxmsolistparagraph"/>
    <w:basedOn w:val="Normal"/>
    <w:uiPriority w:val="99"/>
    <w:qFormat/>
    <w:rsid w:val="00A26CD3"/>
    <w:pPr>
      <w:spacing w:after="324" w:line="240" w:lineRule="auto"/>
    </w:pPr>
    <w:rPr>
      <w:rFonts w:ascii="Times New Roman" w:eastAsia="Times New Roman" w:hAnsi="Times New Roman" w:cs="Times New Roman"/>
      <w:sz w:val="24"/>
      <w:szCs w:val="24"/>
      <w:lang w:eastAsia="es-MX"/>
    </w:rPr>
  </w:style>
  <w:style w:type="paragraph" w:customStyle="1" w:styleId="textocaja">
    <w:name w:val="texto_caja"/>
    <w:basedOn w:val="Normal"/>
    <w:uiPriority w:val="99"/>
    <w:qFormat/>
    <w:rsid w:val="00A26CD3"/>
    <w:pPr>
      <w:spacing w:after="0" w:line="210" w:lineRule="atLeast"/>
    </w:pPr>
    <w:rPr>
      <w:rFonts w:ascii="Arial" w:eastAsia="Times New Roman" w:hAnsi="Arial" w:cs="Arial"/>
      <w:color w:val="666666"/>
      <w:sz w:val="20"/>
      <w:szCs w:val="20"/>
      <w:lang w:eastAsia="es-MX"/>
    </w:rPr>
  </w:style>
  <w:style w:type="paragraph" w:customStyle="1" w:styleId="Pa7">
    <w:name w:val="Pa7"/>
    <w:basedOn w:val="Normal"/>
    <w:next w:val="Normal"/>
    <w:uiPriority w:val="99"/>
    <w:qFormat/>
    <w:rsid w:val="00A26CD3"/>
    <w:pPr>
      <w:autoSpaceDE w:val="0"/>
      <w:autoSpaceDN w:val="0"/>
      <w:adjustRightInd w:val="0"/>
      <w:spacing w:after="0" w:line="161" w:lineRule="atLeast"/>
    </w:pPr>
    <w:rPr>
      <w:rFonts w:ascii="Linotype Syntax Com Regular" w:eastAsia="Cambria" w:hAnsi="Linotype Syntax Com Regular" w:cs="Times New Roman"/>
      <w:sz w:val="24"/>
      <w:szCs w:val="24"/>
    </w:rPr>
  </w:style>
  <w:style w:type="character" w:customStyle="1" w:styleId="UNIADMVACar">
    <w:name w:val="UNIADMVA Car"/>
    <w:link w:val="UNIADMVA"/>
    <w:locked/>
    <w:rsid w:val="00A26CD3"/>
    <w:rPr>
      <w:rFonts w:ascii="HelveticaNeueLT Std" w:eastAsia="Calibri" w:hAnsi="HelveticaNeueLT Std" w:cs="Times New Roman"/>
      <w:b/>
      <w:bCs/>
      <w:sz w:val="24"/>
      <w:szCs w:val="24"/>
    </w:rPr>
  </w:style>
  <w:style w:type="paragraph" w:customStyle="1" w:styleId="UNIADMVA">
    <w:name w:val="UNIADMVA"/>
    <w:basedOn w:val="Normal"/>
    <w:link w:val="UNIADMVACar"/>
    <w:qFormat/>
    <w:rsid w:val="00A26CD3"/>
    <w:pPr>
      <w:tabs>
        <w:tab w:val="left" w:pos="1843"/>
      </w:tabs>
      <w:spacing w:after="240" w:line="240" w:lineRule="auto"/>
      <w:ind w:left="2268" w:hanging="2268"/>
      <w:jc w:val="both"/>
    </w:pPr>
    <w:rPr>
      <w:rFonts w:ascii="HelveticaNeueLT Std" w:eastAsia="Calibri" w:hAnsi="HelveticaNeueLT Std" w:cs="Times New Roman"/>
      <w:b/>
      <w:bCs/>
      <w:sz w:val="24"/>
      <w:szCs w:val="24"/>
    </w:rPr>
  </w:style>
  <w:style w:type="character" w:customStyle="1" w:styleId="INDICE-UNICar">
    <w:name w:val="INDICE-UNI Car"/>
    <w:link w:val="INDICE-UNI"/>
    <w:uiPriority w:val="99"/>
    <w:locked/>
    <w:rsid w:val="00A26CD3"/>
    <w:rPr>
      <w:rFonts w:ascii="HelveticaNeueLT Std" w:eastAsia="Calibri" w:hAnsi="HelveticaNeueLT Std" w:cs="Times New Roman"/>
      <w:sz w:val="24"/>
      <w:szCs w:val="24"/>
    </w:rPr>
  </w:style>
  <w:style w:type="paragraph" w:customStyle="1" w:styleId="INDICE-UNI">
    <w:name w:val="INDICE-UNI"/>
    <w:basedOn w:val="Normal"/>
    <w:link w:val="INDICE-UNICar"/>
    <w:uiPriority w:val="99"/>
    <w:qFormat/>
    <w:rsid w:val="00A26CD3"/>
    <w:pPr>
      <w:numPr>
        <w:ilvl w:val="2"/>
        <w:numId w:val="63"/>
      </w:numPr>
      <w:tabs>
        <w:tab w:val="right" w:leader="dot" w:pos="10206"/>
      </w:tabs>
      <w:spacing w:before="40" w:after="40" w:line="240" w:lineRule="auto"/>
      <w:ind w:right="-8"/>
      <w:jc w:val="both"/>
    </w:pPr>
    <w:rPr>
      <w:rFonts w:ascii="HelveticaNeueLT Std" w:eastAsia="Calibri" w:hAnsi="HelveticaNeueLT Std" w:cs="Times New Roman"/>
      <w:sz w:val="24"/>
      <w:szCs w:val="24"/>
    </w:rPr>
  </w:style>
  <w:style w:type="paragraph" w:customStyle="1" w:styleId="rtejustify">
    <w:name w:val="rtejustify"/>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yiv1712627962ydp710b3743standard">
    <w:name w:val="yiv1712627962ydp710b3743standard"/>
    <w:basedOn w:val="Normal"/>
    <w:uiPriority w:val="99"/>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Body1">
    <w:name w:val="Body 1"/>
    <w:qFormat/>
    <w:rsid w:val="00A26CD3"/>
    <w:pPr>
      <w:spacing w:after="0" w:line="240" w:lineRule="auto"/>
      <w:outlineLvl w:val="0"/>
    </w:pPr>
    <w:rPr>
      <w:rFonts w:ascii="Times New Roman" w:eastAsia="Arial Unicode MS" w:hAnsi="Times New Roman" w:cs="Times New Roman"/>
      <w:color w:val="000000"/>
      <w:sz w:val="24"/>
      <w:szCs w:val="20"/>
      <w:u w:color="000000"/>
      <w:lang w:val="es-ES" w:eastAsia="es-ES"/>
    </w:rPr>
  </w:style>
  <w:style w:type="paragraph" w:customStyle="1" w:styleId="BodyText28">
    <w:name w:val="Body Text 28"/>
    <w:basedOn w:val="Normal"/>
    <w:uiPriority w:val="99"/>
    <w:qFormat/>
    <w:rsid w:val="00A26CD3"/>
    <w:pPr>
      <w:overflowPunct w:val="0"/>
      <w:autoSpaceDE w:val="0"/>
      <w:autoSpaceDN w:val="0"/>
      <w:adjustRightInd w:val="0"/>
      <w:spacing w:after="0" w:line="240" w:lineRule="auto"/>
      <w:jc w:val="both"/>
    </w:pPr>
    <w:rPr>
      <w:rFonts w:ascii="Univers" w:eastAsia="Times New Roman" w:hAnsi="Univers" w:cs="Times New Roman"/>
      <w:sz w:val="20"/>
      <w:szCs w:val="20"/>
      <w:lang w:val="es-ES_tradnl" w:eastAsia="es-ES"/>
    </w:rPr>
  </w:style>
  <w:style w:type="paragraph" w:customStyle="1" w:styleId="Anotacion0">
    <w:name w:val="Anotacion"/>
    <w:basedOn w:val="Normal"/>
    <w:qFormat/>
    <w:rsid w:val="00A26CD3"/>
    <w:pPr>
      <w:spacing w:before="101" w:after="101" w:line="240" w:lineRule="auto"/>
      <w:jc w:val="center"/>
    </w:pPr>
    <w:rPr>
      <w:rFonts w:ascii="Times New Roman" w:eastAsia="Times New Roman" w:hAnsi="Times New Roman" w:cs="Arial"/>
      <w:b/>
      <w:sz w:val="18"/>
      <w:szCs w:val="18"/>
      <w:lang w:val="es-ES" w:eastAsia="es-ES"/>
    </w:rPr>
  </w:style>
  <w:style w:type="paragraph" w:customStyle="1" w:styleId="Titulo1">
    <w:name w:val="Titulo 1"/>
    <w:basedOn w:val="Normal"/>
    <w:qFormat/>
    <w:rsid w:val="00A26CD3"/>
    <w:pPr>
      <w:pBdr>
        <w:bottom w:val="single" w:sz="12" w:space="1" w:color="auto"/>
      </w:pBdr>
      <w:spacing w:after="0" w:line="240" w:lineRule="auto"/>
      <w:jc w:val="both"/>
    </w:pPr>
    <w:rPr>
      <w:rFonts w:ascii="Times New Roman" w:eastAsia="Times New Roman" w:hAnsi="Times New Roman" w:cs="Arial"/>
      <w:b/>
      <w:sz w:val="18"/>
      <w:szCs w:val="18"/>
      <w:lang w:val="es-ES" w:eastAsia="es-ES"/>
    </w:rPr>
  </w:style>
  <w:style w:type="paragraph" w:customStyle="1" w:styleId="CABEZA">
    <w:name w:val="CABEZA"/>
    <w:basedOn w:val="Ttulo1"/>
    <w:uiPriority w:val="99"/>
    <w:qFormat/>
    <w:rsid w:val="00A26CD3"/>
    <w:pPr>
      <w:keepNext w:val="0"/>
      <w:keepLines w:val="0"/>
      <w:spacing w:before="0" w:line="216" w:lineRule="atLeast"/>
      <w:jc w:val="center"/>
    </w:pPr>
    <w:rPr>
      <w:rFonts w:ascii="CG Palacio (WN)" w:hAnsi="CG Palacio (WN)"/>
      <w:b/>
      <w:color w:val="auto"/>
      <w:sz w:val="28"/>
      <w:szCs w:val="20"/>
      <w:lang w:val="es-ES_tradnl" w:eastAsia="es-ES"/>
    </w:rPr>
  </w:style>
  <w:style w:type="paragraph" w:customStyle="1" w:styleId="xmsolistparagraph">
    <w:name w:val="x_msolistparagraph"/>
    <w:basedOn w:val="Normal"/>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uiPriority w:val="99"/>
    <w:qFormat/>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4">
    <w:name w:val="c4"/>
    <w:basedOn w:val="Normal"/>
    <w:uiPriority w:val="99"/>
    <w:qFormat/>
    <w:rsid w:val="00A26CD3"/>
    <w:pPr>
      <w:spacing w:after="0" w:line="240" w:lineRule="atLeast"/>
      <w:jc w:val="center"/>
    </w:pPr>
    <w:rPr>
      <w:rFonts w:ascii="Arial" w:eastAsia="Times New Roman" w:hAnsi="Arial" w:cs="Times New Roman"/>
      <w:b/>
      <w:sz w:val="24"/>
      <w:szCs w:val="20"/>
      <w:lang w:val="es-ES_tradnl" w:eastAsia="es-ES"/>
    </w:rPr>
  </w:style>
  <w:style w:type="paragraph" w:customStyle="1" w:styleId="p18">
    <w:name w:val="p18"/>
    <w:basedOn w:val="Normal"/>
    <w:uiPriority w:val="99"/>
    <w:qFormat/>
    <w:rsid w:val="00A26CD3"/>
    <w:pPr>
      <w:widowControl w:val="0"/>
      <w:tabs>
        <w:tab w:val="left" w:pos="720"/>
      </w:tabs>
      <w:spacing w:after="0" w:line="240" w:lineRule="atLeast"/>
      <w:jc w:val="both"/>
    </w:pPr>
    <w:rPr>
      <w:rFonts w:ascii="Arial" w:eastAsia="Times New Roman" w:hAnsi="Arial" w:cs="Times New Roman"/>
      <w:b/>
      <w:sz w:val="24"/>
      <w:szCs w:val="20"/>
      <w:lang w:val="es-ES_tradnl" w:eastAsia="es-ES"/>
    </w:rPr>
  </w:style>
  <w:style w:type="paragraph" w:customStyle="1" w:styleId="p26">
    <w:name w:val="p26"/>
    <w:basedOn w:val="Normal"/>
    <w:uiPriority w:val="99"/>
    <w:qFormat/>
    <w:rsid w:val="00A26CD3"/>
    <w:pPr>
      <w:widowControl w:val="0"/>
      <w:tabs>
        <w:tab w:val="left" w:pos="8660"/>
      </w:tabs>
      <w:spacing w:after="0" w:line="240" w:lineRule="atLeast"/>
      <w:ind w:left="7220"/>
    </w:pPr>
    <w:rPr>
      <w:rFonts w:ascii="Arial" w:eastAsia="Times New Roman" w:hAnsi="Arial" w:cs="Times New Roman"/>
      <w:b/>
      <w:sz w:val="24"/>
      <w:szCs w:val="20"/>
      <w:lang w:val="es-ES_tradnl" w:eastAsia="es-ES"/>
    </w:rPr>
  </w:style>
  <w:style w:type="paragraph" w:customStyle="1" w:styleId="p76">
    <w:name w:val="p76"/>
    <w:basedOn w:val="Normal"/>
    <w:uiPriority w:val="99"/>
    <w:qFormat/>
    <w:rsid w:val="00A26CD3"/>
    <w:pPr>
      <w:widowControl w:val="0"/>
      <w:tabs>
        <w:tab w:val="left" w:pos="10240"/>
      </w:tabs>
      <w:spacing w:after="0" w:line="240" w:lineRule="atLeast"/>
      <w:ind w:left="8800"/>
    </w:pPr>
    <w:rPr>
      <w:rFonts w:ascii="Arial" w:eastAsia="Times New Roman" w:hAnsi="Arial" w:cs="Times New Roman"/>
      <w:b/>
      <w:sz w:val="24"/>
      <w:szCs w:val="20"/>
      <w:lang w:val="es-ES_tradnl" w:eastAsia="es-ES"/>
    </w:rPr>
  </w:style>
  <w:style w:type="paragraph" w:customStyle="1" w:styleId="p54">
    <w:name w:val="p54"/>
    <w:basedOn w:val="Normal"/>
    <w:uiPriority w:val="99"/>
    <w:qFormat/>
    <w:rsid w:val="00A26CD3"/>
    <w:pPr>
      <w:widowControl w:val="0"/>
      <w:tabs>
        <w:tab w:val="left" w:pos="8200"/>
      </w:tabs>
      <w:spacing w:after="0" w:line="240" w:lineRule="atLeast"/>
      <w:ind w:left="6760"/>
    </w:pPr>
    <w:rPr>
      <w:rFonts w:ascii="Arial" w:eastAsia="Times New Roman" w:hAnsi="Arial" w:cs="Times New Roman"/>
      <w:b/>
      <w:sz w:val="24"/>
      <w:szCs w:val="20"/>
      <w:lang w:val="es-ES_tradnl" w:eastAsia="es-ES"/>
    </w:rPr>
  </w:style>
  <w:style w:type="paragraph" w:customStyle="1" w:styleId="p37">
    <w:name w:val="p37"/>
    <w:basedOn w:val="Normal"/>
    <w:uiPriority w:val="99"/>
    <w:qFormat/>
    <w:rsid w:val="00A26CD3"/>
    <w:pPr>
      <w:widowControl w:val="0"/>
      <w:tabs>
        <w:tab w:val="left" w:pos="9960"/>
      </w:tabs>
      <w:spacing w:after="0" w:line="280" w:lineRule="atLeast"/>
      <w:ind w:left="8520"/>
    </w:pPr>
    <w:rPr>
      <w:rFonts w:ascii="Arial" w:eastAsia="Times New Roman" w:hAnsi="Arial" w:cs="Times New Roman"/>
      <w:b/>
      <w:sz w:val="24"/>
      <w:szCs w:val="20"/>
      <w:lang w:val="es-ES_tradnl" w:eastAsia="es-ES"/>
    </w:rPr>
  </w:style>
  <w:style w:type="paragraph" w:customStyle="1" w:styleId="p38">
    <w:name w:val="p38"/>
    <w:basedOn w:val="Normal"/>
    <w:uiPriority w:val="99"/>
    <w:qFormat/>
    <w:rsid w:val="00A26CD3"/>
    <w:pPr>
      <w:widowControl w:val="0"/>
      <w:tabs>
        <w:tab w:val="left" w:pos="1160"/>
        <w:tab w:val="left" w:pos="1860"/>
      </w:tabs>
      <w:spacing w:after="0" w:line="240" w:lineRule="atLeast"/>
      <w:ind w:left="432" w:hanging="720"/>
    </w:pPr>
    <w:rPr>
      <w:rFonts w:ascii="Arial" w:eastAsia="Times New Roman" w:hAnsi="Arial" w:cs="Times New Roman"/>
      <w:b/>
      <w:sz w:val="24"/>
      <w:szCs w:val="20"/>
      <w:lang w:val="es-ES_tradnl" w:eastAsia="es-ES"/>
    </w:rPr>
  </w:style>
  <w:style w:type="paragraph" w:customStyle="1" w:styleId="p29">
    <w:name w:val="p29"/>
    <w:basedOn w:val="Normal"/>
    <w:uiPriority w:val="99"/>
    <w:qFormat/>
    <w:rsid w:val="00A26CD3"/>
    <w:pPr>
      <w:widowControl w:val="0"/>
      <w:tabs>
        <w:tab w:val="left" w:pos="720"/>
      </w:tabs>
      <w:spacing w:after="0" w:line="280" w:lineRule="atLeast"/>
    </w:pPr>
    <w:rPr>
      <w:rFonts w:ascii="Arial" w:eastAsia="Times New Roman" w:hAnsi="Arial" w:cs="Times New Roman"/>
      <w:b/>
      <w:sz w:val="24"/>
      <w:szCs w:val="20"/>
      <w:lang w:val="es-ES_tradnl" w:eastAsia="es-ES"/>
    </w:rPr>
  </w:style>
  <w:style w:type="paragraph" w:customStyle="1" w:styleId="p67">
    <w:name w:val="p67"/>
    <w:basedOn w:val="Normal"/>
    <w:uiPriority w:val="99"/>
    <w:qFormat/>
    <w:rsid w:val="00A26CD3"/>
    <w:pPr>
      <w:widowControl w:val="0"/>
      <w:tabs>
        <w:tab w:val="left" w:pos="3260"/>
        <w:tab w:val="left" w:pos="3980"/>
      </w:tabs>
      <w:spacing w:after="0" w:line="240" w:lineRule="atLeast"/>
      <w:ind w:left="2592" w:hanging="720"/>
    </w:pPr>
    <w:rPr>
      <w:rFonts w:ascii="Arial" w:eastAsia="Times New Roman" w:hAnsi="Arial" w:cs="Times New Roman"/>
      <w:b/>
      <w:sz w:val="24"/>
      <w:szCs w:val="20"/>
      <w:lang w:val="es-ES_tradnl" w:eastAsia="es-ES"/>
    </w:rPr>
  </w:style>
  <w:style w:type="paragraph" w:customStyle="1" w:styleId="p58">
    <w:name w:val="p58"/>
    <w:basedOn w:val="Normal"/>
    <w:uiPriority w:val="99"/>
    <w:qFormat/>
    <w:rsid w:val="00A26CD3"/>
    <w:pPr>
      <w:widowControl w:val="0"/>
      <w:tabs>
        <w:tab w:val="left" w:pos="1220"/>
        <w:tab w:val="left" w:pos="1960"/>
      </w:tabs>
      <w:spacing w:after="0" w:line="280" w:lineRule="atLeast"/>
      <w:ind w:left="576" w:hanging="864"/>
    </w:pPr>
    <w:rPr>
      <w:rFonts w:ascii="Arial" w:eastAsia="Times New Roman" w:hAnsi="Arial" w:cs="Times New Roman"/>
      <w:b/>
      <w:sz w:val="24"/>
      <w:szCs w:val="20"/>
      <w:lang w:val="es-ES_tradnl" w:eastAsia="es-ES"/>
    </w:rPr>
  </w:style>
  <w:style w:type="paragraph" w:customStyle="1" w:styleId="p200">
    <w:name w:val="p20"/>
    <w:basedOn w:val="Normal"/>
    <w:uiPriority w:val="99"/>
    <w:qFormat/>
    <w:rsid w:val="00A26CD3"/>
    <w:pPr>
      <w:widowControl w:val="0"/>
      <w:spacing w:after="0" w:line="280" w:lineRule="atLeast"/>
      <w:ind w:left="420"/>
    </w:pPr>
    <w:rPr>
      <w:rFonts w:ascii="Arial" w:eastAsia="Times New Roman" w:hAnsi="Arial" w:cs="Times New Roman"/>
      <w:b/>
      <w:sz w:val="24"/>
      <w:szCs w:val="20"/>
      <w:lang w:val="es-ES_tradnl" w:eastAsia="es-ES"/>
    </w:rPr>
  </w:style>
  <w:style w:type="paragraph" w:customStyle="1" w:styleId="p80">
    <w:name w:val="p80"/>
    <w:basedOn w:val="Normal"/>
    <w:uiPriority w:val="99"/>
    <w:qFormat/>
    <w:rsid w:val="00A26CD3"/>
    <w:pPr>
      <w:tabs>
        <w:tab w:val="left" w:pos="580"/>
      </w:tabs>
      <w:spacing w:after="0" w:line="360" w:lineRule="atLeast"/>
      <w:ind w:left="864" w:hanging="144"/>
    </w:pPr>
    <w:rPr>
      <w:rFonts w:ascii="Arial" w:eastAsia="Times New Roman" w:hAnsi="Arial" w:cs="Times New Roman"/>
      <w:b/>
      <w:sz w:val="24"/>
      <w:szCs w:val="20"/>
      <w:lang w:val="es-ES_tradnl" w:eastAsia="es-ES"/>
    </w:rPr>
  </w:style>
  <w:style w:type="paragraph" w:customStyle="1" w:styleId="BodyText230">
    <w:name w:val="Body Text 23"/>
    <w:basedOn w:val="Normal"/>
    <w:qFormat/>
    <w:rsid w:val="00A26CD3"/>
    <w:pPr>
      <w:widowControl w:val="0"/>
      <w:snapToGrid w:val="0"/>
      <w:spacing w:after="0" w:line="240" w:lineRule="auto"/>
      <w:jc w:val="both"/>
    </w:pPr>
    <w:rPr>
      <w:rFonts w:ascii="Arial" w:eastAsia="Times New Roman" w:hAnsi="Arial" w:cs="Times New Roman"/>
      <w:szCs w:val="20"/>
      <w:lang w:eastAsia="es-ES"/>
    </w:rPr>
  </w:style>
  <w:style w:type="paragraph" w:customStyle="1" w:styleId="PortadaMGO">
    <w:name w:val="Portada MGO"/>
    <w:basedOn w:val="Normal"/>
    <w:uiPriority w:val="99"/>
    <w:qFormat/>
    <w:rsid w:val="00A26CD3"/>
    <w:pPr>
      <w:widowControl w:val="0"/>
      <w:spacing w:before="120" w:after="0" w:line="240" w:lineRule="auto"/>
      <w:jc w:val="center"/>
    </w:pPr>
    <w:rPr>
      <w:rFonts w:ascii="HelveticaNeueLT Std Blk" w:eastAsia="Calibri" w:hAnsi="HelveticaNeueLT Std Blk" w:cs="Cambria"/>
      <w:b/>
      <w:sz w:val="40"/>
      <w:szCs w:val="40"/>
    </w:rPr>
  </w:style>
  <w:style w:type="character" w:customStyle="1" w:styleId="BaselegalconvietasCar">
    <w:name w:val="Base legal con viñetas Car"/>
    <w:link w:val="Baselegalconvietas"/>
    <w:locked/>
    <w:rsid w:val="00A26CD3"/>
    <w:rPr>
      <w:rFonts w:ascii="HelveticaNeueLT Std" w:eastAsia="Calibri" w:hAnsi="HelveticaNeueLT Std" w:cs="Times New Roman"/>
      <w:sz w:val="24"/>
      <w:szCs w:val="24"/>
    </w:rPr>
  </w:style>
  <w:style w:type="paragraph" w:customStyle="1" w:styleId="Baselegalconvietas">
    <w:name w:val="Base legal con viñetas"/>
    <w:basedOn w:val="Normal"/>
    <w:link w:val="BaselegalconvietasCar"/>
    <w:qFormat/>
    <w:rsid w:val="00A26CD3"/>
    <w:pPr>
      <w:spacing w:before="120" w:after="0" w:line="240" w:lineRule="auto"/>
      <w:ind w:left="283" w:hanging="283"/>
      <w:jc w:val="both"/>
    </w:pPr>
    <w:rPr>
      <w:rFonts w:ascii="HelveticaNeueLT Std" w:eastAsia="Calibri" w:hAnsi="HelveticaNeueLT Std" w:cs="Times New Roman"/>
      <w:sz w:val="24"/>
      <w:szCs w:val="24"/>
    </w:rPr>
  </w:style>
  <w:style w:type="character" w:customStyle="1" w:styleId="BASELEG1Car">
    <w:name w:val="BASELEG1 Car"/>
    <w:link w:val="BASELEG1"/>
    <w:uiPriority w:val="99"/>
    <w:locked/>
    <w:rsid w:val="00A26CD3"/>
    <w:rPr>
      <w:rFonts w:ascii="HelveticaNeueLT Std" w:eastAsia="Calibri" w:hAnsi="HelveticaNeueLT Std" w:cs="Times New Roman"/>
      <w:bCs/>
      <w:noProof/>
      <w:sz w:val="24"/>
      <w:szCs w:val="24"/>
      <w:lang w:val="es-ES"/>
    </w:rPr>
  </w:style>
  <w:style w:type="paragraph" w:customStyle="1" w:styleId="BASELEG1">
    <w:name w:val="BASELEG1"/>
    <w:basedOn w:val="Normal"/>
    <w:link w:val="BASELEG1Car"/>
    <w:uiPriority w:val="99"/>
    <w:qFormat/>
    <w:rsid w:val="00A26CD3"/>
    <w:pPr>
      <w:numPr>
        <w:numId w:val="64"/>
      </w:numPr>
      <w:spacing w:before="80" w:after="0" w:line="240" w:lineRule="auto"/>
      <w:ind w:left="295" w:hanging="244"/>
      <w:jc w:val="both"/>
    </w:pPr>
    <w:rPr>
      <w:rFonts w:ascii="HelveticaNeueLT Std" w:eastAsia="Calibri" w:hAnsi="HelveticaNeueLT Std" w:cs="Times New Roman"/>
      <w:bCs/>
      <w:noProof/>
      <w:sz w:val="24"/>
      <w:szCs w:val="24"/>
      <w:lang w:val="es-ES"/>
    </w:rPr>
  </w:style>
  <w:style w:type="character" w:customStyle="1" w:styleId="FRACCIONCar">
    <w:name w:val="FRACCION Car"/>
    <w:link w:val="FRACCION"/>
    <w:uiPriority w:val="99"/>
    <w:locked/>
    <w:rsid w:val="00A26CD3"/>
    <w:rPr>
      <w:rFonts w:ascii="HelveticaNeueLT Std" w:eastAsia="Calibri" w:hAnsi="HelveticaNeueLT Std" w:cs="Times New Roman"/>
      <w:sz w:val="24"/>
      <w:szCs w:val="24"/>
    </w:rPr>
  </w:style>
  <w:style w:type="paragraph" w:customStyle="1" w:styleId="FRACCION">
    <w:name w:val="FRACCION"/>
    <w:basedOn w:val="Normal"/>
    <w:link w:val="FRACCIONCar"/>
    <w:uiPriority w:val="99"/>
    <w:qFormat/>
    <w:rsid w:val="00A26CD3"/>
    <w:pPr>
      <w:numPr>
        <w:numId w:val="65"/>
      </w:numPr>
      <w:tabs>
        <w:tab w:val="left" w:pos="851"/>
        <w:tab w:val="left" w:pos="1276"/>
      </w:tabs>
      <w:spacing w:before="120" w:after="240" w:line="240" w:lineRule="auto"/>
      <w:jc w:val="both"/>
    </w:pPr>
    <w:rPr>
      <w:rFonts w:ascii="HelveticaNeueLT Std" w:eastAsia="Calibri" w:hAnsi="HelveticaNeueLT Std" w:cs="Times New Roman"/>
      <w:sz w:val="24"/>
      <w:szCs w:val="24"/>
    </w:rPr>
  </w:style>
  <w:style w:type="character" w:customStyle="1" w:styleId="ESTRUC-BCACar">
    <w:name w:val="ESTRUC-BCA Car"/>
    <w:link w:val="ESTRUC-BCA"/>
    <w:locked/>
    <w:rsid w:val="00A26CD3"/>
    <w:rPr>
      <w:rFonts w:ascii="HelveticaNeueLT Std" w:eastAsia="Calibri" w:hAnsi="HelveticaNeueLT Std" w:cs="Times New Roman"/>
      <w:sz w:val="24"/>
      <w:szCs w:val="24"/>
    </w:rPr>
  </w:style>
  <w:style w:type="paragraph" w:customStyle="1" w:styleId="ESTRUC-BCA">
    <w:name w:val="ESTRUC-BCA"/>
    <w:basedOn w:val="Normal"/>
    <w:link w:val="ESTRUC-BCACar"/>
    <w:qFormat/>
    <w:rsid w:val="00A26CD3"/>
    <w:pPr>
      <w:tabs>
        <w:tab w:val="left" w:pos="0"/>
      </w:tabs>
      <w:spacing w:before="120" w:after="120" w:line="240" w:lineRule="auto"/>
      <w:ind w:left="2835" w:hanging="2835"/>
    </w:pPr>
    <w:rPr>
      <w:rFonts w:ascii="HelveticaNeueLT Std" w:eastAsia="Calibri" w:hAnsi="HelveticaNeueLT Std" w:cs="Times New Roman"/>
      <w:sz w:val="24"/>
      <w:szCs w:val="24"/>
    </w:rPr>
  </w:style>
  <w:style w:type="character" w:customStyle="1" w:styleId="ESTRUC-NEGCar0">
    <w:name w:val="ESTRUC-NEG Car"/>
    <w:link w:val="ESTRUC-NEG0"/>
    <w:locked/>
    <w:rsid w:val="00A26CD3"/>
    <w:rPr>
      <w:rFonts w:ascii="HelveticaNeueLT Std Med" w:eastAsia="Calibri" w:hAnsi="HelveticaNeueLT Std Med" w:cs="Times New Roman"/>
      <w:b/>
      <w:bCs/>
      <w:sz w:val="24"/>
      <w:szCs w:val="24"/>
    </w:rPr>
  </w:style>
  <w:style w:type="paragraph" w:customStyle="1" w:styleId="ESTRUC-NEG0">
    <w:name w:val="ESTRUC-NEG"/>
    <w:basedOn w:val="ESTRUC-BCA"/>
    <w:link w:val="ESTRUC-NEGCar0"/>
    <w:qFormat/>
    <w:rsid w:val="00A26CD3"/>
    <w:rPr>
      <w:rFonts w:ascii="HelveticaNeueLT Std Med" w:hAnsi="HelveticaNeueLT Std Med"/>
      <w:b/>
      <w:bCs/>
    </w:rPr>
  </w:style>
  <w:style w:type="character" w:customStyle="1" w:styleId="UNIDAD-NEGCar">
    <w:name w:val="UNIDAD-NEG Car"/>
    <w:link w:val="UNIDAD-NEG"/>
    <w:locked/>
    <w:rsid w:val="00A26CD3"/>
    <w:rPr>
      <w:rFonts w:ascii="HelveticaNeueLT Std Blk" w:eastAsia="Calibri" w:hAnsi="HelveticaNeueLT Std Blk" w:cs="Times New Roman"/>
      <w:b/>
      <w:sz w:val="24"/>
      <w:szCs w:val="24"/>
    </w:rPr>
  </w:style>
  <w:style w:type="paragraph" w:customStyle="1" w:styleId="UNIDAD-NEG">
    <w:name w:val="UNIDAD-NEG"/>
    <w:basedOn w:val="Normal"/>
    <w:link w:val="UNIDAD-NEGCar"/>
    <w:qFormat/>
    <w:rsid w:val="00A26CD3"/>
    <w:pPr>
      <w:numPr>
        <w:ilvl w:val="12"/>
      </w:numPr>
      <w:tabs>
        <w:tab w:val="left" w:pos="142"/>
      </w:tabs>
      <w:spacing w:before="360" w:after="360" w:line="240" w:lineRule="auto"/>
      <w:ind w:left="2914" w:hanging="2869"/>
      <w:jc w:val="both"/>
    </w:pPr>
    <w:rPr>
      <w:rFonts w:ascii="HelveticaNeueLT Std Blk" w:eastAsia="Calibri" w:hAnsi="HelveticaNeueLT Std Blk" w:cs="Times New Roman"/>
      <w:b/>
      <w:sz w:val="24"/>
      <w:szCs w:val="24"/>
    </w:rPr>
  </w:style>
  <w:style w:type="character" w:customStyle="1" w:styleId="ENCACar">
    <w:name w:val="ENCA Car"/>
    <w:link w:val="ENCA"/>
    <w:uiPriority w:val="99"/>
    <w:locked/>
    <w:rsid w:val="00A26CD3"/>
    <w:rPr>
      <w:rFonts w:ascii="HelveticaNeueLT Std Blk" w:eastAsia="Calibri" w:hAnsi="HelveticaNeueLT Std Blk" w:cs="Times New Roman"/>
      <w:b/>
      <w:spacing w:val="20"/>
      <w:sz w:val="24"/>
      <w:szCs w:val="24"/>
    </w:rPr>
  </w:style>
  <w:style w:type="paragraph" w:customStyle="1" w:styleId="ENCA">
    <w:name w:val="ENCA"/>
    <w:basedOn w:val="Prrafodelista"/>
    <w:link w:val="ENCACar"/>
    <w:uiPriority w:val="99"/>
    <w:qFormat/>
    <w:rsid w:val="00A26CD3"/>
    <w:pPr>
      <w:numPr>
        <w:numId w:val="66"/>
      </w:numPr>
      <w:spacing w:before="360" w:after="360" w:line="240" w:lineRule="auto"/>
      <w:ind w:left="567" w:hanging="578"/>
      <w:jc w:val="center"/>
    </w:pPr>
    <w:rPr>
      <w:rFonts w:ascii="HelveticaNeueLT Std Blk" w:eastAsia="Calibri" w:hAnsi="HelveticaNeueLT Std Blk" w:cs="Times New Roman"/>
      <w:b/>
      <w:spacing w:val="20"/>
      <w:sz w:val="24"/>
      <w:szCs w:val="24"/>
    </w:rPr>
  </w:style>
  <w:style w:type="character" w:customStyle="1" w:styleId="BASEL2Car">
    <w:name w:val="BASEL2 Car"/>
    <w:link w:val="BASEL2"/>
    <w:locked/>
    <w:rsid w:val="00A26CD3"/>
    <w:rPr>
      <w:rFonts w:ascii="HelveticaNeueLT Std" w:eastAsia="Calibri" w:hAnsi="HelveticaNeueLT Std" w:cs="Times New Roman"/>
      <w:sz w:val="24"/>
      <w:szCs w:val="24"/>
    </w:rPr>
  </w:style>
  <w:style w:type="paragraph" w:customStyle="1" w:styleId="BASEL2">
    <w:name w:val="BASEL2"/>
    <w:basedOn w:val="Normal"/>
    <w:link w:val="BASEL2Car"/>
    <w:qFormat/>
    <w:rsid w:val="00A26CD3"/>
    <w:pPr>
      <w:spacing w:after="120" w:line="240" w:lineRule="auto"/>
      <w:ind w:left="284"/>
      <w:jc w:val="both"/>
    </w:pPr>
    <w:rPr>
      <w:rFonts w:ascii="HelveticaNeueLT Std" w:eastAsia="Calibri" w:hAnsi="HelveticaNeueLT Std" w:cs="Times New Roman"/>
      <w:sz w:val="24"/>
      <w:szCs w:val="24"/>
    </w:rPr>
  </w:style>
  <w:style w:type="paragraph" w:customStyle="1" w:styleId="Rnormal">
    <w:name w:val="R normal"/>
    <w:basedOn w:val="Normal"/>
    <w:uiPriority w:val="99"/>
    <w:qFormat/>
    <w:rsid w:val="00A26CD3"/>
    <w:pPr>
      <w:spacing w:before="120" w:after="0" w:line="240" w:lineRule="auto"/>
      <w:jc w:val="both"/>
    </w:pPr>
    <w:rPr>
      <w:rFonts w:ascii="Gill Sans" w:eastAsia="Times New Roman" w:hAnsi="Gill Sans" w:cs="Arial"/>
      <w:color w:val="800000"/>
      <w:szCs w:val="24"/>
      <w:lang w:val="es-ES_tradnl" w:eastAsia="es-ES"/>
    </w:rPr>
  </w:style>
  <w:style w:type="paragraph" w:customStyle="1" w:styleId="Rtt1">
    <w:name w:val="R tít 1"/>
    <w:basedOn w:val="Normal"/>
    <w:next w:val="Normal"/>
    <w:autoRedefine/>
    <w:uiPriority w:val="99"/>
    <w:qFormat/>
    <w:rsid w:val="00A26CD3"/>
    <w:pPr>
      <w:spacing w:after="0" w:line="240" w:lineRule="auto"/>
      <w:jc w:val="both"/>
    </w:pPr>
    <w:rPr>
      <w:rFonts w:ascii="Gill Sans" w:eastAsia="Times New Roman" w:hAnsi="Gill Sans" w:cs="Arial"/>
      <w:b/>
      <w:sz w:val="44"/>
      <w:szCs w:val="44"/>
      <w:lang w:val="es-ES_tradnl" w:eastAsia="es-ES"/>
    </w:rPr>
  </w:style>
  <w:style w:type="paragraph" w:customStyle="1" w:styleId="PLANDATAVACIOS">
    <w:name w:val="PLAN DATA_VACIOS"/>
    <w:basedOn w:val="Normal"/>
    <w:uiPriority w:val="99"/>
    <w:qFormat/>
    <w:rsid w:val="00A26CD3"/>
    <w:rPr>
      <w:rFonts w:ascii="HelveticaNeueLT Std Lt" w:eastAsia="Calibri" w:hAnsi="HelveticaNeueLT Std Lt" w:cs="Times New Roman"/>
      <w:sz w:val="18"/>
    </w:rPr>
  </w:style>
  <w:style w:type="character" w:customStyle="1" w:styleId="CuadroGCLCar">
    <w:name w:val="Cuadro_GCL Car"/>
    <w:link w:val="CuadroGCL"/>
    <w:locked/>
    <w:rsid w:val="00A26CD3"/>
    <w:rPr>
      <w:rFonts w:ascii="Raleway" w:hAnsi="Raleway"/>
      <w:b/>
      <w:sz w:val="18"/>
      <w:szCs w:val="32"/>
      <w:lang w:val="es-ES_tradnl"/>
    </w:rPr>
  </w:style>
  <w:style w:type="paragraph" w:customStyle="1" w:styleId="CuadroGCL">
    <w:name w:val="Cuadro_GCL"/>
    <w:basedOn w:val="Ttulo1"/>
    <w:link w:val="CuadroGCLCar"/>
    <w:qFormat/>
    <w:rsid w:val="00A26CD3"/>
    <w:pPr>
      <w:pBdr>
        <w:top w:val="single" w:sz="4" w:space="1" w:color="595959"/>
        <w:bottom w:val="single" w:sz="4" w:space="1" w:color="595959"/>
      </w:pBdr>
      <w:spacing w:before="0" w:after="120" w:line="240" w:lineRule="auto"/>
      <w:jc w:val="both"/>
      <w:outlineLvl w:val="9"/>
    </w:pPr>
    <w:rPr>
      <w:rFonts w:ascii="Raleway" w:eastAsiaTheme="minorHAnsi" w:hAnsi="Raleway" w:cstheme="minorBidi"/>
      <w:b/>
      <w:color w:val="auto"/>
      <w:sz w:val="18"/>
      <w:szCs w:val="32"/>
      <w:lang w:val="es-ES_tradnl"/>
    </w:rPr>
  </w:style>
  <w:style w:type="character" w:customStyle="1" w:styleId="FuentePLANDATACar">
    <w:name w:val="Fuente_PLANDATA Car"/>
    <w:link w:val="FuentePLANDATA"/>
    <w:locked/>
    <w:rsid w:val="00A26CD3"/>
    <w:rPr>
      <w:rFonts w:ascii="HelveticaNeueLT Std Lt" w:eastAsia="Meiryo" w:hAnsi="HelveticaNeueLT Std Lt"/>
      <w:sz w:val="14"/>
      <w:szCs w:val="14"/>
      <w:lang w:val="es-ES_tradnl" w:eastAsia="es-ES"/>
    </w:rPr>
  </w:style>
  <w:style w:type="paragraph" w:customStyle="1" w:styleId="FuentePLANDATA">
    <w:name w:val="Fuente_PLANDATA"/>
    <w:basedOn w:val="Normal"/>
    <w:link w:val="FuentePLANDATACar"/>
    <w:qFormat/>
    <w:rsid w:val="00A26CD3"/>
    <w:pPr>
      <w:pBdr>
        <w:top w:val="single" w:sz="4" w:space="1" w:color="auto"/>
        <w:bottom w:val="single" w:sz="4" w:space="1" w:color="auto"/>
      </w:pBdr>
      <w:spacing w:after="0" w:line="240" w:lineRule="auto"/>
      <w:ind w:right="49"/>
    </w:pPr>
    <w:rPr>
      <w:rFonts w:ascii="HelveticaNeueLT Std Lt" w:eastAsia="Meiryo" w:hAnsi="HelveticaNeueLT Std Lt"/>
      <w:sz w:val="14"/>
      <w:szCs w:val="14"/>
      <w:lang w:val="es-ES_tradnl" w:eastAsia="es-ES"/>
    </w:rPr>
  </w:style>
  <w:style w:type="character" w:customStyle="1" w:styleId="FuenteEureCar">
    <w:name w:val="Fuente Eure Car"/>
    <w:link w:val="FuenteEure"/>
    <w:locked/>
    <w:rsid w:val="00A26CD3"/>
    <w:rPr>
      <w:rFonts w:ascii="Arial" w:eastAsia="Meiryo" w:hAnsi="Arial" w:cs="Times New Roman"/>
      <w:sz w:val="18"/>
      <w:szCs w:val="20"/>
      <w:lang w:eastAsia="x-none"/>
    </w:rPr>
  </w:style>
  <w:style w:type="paragraph" w:customStyle="1" w:styleId="FuenteEure">
    <w:name w:val="Fuente Eure"/>
    <w:basedOn w:val="Normal"/>
    <w:link w:val="FuenteEureCar"/>
    <w:qFormat/>
    <w:rsid w:val="00A26CD3"/>
    <w:pPr>
      <w:spacing w:after="0" w:line="240" w:lineRule="auto"/>
      <w:ind w:left="567" w:right="571"/>
      <w:jc w:val="both"/>
    </w:pPr>
    <w:rPr>
      <w:rFonts w:ascii="Arial" w:eastAsia="Meiryo" w:hAnsi="Arial" w:cs="Times New Roman"/>
      <w:sz w:val="18"/>
      <w:szCs w:val="20"/>
      <w:lang w:eastAsia="x-none"/>
    </w:rPr>
  </w:style>
  <w:style w:type="character" w:customStyle="1" w:styleId="CuadroPLANDATACar">
    <w:name w:val="Cuadro_PLANDATA Car"/>
    <w:link w:val="CuadroPLANDATA"/>
    <w:locked/>
    <w:rsid w:val="00A26CD3"/>
    <w:rPr>
      <w:rFonts w:ascii="HelveticaNeueLT Std Lt" w:hAnsi="HelveticaNeueLT Std Lt"/>
      <w:b/>
      <w:sz w:val="18"/>
      <w:szCs w:val="32"/>
      <w:lang w:val="es-ES_tradnl"/>
    </w:rPr>
  </w:style>
  <w:style w:type="paragraph" w:customStyle="1" w:styleId="CuadroPLANDATA">
    <w:name w:val="Cuadro_PLANDATA"/>
    <w:basedOn w:val="Ttulo1"/>
    <w:link w:val="CuadroPLANDATACar"/>
    <w:qFormat/>
    <w:rsid w:val="00A26CD3"/>
    <w:pPr>
      <w:pBdr>
        <w:top w:val="single" w:sz="4" w:space="1" w:color="595959"/>
        <w:bottom w:val="single" w:sz="4" w:space="1" w:color="595959"/>
      </w:pBdr>
      <w:spacing w:before="0" w:line="240" w:lineRule="auto"/>
      <w:jc w:val="both"/>
      <w:outlineLvl w:val="9"/>
    </w:pPr>
    <w:rPr>
      <w:rFonts w:ascii="HelveticaNeueLT Std Lt" w:eastAsiaTheme="minorHAnsi" w:hAnsi="HelveticaNeueLT Std Lt" w:cstheme="minorBidi"/>
      <w:b/>
      <w:color w:val="auto"/>
      <w:sz w:val="18"/>
      <w:szCs w:val="32"/>
      <w:lang w:val="es-ES_tradnl"/>
    </w:rPr>
  </w:style>
  <w:style w:type="paragraph" w:customStyle="1" w:styleId="Ttulo40">
    <w:name w:val="Título4"/>
    <w:basedOn w:val="Normal"/>
    <w:uiPriority w:val="1"/>
    <w:qFormat/>
    <w:rsid w:val="00A26CD3"/>
    <w:pPr>
      <w:spacing w:after="0" w:line="264" w:lineRule="auto"/>
    </w:pPr>
    <w:rPr>
      <w:rFonts w:ascii="HelveticaNeueLT Std Lt" w:eastAsia="Calibri" w:hAnsi="HelveticaNeueLT Std Lt" w:cs="Times New Roman"/>
      <w:b/>
      <w:u w:val="single"/>
      <w:lang w:val="es-ES"/>
    </w:rPr>
  </w:style>
  <w:style w:type="paragraph" w:customStyle="1" w:styleId="Direccindelremitente">
    <w:name w:val="Dirección del remitente"/>
    <w:basedOn w:val="Normal"/>
    <w:uiPriority w:val="1"/>
    <w:qFormat/>
    <w:rsid w:val="00A26CD3"/>
    <w:pPr>
      <w:spacing w:after="0" w:line="264" w:lineRule="auto"/>
      <w:jc w:val="both"/>
    </w:pPr>
    <w:rPr>
      <w:rFonts w:ascii="Times New Roman" w:eastAsia="Calibri" w:hAnsi="Times New Roman" w:cs="Times New Roman"/>
      <w:color w:val="595959"/>
      <w:lang w:val="es-ES"/>
    </w:rPr>
  </w:style>
  <w:style w:type="character" w:customStyle="1" w:styleId="PRRAFOCar">
    <w:name w:val="PÁRRAFO Car"/>
    <w:link w:val="PRRAFO"/>
    <w:locked/>
    <w:rsid w:val="00A26CD3"/>
    <w:rPr>
      <w:rFonts w:ascii="Arial" w:eastAsia="Calibri" w:hAnsi="Arial" w:cs="Times New Roman"/>
    </w:rPr>
  </w:style>
  <w:style w:type="paragraph" w:customStyle="1" w:styleId="PRRAFO">
    <w:name w:val="PÁRRAFO"/>
    <w:basedOn w:val="Prrafodelista"/>
    <w:link w:val="PRRAFOCar"/>
    <w:qFormat/>
    <w:rsid w:val="00A26CD3"/>
    <w:pPr>
      <w:spacing w:before="120" w:after="120" w:line="240" w:lineRule="auto"/>
      <w:ind w:left="0"/>
      <w:contextualSpacing w:val="0"/>
      <w:jc w:val="both"/>
    </w:pPr>
    <w:rPr>
      <w:rFonts w:ascii="Arial" w:eastAsia="Calibri" w:hAnsi="Arial" w:cs="Times New Roman"/>
    </w:rPr>
  </w:style>
  <w:style w:type="paragraph" w:customStyle="1" w:styleId="Ttulo3sn">
    <w:name w:val="Título 3s/n"/>
    <w:basedOn w:val="Ttulo3"/>
    <w:uiPriority w:val="99"/>
    <w:qFormat/>
    <w:rsid w:val="00A26CD3"/>
    <w:pPr>
      <w:keepLines w:val="0"/>
      <w:spacing w:before="240" w:after="60" w:line="240" w:lineRule="auto"/>
      <w:jc w:val="both"/>
      <w:outlineLvl w:val="9"/>
    </w:pPr>
    <w:rPr>
      <w:rFonts w:ascii="Arial" w:hAnsi="Arial" w:cs="Arial"/>
      <w:b/>
      <w:color w:val="800000"/>
      <w:spacing w:val="-8"/>
      <w:sz w:val="24"/>
      <w:szCs w:val="20"/>
      <w:lang w:val="es-NI" w:eastAsia="es-ES"/>
    </w:rPr>
  </w:style>
  <w:style w:type="paragraph" w:customStyle="1" w:styleId="PLANDATA">
    <w:name w:val="PLANDATA"/>
    <w:basedOn w:val="Sinespaciado"/>
    <w:uiPriority w:val="99"/>
    <w:qFormat/>
    <w:rsid w:val="00A26CD3"/>
    <w:pPr>
      <w:keepNext/>
      <w:pBdr>
        <w:top w:val="single" w:sz="4" w:space="1" w:color="auto"/>
        <w:bottom w:val="single" w:sz="4" w:space="1" w:color="auto"/>
      </w:pBdr>
    </w:pPr>
    <w:rPr>
      <w:rFonts w:ascii="HelveticaNeueLT Std Lt" w:eastAsia="Calibri" w:hAnsi="HelveticaNeueLT Std Lt"/>
      <w:kern w:val="2"/>
      <w:sz w:val="20"/>
      <w:szCs w:val="22"/>
      <w14:ligatures w14:val="standardContextual"/>
    </w:rPr>
  </w:style>
  <w:style w:type="character" w:customStyle="1" w:styleId="Sangra3detindependienteCar1">
    <w:name w:val="Sangría 3 de t. independiente Car1"/>
    <w:basedOn w:val="Fuentedeprrafopredeter"/>
    <w:uiPriority w:val="99"/>
    <w:semiHidden/>
    <w:rsid w:val="00A26CD3"/>
    <w:rPr>
      <w:rFonts w:ascii="Calibri" w:eastAsia="Calibri" w:hAnsi="Calibri" w:cs="Times New Roman"/>
      <w:kern w:val="0"/>
      <w:sz w:val="16"/>
      <w:szCs w:val="16"/>
      <w14:ligatures w14:val="none"/>
    </w:rPr>
  </w:style>
  <w:style w:type="character" w:customStyle="1" w:styleId="PREDUSTTXTCar">
    <w:name w:val="PREDUST_TXT Car"/>
    <w:link w:val="PREDUSTTXT"/>
    <w:locked/>
    <w:rsid w:val="00A26CD3"/>
    <w:rPr>
      <w:rFonts w:ascii="Avenir LT Std 35 Light" w:eastAsia="Times New Roman" w:hAnsi="Avenir LT Std 35 Light" w:cs="Times New Roman"/>
      <w:spacing w:val="-8"/>
      <w:sz w:val="20"/>
      <w:szCs w:val="24"/>
      <w:lang w:val="es-ES" w:eastAsia="es-ES"/>
    </w:rPr>
  </w:style>
  <w:style w:type="paragraph" w:customStyle="1" w:styleId="PREDUSTTXT">
    <w:name w:val="PREDUST_TXT"/>
    <w:basedOn w:val="Sangra3detindependiente"/>
    <w:link w:val="PREDUSTTXTCar"/>
    <w:qFormat/>
    <w:rsid w:val="00A26CD3"/>
    <w:pPr>
      <w:spacing w:after="160" w:line="278" w:lineRule="auto"/>
      <w:ind w:left="720"/>
      <w:contextualSpacing/>
      <w:jc w:val="left"/>
    </w:pPr>
    <w:rPr>
      <w:rFonts w:ascii="Avenir LT Std 35 Light" w:hAnsi="Avenir LT Std 35 Light"/>
      <w:spacing w:val="-8"/>
      <w:sz w:val="20"/>
    </w:rPr>
  </w:style>
  <w:style w:type="character" w:customStyle="1" w:styleId="FuenteEureCar0">
    <w:name w:val="Fuente_Eure Car"/>
    <w:link w:val="FuenteEure0"/>
    <w:locked/>
    <w:rsid w:val="00A26CD3"/>
    <w:rPr>
      <w:rFonts w:ascii="Fira Sans" w:eastAsia="Meiryo" w:hAnsi="Fira Sans"/>
      <w:sz w:val="14"/>
      <w:szCs w:val="14"/>
      <w:lang w:val="es-ES_tradnl" w:eastAsia="es-ES"/>
    </w:rPr>
  </w:style>
  <w:style w:type="paragraph" w:customStyle="1" w:styleId="FuenteEure0">
    <w:name w:val="Fuente_Eure"/>
    <w:basedOn w:val="Normal"/>
    <w:link w:val="FuenteEureCar0"/>
    <w:qFormat/>
    <w:rsid w:val="00A26CD3"/>
    <w:pPr>
      <w:pBdr>
        <w:top w:val="single" w:sz="4" w:space="1" w:color="auto"/>
        <w:bottom w:val="single" w:sz="4" w:space="1" w:color="auto"/>
      </w:pBdr>
      <w:spacing w:after="0" w:line="240" w:lineRule="auto"/>
      <w:ind w:right="49"/>
    </w:pPr>
    <w:rPr>
      <w:rFonts w:ascii="Fira Sans" w:eastAsia="Meiryo" w:hAnsi="Fira Sans"/>
      <w:sz w:val="14"/>
      <w:szCs w:val="14"/>
      <w:lang w:val="es-ES_tradnl" w:eastAsia="es-ES"/>
    </w:rPr>
  </w:style>
  <w:style w:type="paragraph" w:customStyle="1" w:styleId="Sombreadovistoso-nfasis31">
    <w:name w:val="Sombreado vistoso - Énfasis 31"/>
    <w:aliases w:val="Párrafo_CentroEURE"/>
    <w:basedOn w:val="Normal"/>
    <w:uiPriority w:val="99"/>
    <w:qFormat/>
    <w:rsid w:val="00A26CD3"/>
    <w:pPr>
      <w:spacing w:after="0" w:line="240" w:lineRule="auto"/>
      <w:contextualSpacing/>
      <w:jc w:val="both"/>
    </w:pPr>
    <w:rPr>
      <w:rFonts w:ascii="Arial" w:eastAsia="Meiryo" w:hAnsi="Arial" w:cs="Times New Roman"/>
      <w:szCs w:val="20"/>
      <w:lang w:eastAsia="x-none"/>
    </w:rPr>
  </w:style>
  <w:style w:type="character" w:customStyle="1" w:styleId="EURETXTCar">
    <w:name w:val="EURE_TXT Car"/>
    <w:link w:val="EURETXT"/>
    <w:locked/>
    <w:rsid w:val="00A26CD3"/>
    <w:rPr>
      <w:rFonts w:ascii="Optima" w:eastAsia="Arial Unicode MS" w:hAnsi="Optima" w:cs="Times New Roman"/>
      <w:color w:val="000000"/>
      <w:sz w:val="20"/>
      <w:szCs w:val="20"/>
      <w:lang w:val="es-ES_tradnl" w:eastAsia="es-ES"/>
    </w:rPr>
  </w:style>
  <w:style w:type="paragraph" w:customStyle="1" w:styleId="EURETXT">
    <w:name w:val="EURE_TXT"/>
    <w:basedOn w:val="Normal"/>
    <w:link w:val="EURETXTCar"/>
    <w:qFormat/>
    <w:rsid w:val="00A26CD3"/>
    <w:pPr>
      <w:spacing w:after="0" w:line="240" w:lineRule="auto"/>
      <w:jc w:val="both"/>
    </w:pPr>
    <w:rPr>
      <w:rFonts w:ascii="Optima" w:eastAsia="Arial Unicode MS" w:hAnsi="Optima" w:cs="Times New Roman"/>
      <w:color w:val="000000"/>
      <w:sz w:val="20"/>
      <w:szCs w:val="20"/>
      <w:lang w:val="es-ES_tradnl" w:eastAsia="es-ES"/>
    </w:rPr>
  </w:style>
  <w:style w:type="character" w:customStyle="1" w:styleId="ONU3Car">
    <w:name w:val="ONU_3 Car"/>
    <w:link w:val="ONU3"/>
    <w:locked/>
    <w:rsid w:val="00A26CD3"/>
    <w:rPr>
      <w:rFonts w:ascii="Frutiger LT Std 45 Light" w:eastAsia="Calibri" w:hAnsi="Frutiger LT Std 45 Light" w:cs="Arial"/>
      <w:b/>
      <w:color w:val="4472C4"/>
      <w:sz w:val="28"/>
      <w:szCs w:val="32"/>
      <w:lang w:val="es-ES"/>
    </w:rPr>
  </w:style>
  <w:style w:type="paragraph" w:customStyle="1" w:styleId="ONU3">
    <w:name w:val="ONU_3"/>
    <w:basedOn w:val="Normal"/>
    <w:link w:val="ONU3Car"/>
    <w:qFormat/>
    <w:rsid w:val="00A26CD3"/>
    <w:pPr>
      <w:spacing w:before="120" w:after="120"/>
      <w:ind w:firstLine="709"/>
      <w:jc w:val="both"/>
      <w:outlineLvl w:val="2"/>
    </w:pPr>
    <w:rPr>
      <w:rFonts w:ascii="Frutiger LT Std 45 Light" w:eastAsia="Calibri" w:hAnsi="Frutiger LT Std 45 Light" w:cs="Arial"/>
      <w:b/>
      <w:color w:val="4472C4"/>
      <w:sz w:val="28"/>
      <w:szCs w:val="32"/>
      <w:lang w:val="es-ES"/>
    </w:rPr>
  </w:style>
  <w:style w:type="character" w:customStyle="1" w:styleId="EURECuadroCar">
    <w:name w:val="EURE_Cuadro Car"/>
    <w:link w:val="EURECuadro"/>
    <w:locked/>
    <w:rsid w:val="00A26CD3"/>
    <w:rPr>
      <w:rFonts w:ascii="Optima" w:eastAsia="Arial Unicode MS" w:hAnsi="Optima" w:cs="Times New Roman"/>
      <w:b/>
      <w:color w:val="7F7F7F"/>
      <w:sz w:val="18"/>
      <w:szCs w:val="18"/>
      <w:lang w:val="es-ES_tradnl" w:eastAsia="es-ES"/>
    </w:rPr>
  </w:style>
  <w:style w:type="paragraph" w:customStyle="1" w:styleId="EURECuadro">
    <w:name w:val="EURE_Cuadro"/>
    <w:basedOn w:val="Normal"/>
    <w:link w:val="EURECuadroCar"/>
    <w:qFormat/>
    <w:rsid w:val="00A26CD3"/>
    <w:pPr>
      <w:keepNext/>
      <w:spacing w:before="120" w:after="120" w:line="240" w:lineRule="auto"/>
      <w:jc w:val="center"/>
    </w:pPr>
    <w:rPr>
      <w:rFonts w:ascii="Optima" w:eastAsia="Arial Unicode MS" w:hAnsi="Optima" w:cs="Times New Roman"/>
      <w:b/>
      <w:color w:val="7F7F7F"/>
      <w:sz w:val="18"/>
      <w:szCs w:val="18"/>
      <w:lang w:val="es-ES_tradnl" w:eastAsia="es-ES"/>
    </w:rPr>
  </w:style>
  <w:style w:type="character" w:customStyle="1" w:styleId="EUREfuenteCar">
    <w:name w:val="EURE_fuente Car"/>
    <w:link w:val="EUREfuente"/>
    <w:locked/>
    <w:rsid w:val="00A26CD3"/>
    <w:rPr>
      <w:rFonts w:ascii="Calibri" w:eastAsia="MS Mincho" w:hAnsi="Calibri" w:cs="Times New Roman"/>
      <w:sz w:val="16"/>
      <w:szCs w:val="24"/>
      <w:lang w:val="es-ES_tradnl" w:eastAsia="es-ES"/>
    </w:rPr>
  </w:style>
  <w:style w:type="paragraph" w:customStyle="1" w:styleId="EUREfuente">
    <w:name w:val="EURE_fuente"/>
    <w:basedOn w:val="Normal"/>
    <w:link w:val="EUREfuenteCar"/>
    <w:qFormat/>
    <w:rsid w:val="00A26CD3"/>
    <w:pPr>
      <w:spacing w:before="120" w:after="240" w:line="240" w:lineRule="auto"/>
      <w:jc w:val="both"/>
    </w:pPr>
    <w:rPr>
      <w:rFonts w:ascii="Calibri" w:eastAsia="MS Mincho" w:hAnsi="Calibri" w:cs="Times New Roman"/>
      <w:sz w:val="16"/>
      <w:szCs w:val="24"/>
      <w:lang w:val="es-ES_tradnl" w:eastAsia="es-ES"/>
    </w:rPr>
  </w:style>
  <w:style w:type="character" w:customStyle="1" w:styleId="CuadroEureCar">
    <w:name w:val="Cuadro_Eure Car"/>
    <w:link w:val="CuadroEure"/>
    <w:locked/>
    <w:rsid w:val="00A26CD3"/>
    <w:rPr>
      <w:rFonts w:ascii="Fira Sans" w:hAnsi="Fira Sans"/>
      <w:b/>
      <w:sz w:val="16"/>
      <w:szCs w:val="32"/>
      <w:lang w:val="es-ES_tradnl"/>
    </w:rPr>
  </w:style>
  <w:style w:type="paragraph" w:customStyle="1" w:styleId="CuadroEure">
    <w:name w:val="Cuadro_Eure"/>
    <w:basedOn w:val="Ttulo1"/>
    <w:link w:val="CuadroEureCar"/>
    <w:qFormat/>
    <w:rsid w:val="00A26CD3"/>
    <w:pPr>
      <w:pBdr>
        <w:top w:val="single" w:sz="4" w:space="1" w:color="595959"/>
        <w:bottom w:val="single" w:sz="4" w:space="1" w:color="595959"/>
      </w:pBdr>
      <w:spacing w:before="0" w:line="240" w:lineRule="auto"/>
      <w:jc w:val="both"/>
      <w:outlineLvl w:val="9"/>
    </w:pPr>
    <w:rPr>
      <w:rFonts w:ascii="Fira Sans" w:eastAsiaTheme="minorHAnsi" w:hAnsi="Fira Sans" w:cstheme="minorBidi"/>
      <w:b/>
      <w:color w:val="auto"/>
      <w:sz w:val="16"/>
      <w:szCs w:val="32"/>
      <w:lang w:val="es-ES_tradnl"/>
    </w:rPr>
  </w:style>
  <w:style w:type="character" w:customStyle="1" w:styleId="EParrafoCar">
    <w:name w:val="E_Parrafo Car"/>
    <w:link w:val="EParrafo"/>
    <w:locked/>
    <w:rsid w:val="00A26CD3"/>
    <w:rPr>
      <w:rFonts w:ascii="Calibri" w:eastAsia="Calibri" w:hAnsi="Calibri" w:cs="Times New Roman"/>
      <w:lang w:val="es-ES"/>
    </w:rPr>
  </w:style>
  <w:style w:type="paragraph" w:customStyle="1" w:styleId="EParrafo">
    <w:name w:val="E_Parrafo"/>
    <w:basedOn w:val="Normal"/>
    <w:link w:val="EParrafoCar"/>
    <w:qFormat/>
    <w:rsid w:val="00A26CD3"/>
    <w:pPr>
      <w:widowControl w:val="0"/>
      <w:autoSpaceDE w:val="0"/>
      <w:autoSpaceDN w:val="0"/>
      <w:adjustRightInd w:val="0"/>
      <w:spacing w:after="240" w:line="240" w:lineRule="auto"/>
      <w:jc w:val="both"/>
    </w:pPr>
    <w:rPr>
      <w:rFonts w:ascii="Calibri" w:eastAsia="Calibri" w:hAnsi="Calibri" w:cs="Times New Roman"/>
      <w:lang w:val="es-ES"/>
    </w:rPr>
  </w:style>
  <w:style w:type="paragraph" w:customStyle="1" w:styleId="subttuloA">
    <w:name w:val="subtítulo A"/>
    <w:basedOn w:val="Normal"/>
    <w:next w:val="Normal"/>
    <w:uiPriority w:val="99"/>
    <w:qFormat/>
    <w:rsid w:val="00A26CD3"/>
    <w:pPr>
      <w:spacing w:before="120" w:after="60" w:line="240" w:lineRule="auto"/>
      <w:ind w:firstLine="340"/>
      <w:jc w:val="both"/>
    </w:pPr>
    <w:rPr>
      <w:rFonts w:ascii="Arial" w:eastAsia="Times New Roman" w:hAnsi="Arial" w:cs="Times New Roman"/>
      <w:i/>
      <w:caps/>
      <w:noProof/>
      <w:spacing w:val="-8"/>
      <w:sz w:val="24"/>
      <w:szCs w:val="20"/>
      <w:lang w:val="es-ES" w:eastAsia="es-ES"/>
    </w:rPr>
  </w:style>
  <w:style w:type="paragraph" w:customStyle="1" w:styleId="tit-tab">
    <w:name w:val="tit-tab"/>
    <w:basedOn w:val="Normal"/>
    <w:uiPriority w:val="99"/>
    <w:qFormat/>
    <w:rsid w:val="00A26CD3"/>
    <w:pPr>
      <w:keepNext/>
      <w:numPr>
        <w:ilvl w:val="12"/>
      </w:numPr>
      <w:tabs>
        <w:tab w:val="left" w:pos="0"/>
      </w:tabs>
      <w:snapToGrid w:val="0"/>
      <w:spacing w:before="60" w:after="60" w:line="240" w:lineRule="auto"/>
      <w:jc w:val="center"/>
    </w:pPr>
    <w:rPr>
      <w:rFonts w:ascii="Arial" w:eastAsia="Times New Roman" w:hAnsi="Arial" w:cs="Times New Roman"/>
      <w:b/>
      <w:caps/>
      <w:spacing w:val="-8"/>
      <w:sz w:val="16"/>
      <w:szCs w:val="20"/>
      <w:lang w:val="es-ES" w:eastAsia="es-ES"/>
    </w:rPr>
  </w:style>
  <w:style w:type="paragraph" w:customStyle="1" w:styleId="tabla">
    <w:name w:val="tabla"/>
    <w:basedOn w:val="Normal"/>
    <w:uiPriority w:val="99"/>
    <w:qFormat/>
    <w:rsid w:val="00A26CD3"/>
    <w:pPr>
      <w:numPr>
        <w:ilvl w:val="12"/>
      </w:numPr>
      <w:tabs>
        <w:tab w:val="left" w:pos="0"/>
      </w:tabs>
      <w:spacing w:after="80" w:line="240" w:lineRule="auto"/>
      <w:jc w:val="both"/>
    </w:pPr>
    <w:rPr>
      <w:rFonts w:ascii="Arial" w:eastAsia="Times New Roman" w:hAnsi="Arial" w:cs="Times New Roman"/>
      <w:spacing w:val="-8"/>
      <w:sz w:val="20"/>
      <w:szCs w:val="20"/>
      <w:lang w:eastAsia="es-ES"/>
    </w:rPr>
  </w:style>
  <w:style w:type="paragraph" w:customStyle="1" w:styleId="PDUncuadrostt">
    <w:name w:val="PDU n cuadros tít"/>
    <w:basedOn w:val="Normal"/>
    <w:uiPriority w:val="99"/>
    <w:qFormat/>
    <w:rsid w:val="00A26CD3"/>
    <w:pPr>
      <w:spacing w:after="0" w:line="240" w:lineRule="auto"/>
    </w:pPr>
    <w:rPr>
      <w:rFonts w:ascii="Calibri" w:eastAsia="Times New Roman" w:hAnsi="Calibri" w:cs="Times New Roman"/>
      <w:b/>
      <w:bCs/>
      <w:caps/>
      <w:color w:val="FFFFFF"/>
      <w:sz w:val="14"/>
      <w:szCs w:val="20"/>
      <w:lang w:eastAsia="es-ES"/>
    </w:rPr>
  </w:style>
  <w:style w:type="character" w:customStyle="1" w:styleId="PDUncuadrosCar">
    <w:name w:val="PDU n cuadros Car"/>
    <w:link w:val="PDUncuadros"/>
    <w:locked/>
    <w:rsid w:val="00A26CD3"/>
    <w:rPr>
      <w:rFonts w:ascii="Calibri" w:eastAsia="Times New Roman" w:hAnsi="Calibri" w:cs="Arial"/>
      <w:color w:val="7030A0"/>
      <w:sz w:val="14"/>
      <w:szCs w:val="24"/>
      <w:lang w:eastAsia="es-ES"/>
    </w:rPr>
  </w:style>
  <w:style w:type="paragraph" w:customStyle="1" w:styleId="PDUncuadros">
    <w:name w:val="PDU n cuadros"/>
    <w:basedOn w:val="Normal"/>
    <w:link w:val="PDUncuadrosCar"/>
    <w:qFormat/>
    <w:rsid w:val="00A26CD3"/>
    <w:pPr>
      <w:spacing w:after="0" w:line="240" w:lineRule="auto"/>
    </w:pPr>
    <w:rPr>
      <w:rFonts w:ascii="Calibri" w:eastAsia="Times New Roman" w:hAnsi="Calibri" w:cs="Arial"/>
      <w:color w:val="7030A0"/>
      <w:sz w:val="14"/>
      <w:szCs w:val="24"/>
      <w:lang w:eastAsia="es-ES"/>
    </w:rPr>
  </w:style>
  <w:style w:type="character" w:customStyle="1" w:styleId="PDUnotasCar">
    <w:name w:val="PDU notas Car"/>
    <w:link w:val="PDUnotas"/>
    <w:locked/>
    <w:rsid w:val="00A26CD3"/>
    <w:rPr>
      <w:rFonts w:ascii="Calibri" w:eastAsia="Times New Roman" w:hAnsi="Calibri" w:cs="Arial"/>
      <w:color w:val="00B0F0"/>
      <w:sz w:val="16"/>
      <w:szCs w:val="24"/>
      <w:lang w:eastAsia="es-ES"/>
    </w:rPr>
  </w:style>
  <w:style w:type="paragraph" w:customStyle="1" w:styleId="PDUnotas">
    <w:name w:val="PDU notas"/>
    <w:basedOn w:val="Normal"/>
    <w:link w:val="PDUnotasCar"/>
    <w:qFormat/>
    <w:rsid w:val="00A26CD3"/>
    <w:pPr>
      <w:spacing w:after="0" w:line="240" w:lineRule="auto"/>
      <w:jc w:val="both"/>
    </w:pPr>
    <w:rPr>
      <w:rFonts w:ascii="Calibri" w:eastAsia="Times New Roman" w:hAnsi="Calibri" w:cs="Arial"/>
      <w:color w:val="00B0F0"/>
      <w:sz w:val="16"/>
      <w:szCs w:val="24"/>
      <w:lang w:eastAsia="es-ES"/>
    </w:rPr>
  </w:style>
  <w:style w:type="paragraph" w:customStyle="1" w:styleId="fnt">
    <w:name w:val="fnt"/>
    <w:basedOn w:val="Normal"/>
    <w:uiPriority w:val="99"/>
    <w:qFormat/>
    <w:rsid w:val="00A26CD3"/>
    <w:pPr>
      <w:spacing w:after="120" w:line="240" w:lineRule="auto"/>
      <w:ind w:left="705" w:hanging="705"/>
    </w:pPr>
    <w:rPr>
      <w:rFonts w:ascii="Arial" w:eastAsia="Times New Roman" w:hAnsi="Arial" w:cs="Times New Roman"/>
      <w:spacing w:val="-8"/>
      <w:sz w:val="16"/>
      <w:szCs w:val="20"/>
      <w:lang w:val="es-ES_tradnl" w:eastAsia="es-ES"/>
    </w:rPr>
  </w:style>
  <w:style w:type="character" w:customStyle="1" w:styleId="Otro">
    <w:name w:val="Otro_"/>
    <w:link w:val="Otro0"/>
    <w:locked/>
    <w:rsid w:val="00A26CD3"/>
    <w:rPr>
      <w:rFonts w:ascii="Arial" w:eastAsia="Arial" w:hAnsi="Arial" w:cs="Arial"/>
    </w:rPr>
  </w:style>
  <w:style w:type="paragraph" w:customStyle="1" w:styleId="Otro0">
    <w:name w:val="Otro"/>
    <w:basedOn w:val="Normal"/>
    <w:link w:val="Otro"/>
    <w:qFormat/>
    <w:rsid w:val="00A26CD3"/>
    <w:pPr>
      <w:widowControl w:val="0"/>
      <w:spacing w:after="100" w:line="240" w:lineRule="auto"/>
    </w:pPr>
    <w:rPr>
      <w:rFonts w:ascii="Arial" w:eastAsia="Arial" w:hAnsi="Arial" w:cs="Arial"/>
    </w:rPr>
  </w:style>
  <w:style w:type="character" w:customStyle="1" w:styleId="Ttulo70">
    <w:name w:val="Título #7_"/>
    <w:link w:val="Ttulo72"/>
    <w:locked/>
    <w:rsid w:val="00A26CD3"/>
    <w:rPr>
      <w:rFonts w:ascii="Calibri" w:hAnsi="Calibri" w:cs="Calibri"/>
      <w:b/>
      <w:bCs/>
      <w:sz w:val="19"/>
      <w:szCs w:val="19"/>
    </w:rPr>
  </w:style>
  <w:style w:type="paragraph" w:customStyle="1" w:styleId="Ttulo72">
    <w:name w:val="Título #7"/>
    <w:basedOn w:val="Normal"/>
    <w:link w:val="Ttulo70"/>
    <w:qFormat/>
    <w:rsid w:val="00A26CD3"/>
    <w:pPr>
      <w:widowControl w:val="0"/>
      <w:spacing w:after="0" w:line="240" w:lineRule="auto"/>
      <w:ind w:left="1620"/>
      <w:outlineLvl w:val="6"/>
    </w:pPr>
    <w:rPr>
      <w:rFonts w:ascii="Calibri" w:hAnsi="Calibri" w:cs="Calibri"/>
      <w:b/>
      <w:bCs/>
      <w:sz w:val="19"/>
      <w:szCs w:val="19"/>
    </w:rPr>
  </w:style>
  <w:style w:type="character" w:customStyle="1" w:styleId="Ttulo60">
    <w:name w:val="Título #6_"/>
    <w:link w:val="Ttulo62"/>
    <w:locked/>
    <w:rsid w:val="00A26CD3"/>
    <w:rPr>
      <w:rFonts w:ascii="Calibri" w:hAnsi="Calibri" w:cs="Calibri"/>
      <w:b/>
      <w:bCs/>
    </w:rPr>
  </w:style>
  <w:style w:type="paragraph" w:customStyle="1" w:styleId="Ttulo62">
    <w:name w:val="Título #6"/>
    <w:basedOn w:val="Normal"/>
    <w:link w:val="Ttulo60"/>
    <w:qFormat/>
    <w:rsid w:val="00A26CD3"/>
    <w:pPr>
      <w:widowControl w:val="0"/>
      <w:spacing w:after="0" w:line="213" w:lineRule="auto"/>
      <w:ind w:firstLine="520"/>
      <w:outlineLvl w:val="5"/>
    </w:pPr>
    <w:rPr>
      <w:rFonts w:ascii="Calibri" w:hAnsi="Calibri" w:cs="Calibri"/>
      <w:b/>
      <w:bCs/>
    </w:rPr>
  </w:style>
  <w:style w:type="character" w:customStyle="1" w:styleId="Encabezadoopiedepgina2">
    <w:name w:val="Encabezado o pie de página (2)_"/>
    <w:link w:val="Encabezadoopiedepgina20"/>
    <w:locked/>
    <w:rsid w:val="00A26CD3"/>
    <w:rPr>
      <w:rFonts w:ascii="Times New Roman" w:eastAsia="Times New Roman" w:hAnsi="Times New Roman" w:cs="Times New Roman"/>
    </w:rPr>
  </w:style>
  <w:style w:type="paragraph" w:customStyle="1" w:styleId="Encabezadoopiedepgina20">
    <w:name w:val="Encabezado o pie de página (2)"/>
    <w:basedOn w:val="Normal"/>
    <w:link w:val="Encabezadoopiedepgina2"/>
    <w:qFormat/>
    <w:rsid w:val="00A26CD3"/>
    <w:pPr>
      <w:widowControl w:val="0"/>
      <w:spacing w:after="0" w:line="240" w:lineRule="auto"/>
    </w:pPr>
    <w:rPr>
      <w:rFonts w:ascii="Times New Roman" w:eastAsia="Times New Roman" w:hAnsi="Times New Roman" w:cs="Times New Roman"/>
    </w:rPr>
  </w:style>
  <w:style w:type="character" w:customStyle="1" w:styleId="Ttulo22">
    <w:name w:val="Título #2_"/>
    <w:link w:val="Ttulo23"/>
    <w:locked/>
    <w:rsid w:val="00A26CD3"/>
    <w:rPr>
      <w:rFonts w:ascii="Arial" w:eastAsia="Arial" w:hAnsi="Arial" w:cs="Arial"/>
      <w:b/>
      <w:bCs/>
      <w:sz w:val="32"/>
      <w:szCs w:val="32"/>
    </w:rPr>
  </w:style>
  <w:style w:type="paragraph" w:customStyle="1" w:styleId="Ttulo23">
    <w:name w:val="Título #2"/>
    <w:basedOn w:val="Normal"/>
    <w:link w:val="Ttulo22"/>
    <w:qFormat/>
    <w:rsid w:val="00A26CD3"/>
    <w:pPr>
      <w:widowControl w:val="0"/>
      <w:spacing w:after="0" w:line="240" w:lineRule="auto"/>
      <w:outlineLvl w:val="1"/>
    </w:pPr>
    <w:rPr>
      <w:rFonts w:ascii="Arial" w:eastAsia="Arial" w:hAnsi="Arial" w:cs="Arial"/>
      <w:b/>
      <w:bCs/>
      <w:sz w:val="32"/>
      <w:szCs w:val="32"/>
    </w:rPr>
  </w:style>
  <w:style w:type="character" w:customStyle="1" w:styleId="Cuerpodeltexto7">
    <w:name w:val="Cuerpo del texto (7)_"/>
    <w:link w:val="Cuerpodeltexto70"/>
    <w:locked/>
    <w:rsid w:val="00A26CD3"/>
    <w:rPr>
      <w:rFonts w:ascii="Arial" w:eastAsia="Arial" w:hAnsi="Arial" w:cs="Arial"/>
      <w:b/>
      <w:bCs/>
      <w:sz w:val="8"/>
      <w:szCs w:val="8"/>
    </w:rPr>
  </w:style>
  <w:style w:type="paragraph" w:customStyle="1" w:styleId="Cuerpodeltexto70">
    <w:name w:val="Cuerpo del texto (7)"/>
    <w:basedOn w:val="Normal"/>
    <w:link w:val="Cuerpodeltexto7"/>
    <w:qFormat/>
    <w:rsid w:val="00A26CD3"/>
    <w:pPr>
      <w:widowControl w:val="0"/>
      <w:spacing w:after="0" w:line="168" w:lineRule="auto"/>
    </w:pPr>
    <w:rPr>
      <w:rFonts w:ascii="Arial" w:eastAsia="Arial" w:hAnsi="Arial" w:cs="Arial"/>
      <w:b/>
      <w:bCs/>
      <w:sz w:val="8"/>
      <w:szCs w:val="8"/>
    </w:rPr>
  </w:style>
  <w:style w:type="character" w:customStyle="1" w:styleId="Leyendadelatabla">
    <w:name w:val="Leyenda de la tabla_"/>
    <w:link w:val="Leyendadelatabla0"/>
    <w:locked/>
    <w:rsid w:val="00A26CD3"/>
    <w:rPr>
      <w:rFonts w:ascii="Arial" w:eastAsia="Arial" w:hAnsi="Arial" w:cs="Arial"/>
      <w:b/>
      <w:bCs/>
      <w:sz w:val="12"/>
      <w:szCs w:val="12"/>
    </w:rPr>
  </w:style>
  <w:style w:type="paragraph" w:customStyle="1" w:styleId="Leyendadelatabla0">
    <w:name w:val="Leyenda de la tabla"/>
    <w:basedOn w:val="Normal"/>
    <w:link w:val="Leyendadelatabla"/>
    <w:qFormat/>
    <w:rsid w:val="00A26CD3"/>
    <w:pPr>
      <w:widowControl w:val="0"/>
      <w:spacing w:after="0" w:line="240" w:lineRule="auto"/>
    </w:pPr>
    <w:rPr>
      <w:rFonts w:ascii="Arial" w:eastAsia="Arial" w:hAnsi="Arial" w:cs="Arial"/>
      <w:b/>
      <w:bCs/>
      <w:sz w:val="12"/>
      <w:szCs w:val="12"/>
    </w:rPr>
  </w:style>
  <w:style w:type="paragraph" w:customStyle="1" w:styleId="Texto1">
    <w:name w:val="Texto_1"/>
    <w:basedOn w:val="Normal"/>
    <w:uiPriority w:val="99"/>
    <w:qFormat/>
    <w:rsid w:val="00A26CD3"/>
    <w:pPr>
      <w:spacing w:before="240" w:after="240" w:line="240" w:lineRule="auto"/>
      <w:jc w:val="both"/>
    </w:pPr>
    <w:rPr>
      <w:rFonts w:ascii="Arial" w:eastAsia="Times New Roman" w:hAnsi="Arial" w:cs="Times New Roman"/>
      <w:szCs w:val="24"/>
      <w:lang w:eastAsia="es-ES"/>
    </w:rPr>
  </w:style>
  <w:style w:type="paragraph" w:customStyle="1" w:styleId="xl158">
    <w:name w:val="xl158"/>
    <w:basedOn w:val="Normal"/>
    <w:qFormat/>
    <w:rsid w:val="00A26CD3"/>
    <w:pPr>
      <w:pBdr>
        <w:top w:val="single" w:sz="4" w:space="0" w:color="auto"/>
        <w:left w:val="single" w:sz="4" w:space="0" w:color="auto"/>
        <w:bottom w:val="single" w:sz="4" w:space="0" w:color="auto"/>
      </w:pBdr>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59">
    <w:name w:val="xl159"/>
    <w:basedOn w:val="Normal"/>
    <w:qFormat/>
    <w:rsid w:val="00A26CD3"/>
    <w:pPr>
      <w:pBdr>
        <w:top w:val="single" w:sz="4" w:space="0" w:color="auto"/>
        <w:bottom w:val="single" w:sz="4" w:space="0" w:color="auto"/>
        <w:right w:val="single" w:sz="4" w:space="0" w:color="auto"/>
      </w:pBdr>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60">
    <w:name w:val="xl160"/>
    <w:basedOn w:val="Normal"/>
    <w:qFormat/>
    <w:rsid w:val="00A26CD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0"/>
      <w:szCs w:val="40"/>
      <w:lang w:eastAsia="es-MX"/>
    </w:rPr>
  </w:style>
  <w:style w:type="paragraph" w:customStyle="1" w:styleId="xl161">
    <w:name w:val="xl161"/>
    <w:basedOn w:val="Normal"/>
    <w:qFormat/>
    <w:rsid w:val="00A26CD3"/>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0"/>
      <w:szCs w:val="40"/>
      <w:lang w:eastAsia="es-MX"/>
    </w:rPr>
  </w:style>
  <w:style w:type="paragraph" w:customStyle="1" w:styleId="xl162">
    <w:name w:val="xl162"/>
    <w:basedOn w:val="Normal"/>
    <w:qFormat/>
    <w:rsid w:val="00A26CD3"/>
    <w:pPr>
      <w:pBdr>
        <w:top w:val="single" w:sz="4" w:space="0" w:color="auto"/>
        <w:left w:val="single" w:sz="4" w:space="0" w:color="auto"/>
        <w:bottom w:val="single" w:sz="4" w:space="0" w:color="auto"/>
      </w:pBdr>
      <w:spacing w:before="100" w:beforeAutospacing="1" w:after="100" w:afterAutospacing="1" w:line="240" w:lineRule="auto"/>
    </w:pPr>
    <w:rPr>
      <w:rFonts w:ascii="Montserrat" w:eastAsia="Times New Roman" w:hAnsi="Montserrat" w:cs="Times New Roman"/>
      <w:sz w:val="32"/>
      <w:szCs w:val="32"/>
      <w:lang w:eastAsia="es-MX"/>
    </w:rPr>
  </w:style>
  <w:style w:type="paragraph" w:customStyle="1" w:styleId="xl163">
    <w:name w:val="xl163"/>
    <w:basedOn w:val="Normal"/>
    <w:qFormat/>
    <w:rsid w:val="00A26CD3"/>
    <w:pPr>
      <w:pBdr>
        <w:top w:val="single" w:sz="4" w:space="0" w:color="auto"/>
        <w:bottom w:val="single" w:sz="4" w:space="0" w:color="auto"/>
        <w:right w:val="single" w:sz="4" w:space="0" w:color="auto"/>
      </w:pBdr>
      <w:spacing w:before="100" w:beforeAutospacing="1" w:after="100" w:afterAutospacing="1" w:line="240" w:lineRule="auto"/>
    </w:pPr>
    <w:rPr>
      <w:rFonts w:ascii="Montserrat" w:eastAsia="Times New Roman" w:hAnsi="Montserrat" w:cs="Times New Roman"/>
      <w:sz w:val="32"/>
      <w:szCs w:val="32"/>
      <w:lang w:eastAsia="es-MX"/>
    </w:rPr>
  </w:style>
  <w:style w:type="paragraph" w:customStyle="1" w:styleId="xl164">
    <w:name w:val="xl164"/>
    <w:basedOn w:val="Normal"/>
    <w:qFormat/>
    <w:rsid w:val="00A26CD3"/>
    <w:pPr>
      <w:pBdr>
        <w:top w:val="single" w:sz="4" w:space="0" w:color="auto"/>
        <w:left w:val="single" w:sz="4" w:space="0" w:color="auto"/>
        <w:bottom w:val="single" w:sz="4" w:space="0" w:color="auto"/>
      </w:pBdr>
      <w:spacing w:before="100" w:beforeAutospacing="1" w:after="100" w:afterAutospacing="1" w:line="240" w:lineRule="auto"/>
      <w:jc w:val="center"/>
    </w:pPr>
    <w:rPr>
      <w:rFonts w:ascii="Montserrat" w:eastAsia="Times New Roman" w:hAnsi="Montserrat" w:cs="Times New Roman"/>
      <w:sz w:val="32"/>
      <w:szCs w:val="32"/>
      <w:lang w:eastAsia="es-MX"/>
    </w:rPr>
  </w:style>
  <w:style w:type="paragraph" w:customStyle="1" w:styleId="xl165">
    <w:name w:val="xl165"/>
    <w:basedOn w:val="Normal"/>
    <w:qFormat/>
    <w:rsid w:val="00A26CD3"/>
    <w:pPr>
      <w:pBdr>
        <w:top w:val="single" w:sz="4" w:space="0" w:color="auto"/>
        <w:bottom w:val="single" w:sz="4" w:space="0" w:color="auto"/>
        <w:right w:val="single" w:sz="4" w:space="0" w:color="auto"/>
      </w:pBdr>
      <w:spacing w:before="100" w:beforeAutospacing="1" w:after="100" w:afterAutospacing="1" w:line="240" w:lineRule="auto"/>
      <w:jc w:val="center"/>
    </w:pPr>
    <w:rPr>
      <w:rFonts w:ascii="Montserrat" w:eastAsia="Times New Roman" w:hAnsi="Montserrat" w:cs="Times New Roman"/>
      <w:sz w:val="32"/>
      <w:szCs w:val="32"/>
      <w:lang w:eastAsia="es-MX"/>
    </w:rPr>
  </w:style>
  <w:style w:type="paragraph" w:customStyle="1" w:styleId="xl166">
    <w:name w:val="xl166"/>
    <w:basedOn w:val="Normal"/>
    <w:qFormat/>
    <w:rsid w:val="00A2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67">
    <w:name w:val="xl167"/>
    <w:basedOn w:val="Normal"/>
    <w:qFormat/>
    <w:rsid w:val="00A26CD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168">
    <w:name w:val="xl168"/>
    <w:basedOn w:val="Normal"/>
    <w:qFormat/>
    <w:rsid w:val="00A26CD3"/>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169">
    <w:name w:val="xl169"/>
    <w:basedOn w:val="Normal"/>
    <w:qFormat/>
    <w:rsid w:val="00A26CD3"/>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70">
    <w:name w:val="xl170"/>
    <w:basedOn w:val="Normal"/>
    <w:qFormat/>
    <w:rsid w:val="00A26CD3"/>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71">
    <w:name w:val="xl171"/>
    <w:basedOn w:val="Normal"/>
    <w:qFormat/>
    <w:rsid w:val="00A26CD3"/>
    <w:pPr>
      <w:pBdr>
        <w:top w:val="double" w:sz="6" w:space="0" w:color="auto"/>
        <w:left w:val="single" w:sz="4" w:space="0" w:color="auto"/>
        <w:bottom w:val="single" w:sz="4" w:space="0" w:color="auto"/>
      </w:pBdr>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72">
    <w:name w:val="xl172"/>
    <w:basedOn w:val="Normal"/>
    <w:qFormat/>
    <w:rsid w:val="00A26CD3"/>
    <w:pPr>
      <w:pBdr>
        <w:top w:val="double" w:sz="6" w:space="0" w:color="auto"/>
        <w:bottom w:val="single" w:sz="4" w:space="0" w:color="auto"/>
        <w:right w:val="single" w:sz="4" w:space="0" w:color="auto"/>
      </w:pBdr>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73">
    <w:name w:val="xl173"/>
    <w:basedOn w:val="Normal"/>
    <w:qFormat/>
    <w:rsid w:val="00A26CD3"/>
    <w:pPr>
      <w:pBdr>
        <w:top w:val="double" w:sz="6" w:space="0" w:color="auto"/>
        <w:left w:val="single" w:sz="4" w:space="0" w:color="auto"/>
        <w:bottom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174">
    <w:name w:val="xl174"/>
    <w:basedOn w:val="Normal"/>
    <w:qFormat/>
    <w:rsid w:val="00A26CD3"/>
    <w:pPr>
      <w:pBdr>
        <w:top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175">
    <w:name w:val="xl175"/>
    <w:basedOn w:val="Normal"/>
    <w:qFormat/>
    <w:rsid w:val="00A26CD3"/>
    <w:pPr>
      <w:pBdr>
        <w:top w:val="single" w:sz="4" w:space="0" w:color="auto"/>
        <w:left w:val="single" w:sz="4" w:space="0" w:color="auto"/>
      </w:pBdr>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76">
    <w:name w:val="xl176"/>
    <w:basedOn w:val="Normal"/>
    <w:qFormat/>
    <w:rsid w:val="00A26CD3"/>
    <w:pPr>
      <w:pBdr>
        <w:top w:val="single" w:sz="4" w:space="0" w:color="auto"/>
        <w:right w:val="single" w:sz="4" w:space="0" w:color="auto"/>
      </w:pBdr>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77">
    <w:name w:val="xl177"/>
    <w:basedOn w:val="Normal"/>
    <w:qFormat/>
    <w:rsid w:val="00A26CD3"/>
    <w:pPr>
      <w:pBdr>
        <w:left w:val="single" w:sz="4" w:space="0" w:color="auto"/>
        <w:bottom w:val="single" w:sz="4" w:space="0" w:color="auto"/>
      </w:pBdr>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78">
    <w:name w:val="xl178"/>
    <w:basedOn w:val="Normal"/>
    <w:qFormat/>
    <w:rsid w:val="00A26CD3"/>
    <w:pPr>
      <w:pBdr>
        <w:bottom w:val="single" w:sz="4" w:space="0" w:color="auto"/>
        <w:right w:val="single" w:sz="4" w:space="0" w:color="auto"/>
      </w:pBdr>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79">
    <w:name w:val="xl179"/>
    <w:basedOn w:val="Normal"/>
    <w:qFormat/>
    <w:rsid w:val="00A26CD3"/>
    <w:pPr>
      <w:pBdr>
        <w:top w:val="single" w:sz="4" w:space="0" w:color="auto"/>
        <w:left w:val="single" w:sz="4" w:space="0" w:color="auto"/>
        <w:bottom w:val="double" w:sz="6" w:space="0" w:color="auto"/>
      </w:pBdr>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80">
    <w:name w:val="xl180"/>
    <w:basedOn w:val="Normal"/>
    <w:qFormat/>
    <w:rsid w:val="00A26CD3"/>
    <w:pPr>
      <w:pBdr>
        <w:top w:val="single" w:sz="4" w:space="0" w:color="auto"/>
        <w:bottom w:val="double" w:sz="6" w:space="0" w:color="auto"/>
        <w:right w:val="single" w:sz="4" w:space="0" w:color="auto"/>
      </w:pBdr>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81">
    <w:name w:val="xl181"/>
    <w:basedOn w:val="Normal"/>
    <w:qFormat/>
    <w:rsid w:val="00A26CD3"/>
    <w:pPr>
      <w:pBdr>
        <w:top w:val="single" w:sz="4" w:space="0" w:color="auto"/>
        <w:left w:val="single" w:sz="4" w:space="0" w:color="auto"/>
        <w:right w:val="single" w:sz="4" w:space="0" w:color="auto"/>
      </w:pBdr>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82">
    <w:name w:val="xl182"/>
    <w:basedOn w:val="Normal"/>
    <w:uiPriority w:val="99"/>
    <w:qFormat/>
    <w:rsid w:val="00A26CD3"/>
    <w:pPr>
      <w:pBdr>
        <w:top w:val="single" w:sz="4" w:space="0" w:color="auto"/>
        <w:lef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83">
    <w:name w:val="xl183"/>
    <w:basedOn w:val="Normal"/>
    <w:uiPriority w:val="99"/>
    <w:qFormat/>
    <w:rsid w:val="00A26CD3"/>
    <w:pPr>
      <w:pBdr>
        <w:top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84">
    <w:name w:val="xl184"/>
    <w:basedOn w:val="Normal"/>
    <w:uiPriority w:val="99"/>
    <w:qFormat/>
    <w:rsid w:val="00A26CD3"/>
    <w:pPr>
      <w:pBdr>
        <w:left w:val="single" w:sz="4" w:space="0" w:color="auto"/>
        <w:bottom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85">
    <w:name w:val="xl185"/>
    <w:basedOn w:val="Normal"/>
    <w:uiPriority w:val="99"/>
    <w:qFormat/>
    <w:rsid w:val="00A26CD3"/>
    <w:pPr>
      <w:pBdr>
        <w:bottom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86">
    <w:name w:val="xl186"/>
    <w:basedOn w:val="Normal"/>
    <w:uiPriority w:val="99"/>
    <w:qFormat/>
    <w:rsid w:val="00A26CD3"/>
    <w:pPr>
      <w:pBdr>
        <w:left w:val="single" w:sz="4" w:space="0" w:color="auto"/>
        <w:bottom w:val="double" w:sz="6"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187">
    <w:name w:val="xl187"/>
    <w:basedOn w:val="Normal"/>
    <w:uiPriority w:val="99"/>
    <w:qFormat/>
    <w:rsid w:val="00A26C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88">
    <w:name w:val="xl188"/>
    <w:basedOn w:val="Normal"/>
    <w:uiPriority w:val="99"/>
    <w:qFormat/>
    <w:rsid w:val="00A26CD3"/>
    <w:pPr>
      <w:pBdr>
        <w:left w:val="single" w:sz="4" w:space="0" w:color="auto"/>
        <w:bottom w:val="single" w:sz="4" w:space="0" w:color="auto"/>
        <w:right w:val="single" w:sz="4" w:space="0" w:color="auto"/>
      </w:pBdr>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189">
    <w:name w:val="xl189"/>
    <w:basedOn w:val="Normal"/>
    <w:uiPriority w:val="99"/>
    <w:qFormat/>
    <w:rsid w:val="00A26CD3"/>
    <w:pPr>
      <w:pBdr>
        <w:top w:val="single" w:sz="4" w:space="0" w:color="auto"/>
        <w:lef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0"/>
      <w:szCs w:val="40"/>
      <w:lang w:eastAsia="es-MX"/>
    </w:rPr>
  </w:style>
  <w:style w:type="paragraph" w:customStyle="1" w:styleId="xl190">
    <w:name w:val="xl190"/>
    <w:basedOn w:val="Normal"/>
    <w:uiPriority w:val="99"/>
    <w:qFormat/>
    <w:rsid w:val="00A26CD3"/>
    <w:pPr>
      <w:pBdr>
        <w:top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0"/>
      <w:szCs w:val="40"/>
      <w:lang w:eastAsia="es-MX"/>
    </w:rPr>
  </w:style>
  <w:style w:type="paragraph" w:customStyle="1" w:styleId="xl191">
    <w:name w:val="xl191"/>
    <w:basedOn w:val="Normal"/>
    <w:uiPriority w:val="99"/>
    <w:qFormat/>
    <w:rsid w:val="00A26CD3"/>
    <w:pPr>
      <w:pBdr>
        <w:left w:val="single" w:sz="4" w:space="0" w:color="auto"/>
        <w:bottom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0"/>
      <w:szCs w:val="40"/>
      <w:lang w:eastAsia="es-MX"/>
    </w:rPr>
  </w:style>
  <w:style w:type="paragraph" w:customStyle="1" w:styleId="xl192">
    <w:name w:val="xl192"/>
    <w:basedOn w:val="Normal"/>
    <w:uiPriority w:val="99"/>
    <w:qFormat/>
    <w:rsid w:val="00A26CD3"/>
    <w:pPr>
      <w:pBdr>
        <w:bottom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0"/>
      <w:szCs w:val="40"/>
      <w:lang w:eastAsia="es-MX"/>
    </w:rPr>
  </w:style>
  <w:style w:type="paragraph" w:customStyle="1" w:styleId="xl193">
    <w:name w:val="xl193"/>
    <w:basedOn w:val="Normal"/>
    <w:uiPriority w:val="99"/>
    <w:qFormat/>
    <w:rsid w:val="00A26CD3"/>
    <w:pPr>
      <w:pBdr>
        <w:top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0"/>
      <w:szCs w:val="40"/>
      <w:lang w:eastAsia="es-MX"/>
    </w:rPr>
  </w:style>
  <w:style w:type="paragraph" w:customStyle="1" w:styleId="xl194">
    <w:name w:val="xl194"/>
    <w:basedOn w:val="Normal"/>
    <w:uiPriority w:val="99"/>
    <w:qFormat/>
    <w:rsid w:val="00A26CD3"/>
    <w:pPr>
      <w:pBdr>
        <w:bottom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0"/>
      <w:szCs w:val="40"/>
      <w:lang w:eastAsia="es-MX"/>
    </w:rPr>
  </w:style>
  <w:style w:type="paragraph" w:customStyle="1" w:styleId="xl195">
    <w:name w:val="xl195"/>
    <w:basedOn w:val="Normal"/>
    <w:uiPriority w:val="99"/>
    <w:qFormat/>
    <w:rsid w:val="00A26CD3"/>
    <w:pPr>
      <w:pBdr>
        <w:top w:val="single" w:sz="4" w:space="0" w:color="auto"/>
        <w:left w:val="single" w:sz="4" w:space="0" w:color="auto"/>
        <w:bottom w:val="double" w:sz="6" w:space="0" w:color="auto"/>
      </w:pBdr>
      <w:shd w:val="clear" w:color="auto" w:fill="FFFFFF"/>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96">
    <w:name w:val="xl196"/>
    <w:basedOn w:val="Normal"/>
    <w:uiPriority w:val="99"/>
    <w:qFormat/>
    <w:rsid w:val="00A26CD3"/>
    <w:pPr>
      <w:pBdr>
        <w:top w:val="single" w:sz="4" w:space="0" w:color="auto"/>
        <w:bottom w:val="double" w:sz="6" w:space="0" w:color="auto"/>
        <w:right w:val="single" w:sz="4" w:space="0" w:color="auto"/>
      </w:pBdr>
      <w:shd w:val="clear" w:color="auto" w:fill="FFFFFF"/>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197">
    <w:name w:val="xl197"/>
    <w:basedOn w:val="Normal"/>
    <w:uiPriority w:val="99"/>
    <w:qFormat/>
    <w:rsid w:val="00A26CD3"/>
    <w:pPr>
      <w:pBdr>
        <w:top w:val="single" w:sz="4" w:space="0" w:color="auto"/>
        <w:left w:val="single" w:sz="4" w:space="0" w:color="auto"/>
        <w:bottom w:val="double" w:sz="6"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98">
    <w:name w:val="xl198"/>
    <w:basedOn w:val="Normal"/>
    <w:uiPriority w:val="99"/>
    <w:qFormat/>
    <w:rsid w:val="00A26CD3"/>
    <w:pPr>
      <w:pBdr>
        <w:top w:val="single" w:sz="4" w:space="0" w:color="auto"/>
        <w:bottom w:val="double" w:sz="6"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199">
    <w:name w:val="xl199"/>
    <w:basedOn w:val="Normal"/>
    <w:uiPriority w:val="99"/>
    <w:qFormat/>
    <w:rsid w:val="00A26CD3"/>
    <w:pPr>
      <w:pBdr>
        <w:top w:val="single" w:sz="4" w:space="0" w:color="auto"/>
        <w:left w:val="single" w:sz="4" w:space="0" w:color="auto"/>
        <w:bottom w:val="double" w:sz="6"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200">
    <w:name w:val="xl200"/>
    <w:basedOn w:val="Normal"/>
    <w:uiPriority w:val="99"/>
    <w:qFormat/>
    <w:rsid w:val="00A26CD3"/>
    <w:pPr>
      <w:pBdr>
        <w:top w:val="single" w:sz="4" w:space="0" w:color="auto"/>
        <w:bottom w:val="double" w:sz="6"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201">
    <w:name w:val="xl201"/>
    <w:basedOn w:val="Normal"/>
    <w:uiPriority w:val="99"/>
    <w:qFormat/>
    <w:rsid w:val="00A26CD3"/>
    <w:pPr>
      <w:pBdr>
        <w:top w:val="double" w:sz="6" w:space="0" w:color="auto"/>
        <w:left w:val="single" w:sz="4" w:space="0" w:color="auto"/>
        <w:bottom w:val="single" w:sz="4" w:space="0" w:color="auto"/>
      </w:pBdr>
      <w:shd w:val="clear" w:color="auto" w:fill="FFFFFF"/>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202">
    <w:name w:val="xl202"/>
    <w:basedOn w:val="Normal"/>
    <w:uiPriority w:val="99"/>
    <w:qFormat/>
    <w:rsid w:val="00A26CD3"/>
    <w:pPr>
      <w:pBdr>
        <w:top w:val="double" w:sz="6" w:space="0" w:color="auto"/>
        <w:bottom w:val="single" w:sz="4" w:space="0" w:color="auto"/>
        <w:right w:val="single" w:sz="4" w:space="0" w:color="auto"/>
      </w:pBdr>
      <w:shd w:val="clear" w:color="auto" w:fill="FFFFFF"/>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203">
    <w:name w:val="xl203"/>
    <w:basedOn w:val="Normal"/>
    <w:uiPriority w:val="99"/>
    <w:qFormat/>
    <w:rsid w:val="00A26CD3"/>
    <w:pPr>
      <w:pBdr>
        <w:top w:val="double" w:sz="6" w:space="0" w:color="auto"/>
        <w:left w:val="single" w:sz="4" w:space="0" w:color="auto"/>
        <w:bottom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204">
    <w:name w:val="xl204"/>
    <w:basedOn w:val="Normal"/>
    <w:uiPriority w:val="99"/>
    <w:qFormat/>
    <w:rsid w:val="00A26CD3"/>
    <w:pPr>
      <w:pBdr>
        <w:top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1"/>
      <w:szCs w:val="41"/>
      <w:lang w:eastAsia="es-MX"/>
    </w:rPr>
  </w:style>
  <w:style w:type="paragraph" w:customStyle="1" w:styleId="xl205">
    <w:name w:val="xl205"/>
    <w:basedOn w:val="Normal"/>
    <w:uiPriority w:val="99"/>
    <w:qFormat/>
    <w:rsid w:val="00A26CD3"/>
    <w:pPr>
      <w:pBdr>
        <w:left w:val="single" w:sz="4" w:space="0" w:color="auto"/>
        <w:bottom w:val="double" w:sz="6" w:space="0" w:color="auto"/>
      </w:pBdr>
      <w:shd w:val="clear" w:color="auto" w:fill="FFFFFF"/>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206">
    <w:name w:val="xl206"/>
    <w:basedOn w:val="Normal"/>
    <w:uiPriority w:val="99"/>
    <w:qFormat/>
    <w:rsid w:val="00A26CD3"/>
    <w:pPr>
      <w:pBdr>
        <w:bottom w:val="double" w:sz="6" w:space="0" w:color="auto"/>
        <w:right w:val="single" w:sz="4" w:space="0" w:color="auto"/>
      </w:pBdr>
      <w:shd w:val="clear" w:color="auto" w:fill="FFFFFF"/>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207">
    <w:name w:val="xl207"/>
    <w:basedOn w:val="Normal"/>
    <w:uiPriority w:val="99"/>
    <w:qFormat/>
    <w:rsid w:val="00A26CD3"/>
    <w:pPr>
      <w:pBdr>
        <w:top w:val="double" w:sz="6" w:space="0" w:color="auto"/>
        <w:left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208">
    <w:name w:val="xl208"/>
    <w:basedOn w:val="Normal"/>
    <w:uiPriority w:val="99"/>
    <w:qFormat/>
    <w:rsid w:val="00A26CD3"/>
    <w:pPr>
      <w:pBdr>
        <w:top w:val="double" w:sz="6" w:space="0" w:color="auto"/>
        <w:left w:val="single" w:sz="4" w:space="0" w:color="auto"/>
      </w:pBdr>
      <w:shd w:val="clear" w:color="auto" w:fill="FFFFFF"/>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209">
    <w:name w:val="xl209"/>
    <w:basedOn w:val="Normal"/>
    <w:uiPriority w:val="99"/>
    <w:qFormat/>
    <w:rsid w:val="00A26CD3"/>
    <w:pPr>
      <w:pBdr>
        <w:top w:val="double" w:sz="6" w:space="0" w:color="auto"/>
        <w:right w:val="single" w:sz="4" w:space="0" w:color="auto"/>
      </w:pBdr>
      <w:shd w:val="clear" w:color="auto" w:fill="FFFFFF"/>
      <w:spacing w:before="100" w:beforeAutospacing="1" w:after="100" w:afterAutospacing="1" w:line="240" w:lineRule="auto"/>
      <w:jc w:val="both"/>
    </w:pPr>
    <w:rPr>
      <w:rFonts w:ascii="Montserrat" w:eastAsia="Times New Roman" w:hAnsi="Montserrat" w:cs="Times New Roman"/>
      <w:sz w:val="42"/>
      <w:szCs w:val="42"/>
      <w:lang w:eastAsia="es-MX"/>
    </w:rPr>
  </w:style>
  <w:style w:type="paragraph" w:customStyle="1" w:styleId="xl210">
    <w:name w:val="xl210"/>
    <w:basedOn w:val="Normal"/>
    <w:uiPriority w:val="99"/>
    <w:qFormat/>
    <w:rsid w:val="00A26CD3"/>
    <w:pPr>
      <w:pBdr>
        <w:top w:val="double" w:sz="6" w:space="0" w:color="auto"/>
        <w:left w:val="single" w:sz="4"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211">
    <w:name w:val="xl211"/>
    <w:basedOn w:val="Normal"/>
    <w:uiPriority w:val="99"/>
    <w:qFormat/>
    <w:rsid w:val="00A26CD3"/>
    <w:pPr>
      <w:pBdr>
        <w:top w:val="double" w:sz="6" w:space="0" w:color="auto"/>
        <w:lef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212">
    <w:name w:val="xl212"/>
    <w:basedOn w:val="Normal"/>
    <w:uiPriority w:val="99"/>
    <w:qFormat/>
    <w:rsid w:val="00A26CD3"/>
    <w:pPr>
      <w:pBdr>
        <w:top w:val="double" w:sz="6" w:space="0" w:color="auto"/>
        <w:right w:val="single" w:sz="4" w:space="0" w:color="auto"/>
      </w:pBdr>
      <w:shd w:val="clear" w:color="auto" w:fill="FFFFFF"/>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213">
    <w:name w:val="xl213"/>
    <w:basedOn w:val="Normal"/>
    <w:uiPriority w:val="99"/>
    <w:qFormat/>
    <w:rsid w:val="00A26CD3"/>
    <w:pPr>
      <w:pBdr>
        <w:top w:val="single" w:sz="4" w:space="0" w:color="auto"/>
        <w:left w:val="single" w:sz="4" w:space="0" w:color="auto"/>
        <w:bottom w:val="single" w:sz="4" w:space="0" w:color="auto"/>
      </w:pBdr>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214">
    <w:name w:val="xl214"/>
    <w:basedOn w:val="Normal"/>
    <w:uiPriority w:val="99"/>
    <w:qFormat/>
    <w:rsid w:val="00A26CD3"/>
    <w:pPr>
      <w:pBdr>
        <w:top w:val="single" w:sz="4" w:space="0" w:color="auto"/>
        <w:bottom w:val="single" w:sz="4" w:space="0" w:color="auto"/>
        <w:right w:val="single" w:sz="4" w:space="0" w:color="auto"/>
      </w:pBdr>
      <w:spacing w:before="100" w:beforeAutospacing="1" w:after="100" w:afterAutospacing="1" w:line="240" w:lineRule="auto"/>
      <w:jc w:val="center"/>
    </w:pPr>
    <w:rPr>
      <w:rFonts w:ascii="Montserrat" w:eastAsia="Times New Roman" w:hAnsi="Montserrat" w:cs="Times New Roman"/>
      <w:sz w:val="42"/>
      <w:szCs w:val="42"/>
      <w:lang w:eastAsia="es-MX"/>
    </w:rPr>
  </w:style>
  <w:style w:type="paragraph" w:customStyle="1" w:styleId="xl215">
    <w:name w:val="xl215"/>
    <w:basedOn w:val="Normal"/>
    <w:uiPriority w:val="99"/>
    <w:qFormat/>
    <w:rsid w:val="00A26CD3"/>
    <w:pPr>
      <w:pBdr>
        <w:top w:val="single" w:sz="4" w:space="0" w:color="auto"/>
        <w:left w:val="single" w:sz="4" w:space="0" w:color="auto"/>
        <w:bottom w:val="single" w:sz="4" w:space="0" w:color="auto"/>
        <w:right w:val="single" w:sz="4" w:space="0" w:color="auto"/>
      </w:pBdr>
      <w:shd w:val="clear" w:color="auto" w:fill="404040"/>
      <w:spacing w:before="100" w:beforeAutospacing="1" w:after="100" w:afterAutospacing="1" w:line="240" w:lineRule="auto"/>
    </w:pPr>
    <w:rPr>
      <w:rFonts w:ascii="Montserrat" w:eastAsia="Times New Roman" w:hAnsi="Montserrat" w:cs="Times New Roman"/>
      <w:b/>
      <w:bCs/>
      <w:color w:val="FFFFFF"/>
      <w:sz w:val="42"/>
      <w:szCs w:val="42"/>
      <w:lang w:eastAsia="es-MX"/>
    </w:rPr>
  </w:style>
  <w:style w:type="paragraph" w:customStyle="1" w:styleId="xl216">
    <w:name w:val="xl216"/>
    <w:basedOn w:val="Normal"/>
    <w:uiPriority w:val="99"/>
    <w:qFormat/>
    <w:rsid w:val="00A26CD3"/>
    <w:pPr>
      <w:spacing w:before="100" w:beforeAutospacing="1" w:after="100" w:afterAutospacing="1" w:line="240" w:lineRule="auto"/>
    </w:pPr>
    <w:rPr>
      <w:rFonts w:ascii="Montserrat" w:eastAsia="Times New Roman" w:hAnsi="Montserrat" w:cs="Times New Roman"/>
      <w:sz w:val="42"/>
      <w:szCs w:val="42"/>
      <w:lang w:eastAsia="es-MX"/>
    </w:rPr>
  </w:style>
  <w:style w:type="paragraph" w:customStyle="1" w:styleId="xl217">
    <w:name w:val="xl217"/>
    <w:basedOn w:val="Normal"/>
    <w:uiPriority w:val="99"/>
    <w:qFormat/>
    <w:rsid w:val="00A26CD3"/>
    <w:pPr>
      <w:spacing w:before="100" w:beforeAutospacing="1" w:after="100" w:afterAutospacing="1" w:line="240" w:lineRule="auto"/>
    </w:pPr>
    <w:rPr>
      <w:rFonts w:ascii="Montserrat" w:eastAsia="Times New Roman" w:hAnsi="Montserrat" w:cs="Times New Roman"/>
      <w:sz w:val="42"/>
      <w:szCs w:val="42"/>
      <w:lang w:eastAsia="es-MX"/>
    </w:rPr>
  </w:style>
  <w:style w:type="paragraph" w:customStyle="1" w:styleId="xl218">
    <w:name w:val="xl218"/>
    <w:basedOn w:val="Normal"/>
    <w:uiPriority w:val="99"/>
    <w:qFormat/>
    <w:rsid w:val="00A26CD3"/>
    <w:pPr>
      <w:spacing w:before="100" w:beforeAutospacing="1" w:after="100" w:afterAutospacing="1" w:line="240" w:lineRule="auto"/>
    </w:pPr>
    <w:rPr>
      <w:rFonts w:ascii="Montserrat" w:eastAsia="Times New Roman" w:hAnsi="Montserrat" w:cs="Times New Roman"/>
      <w:sz w:val="42"/>
      <w:szCs w:val="42"/>
      <w:lang w:eastAsia="es-MX"/>
    </w:rPr>
  </w:style>
  <w:style w:type="character" w:customStyle="1" w:styleId="ENCA-NUMCar">
    <w:name w:val="ENCA-NUM Car"/>
    <w:link w:val="ENCA-NUM"/>
    <w:locked/>
    <w:rsid w:val="00A26CD3"/>
    <w:rPr>
      <w:rFonts w:ascii="HelveticaNeueLT Std" w:hAnsi="HelveticaNeueLT Std"/>
      <w:b/>
      <w:sz w:val="16"/>
      <w:szCs w:val="16"/>
      <w:lang w:val="es-ES"/>
    </w:rPr>
  </w:style>
  <w:style w:type="paragraph" w:customStyle="1" w:styleId="ENCA-NUM">
    <w:name w:val="ENCA-NUM"/>
    <w:basedOn w:val="Normal"/>
    <w:link w:val="ENCA-NUMCar"/>
    <w:qFormat/>
    <w:rsid w:val="00A26CD3"/>
    <w:pPr>
      <w:spacing w:before="120" w:after="0" w:line="240" w:lineRule="auto"/>
      <w:jc w:val="center"/>
    </w:pPr>
    <w:rPr>
      <w:rFonts w:ascii="HelveticaNeueLT Std" w:hAnsi="HelveticaNeueLT Std"/>
      <w:b/>
      <w:sz w:val="16"/>
      <w:szCs w:val="16"/>
      <w:lang w:val="es-ES"/>
    </w:rPr>
  </w:style>
  <w:style w:type="character" w:customStyle="1" w:styleId="ENCA-UNICar">
    <w:name w:val="ENCA-UNI Car"/>
    <w:link w:val="ENCA-UNI"/>
    <w:locked/>
    <w:rsid w:val="00A26CD3"/>
    <w:rPr>
      <w:rFonts w:ascii="HelveticaNeueLT Std Blk" w:hAnsi="HelveticaNeueLT Std Blk"/>
      <w:b/>
    </w:rPr>
  </w:style>
  <w:style w:type="paragraph" w:customStyle="1" w:styleId="ENCA-UNI">
    <w:name w:val="ENCA-UNI"/>
    <w:basedOn w:val="UNIADMVA"/>
    <w:link w:val="ENCA-UNICar"/>
    <w:qFormat/>
    <w:rsid w:val="00A26CD3"/>
    <w:pPr>
      <w:tabs>
        <w:tab w:val="clear" w:pos="1843"/>
      </w:tabs>
      <w:spacing w:before="120" w:after="0"/>
      <w:ind w:left="2072" w:hanging="2072"/>
    </w:pPr>
    <w:rPr>
      <w:rFonts w:ascii="HelveticaNeueLT Std Blk" w:eastAsiaTheme="minorHAnsi" w:hAnsi="HelveticaNeueLT Std Blk" w:cstheme="minorBidi"/>
      <w:bCs w:val="0"/>
      <w:sz w:val="22"/>
      <w:szCs w:val="22"/>
    </w:rPr>
  </w:style>
  <w:style w:type="character" w:customStyle="1" w:styleId="ENCA-FUNCar">
    <w:name w:val="ENCA-FUN Car"/>
    <w:link w:val="ENCA-FUN"/>
    <w:locked/>
    <w:rsid w:val="00A26CD3"/>
    <w:rPr>
      <w:rFonts w:ascii="HelveticaNeueLT Std" w:hAnsi="HelveticaNeueLT Std" w:cs="Arial"/>
    </w:rPr>
  </w:style>
  <w:style w:type="paragraph" w:customStyle="1" w:styleId="ENCA-FUN">
    <w:name w:val="ENCA-FUN"/>
    <w:basedOn w:val="Normal"/>
    <w:link w:val="ENCA-FUNCar"/>
    <w:qFormat/>
    <w:rsid w:val="00A26CD3"/>
    <w:pPr>
      <w:spacing w:before="120" w:after="120" w:line="240" w:lineRule="auto"/>
      <w:ind w:left="284" w:hanging="284"/>
      <w:jc w:val="both"/>
    </w:pPr>
    <w:rPr>
      <w:rFonts w:ascii="HelveticaNeueLT Std" w:hAnsi="HelveticaNeueLT Std" w:cs="Arial"/>
    </w:rPr>
  </w:style>
  <w:style w:type="character" w:customStyle="1" w:styleId="ENCA-FUN11Car">
    <w:name w:val="ENCA-FUN11 Car"/>
    <w:link w:val="ENCA-FUN11"/>
    <w:locked/>
    <w:rsid w:val="00A26CD3"/>
    <w:rPr>
      <w:rFonts w:ascii="HelveticaNeueLT Std" w:hAnsi="HelveticaNeueLT Std" w:cs="Arial"/>
    </w:rPr>
  </w:style>
  <w:style w:type="paragraph" w:customStyle="1" w:styleId="ENCA-FUN11">
    <w:name w:val="ENCA-FUN11"/>
    <w:basedOn w:val="ENCA-FUN"/>
    <w:link w:val="ENCA-FUN11Car"/>
    <w:qFormat/>
    <w:rsid w:val="00A26CD3"/>
  </w:style>
  <w:style w:type="character" w:customStyle="1" w:styleId="FUNENCACar">
    <w:name w:val="FUNENCA Car"/>
    <w:link w:val="FUNENCA"/>
    <w:locked/>
    <w:rsid w:val="00A26CD3"/>
    <w:rPr>
      <w:rFonts w:ascii="HelveticaNeueLT Std" w:hAnsi="HelveticaNeueLT Std"/>
      <w:b/>
      <w:bCs/>
    </w:rPr>
  </w:style>
  <w:style w:type="paragraph" w:customStyle="1" w:styleId="FUNENCA">
    <w:name w:val="FUNENCA"/>
    <w:basedOn w:val="Normal"/>
    <w:link w:val="FUNENCACar"/>
    <w:qFormat/>
    <w:rsid w:val="00A26CD3"/>
    <w:pPr>
      <w:spacing w:before="240" w:after="240" w:line="240" w:lineRule="auto"/>
      <w:ind w:left="1985" w:right="48" w:hanging="2293"/>
      <w:jc w:val="both"/>
    </w:pPr>
    <w:rPr>
      <w:rFonts w:ascii="HelveticaNeueLT Std" w:hAnsi="HelveticaNeueLT Std"/>
      <w:b/>
      <w:bCs/>
    </w:rPr>
  </w:style>
  <w:style w:type="paragraph" w:customStyle="1" w:styleId="Fecha1">
    <w:name w:val="Fecha1"/>
    <w:basedOn w:val="Normal"/>
    <w:next w:val="Normal"/>
    <w:uiPriority w:val="99"/>
    <w:qFormat/>
    <w:rsid w:val="00A26CD3"/>
    <w:pPr>
      <w:overflowPunct w:val="0"/>
      <w:autoSpaceDE w:val="0"/>
      <w:autoSpaceDN w:val="0"/>
      <w:adjustRightInd w:val="0"/>
      <w:spacing w:after="0" w:line="240" w:lineRule="auto"/>
    </w:pPr>
    <w:rPr>
      <w:rFonts w:ascii="Gill Sans MT" w:eastAsia="Times New Roman" w:hAnsi="Gill Sans MT" w:cs="Gill Sans MT"/>
      <w:sz w:val="20"/>
      <w:szCs w:val="20"/>
      <w:lang w:val="es-ES_tradnl" w:eastAsia="es-ES"/>
    </w:rPr>
  </w:style>
  <w:style w:type="paragraph" w:customStyle="1" w:styleId="TAB20">
    <w:name w:val="TAB2"/>
    <w:basedOn w:val="Normal"/>
    <w:uiPriority w:val="99"/>
    <w:qFormat/>
    <w:rsid w:val="00A26CD3"/>
    <w:pPr>
      <w:widowControl w:val="0"/>
      <w:spacing w:after="0" w:line="240" w:lineRule="auto"/>
    </w:pPr>
    <w:rPr>
      <w:rFonts w:ascii="Times New Roman" w:eastAsia="Times New Roman" w:hAnsi="Times New Roman" w:cs="Times New Roman"/>
      <w:noProof/>
      <w:sz w:val="20"/>
      <w:szCs w:val="20"/>
      <w:lang w:val="es-ES" w:eastAsia="es-MX"/>
    </w:rPr>
  </w:style>
  <w:style w:type="paragraph" w:customStyle="1" w:styleId="TAB10">
    <w:name w:val="TAB1"/>
    <w:basedOn w:val="Normal"/>
    <w:uiPriority w:val="99"/>
    <w:qFormat/>
    <w:rsid w:val="00A26CD3"/>
    <w:pPr>
      <w:widowControl w:val="0"/>
      <w:spacing w:after="0" w:line="240" w:lineRule="auto"/>
    </w:pPr>
    <w:rPr>
      <w:rFonts w:ascii="Times New Roman" w:eastAsia="Times New Roman" w:hAnsi="Times New Roman" w:cs="Times New Roman"/>
      <w:noProof/>
      <w:sz w:val="20"/>
      <w:szCs w:val="20"/>
      <w:lang w:eastAsia="es-ES"/>
    </w:rPr>
  </w:style>
  <w:style w:type="paragraph" w:customStyle="1" w:styleId="TITUL">
    <w:name w:val="TITUL"/>
    <w:basedOn w:val="TITULO"/>
    <w:uiPriority w:val="99"/>
    <w:qFormat/>
    <w:rsid w:val="00A26CD3"/>
    <w:pPr>
      <w:snapToGrid w:val="0"/>
    </w:pPr>
    <w:rPr>
      <w:lang w:eastAsia="es-MX"/>
    </w:rPr>
  </w:style>
  <w:style w:type="paragraph" w:customStyle="1" w:styleId="CM5">
    <w:name w:val="CM5"/>
    <w:basedOn w:val="Normal"/>
    <w:next w:val="Normal"/>
    <w:uiPriority w:val="99"/>
    <w:qFormat/>
    <w:rsid w:val="00A26CD3"/>
    <w:pPr>
      <w:widowControl w:val="0"/>
      <w:autoSpaceDE w:val="0"/>
      <w:autoSpaceDN w:val="0"/>
      <w:adjustRightInd w:val="0"/>
      <w:spacing w:after="0" w:line="298" w:lineRule="atLeast"/>
    </w:pPr>
    <w:rPr>
      <w:rFonts w:ascii="ONLKPP+CenturyGothic" w:eastAsia="Times New Roman" w:hAnsi="ONLKPP+CenturyGothic" w:cs="Times New Roman"/>
      <w:sz w:val="24"/>
      <w:szCs w:val="24"/>
      <w:lang w:eastAsia="es-MX"/>
    </w:rPr>
  </w:style>
  <w:style w:type="paragraph" w:customStyle="1" w:styleId="CM35">
    <w:name w:val="CM35"/>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paragraph" w:customStyle="1" w:styleId="CM37">
    <w:name w:val="CM37"/>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paragraph" w:customStyle="1" w:styleId="CM24">
    <w:name w:val="CM24"/>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paragraph" w:customStyle="1" w:styleId="CM25">
    <w:name w:val="CM25"/>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paragraph" w:customStyle="1" w:styleId="CM27">
    <w:name w:val="CM27"/>
    <w:basedOn w:val="Default"/>
    <w:next w:val="Default"/>
    <w:uiPriority w:val="99"/>
    <w:qFormat/>
    <w:rsid w:val="00A26CD3"/>
    <w:pPr>
      <w:keepNext/>
      <w:keepLines/>
      <w:autoSpaceDE/>
      <w:autoSpaceDN/>
      <w:adjustRightInd/>
      <w:spacing w:before="40" w:line="278" w:lineRule="auto"/>
      <w:outlineLvl w:val="5"/>
    </w:pPr>
    <w:rPr>
      <w:rFonts w:asciiTheme="minorHAnsi" w:eastAsia="Times New Roman" w:hAnsiTheme="minorHAnsi" w:cs="Times New Roman"/>
      <w:i/>
      <w:iCs/>
      <w:color w:val="595959"/>
      <w:kern w:val="2"/>
      <w14:ligatures w14:val="standardContextual"/>
    </w:rPr>
  </w:style>
  <w:style w:type="character" w:customStyle="1" w:styleId="baselegal2Car0">
    <w:name w:val="base legal2 Car"/>
    <w:link w:val="baselegal20"/>
    <w:locked/>
    <w:rsid w:val="00A26CD3"/>
    <w:rPr>
      <w:rFonts w:ascii="HelveticaNeueLT Std" w:hAnsi="HelveticaNeueLT Std" w:cs="Arial"/>
      <w:noProof/>
      <w:sz w:val="16"/>
      <w:szCs w:val="16"/>
      <w:lang w:val="x-none"/>
    </w:rPr>
  </w:style>
  <w:style w:type="paragraph" w:customStyle="1" w:styleId="baselegal20">
    <w:name w:val="base legal2"/>
    <w:basedOn w:val="baselegal1"/>
    <w:link w:val="baselegal2Car0"/>
    <w:qFormat/>
    <w:rsid w:val="00A26CD3"/>
    <w:pPr>
      <w:numPr>
        <w:numId w:val="0"/>
      </w:numPr>
      <w:spacing w:after="120"/>
      <w:ind w:left="350"/>
    </w:pPr>
    <w:rPr>
      <w:rFonts w:eastAsiaTheme="minorHAnsi"/>
      <w:noProof/>
      <w:sz w:val="16"/>
      <w:szCs w:val="16"/>
      <w:lang w:val="x-none"/>
    </w:rPr>
  </w:style>
  <w:style w:type="character" w:customStyle="1" w:styleId="APARTADOSCar">
    <w:name w:val="APARTADOS Car"/>
    <w:link w:val="APARTADOS"/>
    <w:uiPriority w:val="99"/>
    <w:locked/>
    <w:rsid w:val="00A26CD3"/>
    <w:rPr>
      <w:rFonts w:ascii="HelveticaNeueLT Std" w:eastAsia="Times New Roman" w:hAnsi="HelveticaNeueLT Std" w:cs="Arial"/>
      <w:b/>
      <w:sz w:val="24"/>
      <w:szCs w:val="24"/>
    </w:rPr>
  </w:style>
  <w:style w:type="paragraph" w:customStyle="1" w:styleId="APARTADOS">
    <w:name w:val="APARTADOS"/>
    <w:basedOn w:val="Prrafodelista"/>
    <w:link w:val="APARTADOSCar"/>
    <w:uiPriority w:val="99"/>
    <w:qFormat/>
    <w:rsid w:val="00A26CD3"/>
    <w:pPr>
      <w:numPr>
        <w:numId w:val="67"/>
      </w:numPr>
      <w:spacing w:before="240" w:after="240" w:line="240" w:lineRule="auto"/>
      <w:contextualSpacing w:val="0"/>
      <w:mirrorIndents/>
      <w:jc w:val="center"/>
    </w:pPr>
    <w:rPr>
      <w:rFonts w:ascii="HelveticaNeueLT Std" w:eastAsia="Times New Roman" w:hAnsi="HelveticaNeueLT Std" w:cs="Arial"/>
      <w:b/>
      <w:sz w:val="24"/>
      <w:szCs w:val="24"/>
    </w:rPr>
  </w:style>
  <w:style w:type="paragraph" w:customStyle="1" w:styleId="TtulodeTDC1">
    <w:name w:val="Título de TDC1"/>
    <w:basedOn w:val="Ttulo1"/>
    <w:next w:val="Normal"/>
    <w:uiPriority w:val="39"/>
    <w:qFormat/>
    <w:rsid w:val="00A26CD3"/>
    <w:pPr>
      <w:spacing w:line="254" w:lineRule="auto"/>
      <w:outlineLvl w:val="9"/>
    </w:pPr>
    <w:rPr>
      <w:rFonts w:ascii="Calibri Light" w:hAnsi="Calibri Light"/>
      <w:color w:val="2E74B5"/>
      <w:sz w:val="32"/>
      <w:szCs w:val="32"/>
      <w:lang w:eastAsia="es-MX"/>
    </w:rPr>
  </w:style>
  <w:style w:type="character" w:customStyle="1" w:styleId="INDI-NEGCar">
    <w:name w:val="INDI-NEG Car"/>
    <w:link w:val="INDI-NEG"/>
    <w:locked/>
    <w:rsid w:val="00A26CD3"/>
    <w:rPr>
      <w:rFonts w:ascii="HelveticaNeueLT Std" w:hAnsi="HelveticaNeueLT Std"/>
      <w:b/>
      <w:sz w:val="16"/>
      <w:szCs w:val="16"/>
    </w:rPr>
  </w:style>
  <w:style w:type="paragraph" w:customStyle="1" w:styleId="INDI-NEG">
    <w:name w:val="INDI-NEG"/>
    <w:basedOn w:val="Normal"/>
    <w:link w:val="INDI-NEGCar"/>
    <w:qFormat/>
    <w:rsid w:val="00A26CD3"/>
    <w:pPr>
      <w:tabs>
        <w:tab w:val="right" w:leader="dot" w:pos="10206"/>
      </w:tabs>
      <w:spacing w:before="120" w:after="0" w:line="240" w:lineRule="auto"/>
      <w:ind w:left="1134" w:hanging="567"/>
    </w:pPr>
    <w:rPr>
      <w:rFonts w:ascii="HelveticaNeueLT Std" w:hAnsi="HelveticaNeueLT Std"/>
      <w:b/>
      <w:sz w:val="16"/>
      <w:szCs w:val="16"/>
    </w:rPr>
  </w:style>
  <w:style w:type="character" w:customStyle="1" w:styleId="INDI-BLANCar">
    <w:name w:val="INDI-BLAN Car"/>
    <w:link w:val="INDI-BLAN"/>
    <w:uiPriority w:val="99"/>
    <w:locked/>
    <w:rsid w:val="00A26CD3"/>
    <w:rPr>
      <w:rFonts w:ascii="HelveticaNeueLT Std" w:hAnsi="HelveticaNeueLT Std"/>
      <w:bCs/>
      <w:sz w:val="16"/>
      <w:szCs w:val="16"/>
    </w:rPr>
  </w:style>
  <w:style w:type="paragraph" w:customStyle="1" w:styleId="INDI-BLAN">
    <w:name w:val="INDI-BLAN"/>
    <w:basedOn w:val="INDI-NEG"/>
    <w:link w:val="INDI-BLANCar"/>
    <w:uiPriority w:val="99"/>
    <w:qFormat/>
    <w:rsid w:val="00A26CD3"/>
    <w:pPr>
      <w:numPr>
        <w:numId w:val="68"/>
      </w:numPr>
    </w:pPr>
    <w:rPr>
      <w:b w:val="0"/>
      <w:bCs/>
    </w:rPr>
  </w:style>
  <w:style w:type="paragraph" w:customStyle="1" w:styleId="Style5">
    <w:name w:val="Style 5"/>
    <w:uiPriority w:val="99"/>
    <w:qFormat/>
    <w:rsid w:val="00A26CD3"/>
    <w:pPr>
      <w:widowControl w:val="0"/>
      <w:autoSpaceDE w:val="0"/>
      <w:autoSpaceDN w:val="0"/>
      <w:spacing w:before="72" w:after="0" w:line="206" w:lineRule="auto"/>
      <w:ind w:left="216"/>
    </w:pPr>
    <w:rPr>
      <w:rFonts w:ascii="Times New Roman" w:eastAsia="Times New Roman" w:hAnsi="Times New Roman" w:cs="Times New Roman"/>
      <w:sz w:val="24"/>
      <w:szCs w:val="24"/>
      <w:lang w:val="en-US" w:eastAsia="es-MX"/>
    </w:rPr>
  </w:style>
  <w:style w:type="character" w:customStyle="1" w:styleId="ESTRU-BALNCar">
    <w:name w:val="ESTRU-BALN Car"/>
    <w:link w:val="ESTRU-BALN"/>
    <w:locked/>
    <w:rsid w:val="00A26CD3"/>
    <w:rPr>
      <w:rFonts w:ascii="HelveticaNeueLT Std" w:hAnsi="HelveticaNeueLT Std"/>
      <w:bCs/>
      <w:sz w:val="16"/>
      <w:szCs w:val="16"/>
    </w:rPr>
  </w:style>
  <w:style w:type="paragraph" w:customStyle="1" w:styleId="ESTRU-BALN">
    <w:name w:val="ESTRU-BALN"/>
    <w:basedOn w:val="UNIADMVA"/>
    <w:link w:val="ESTRU-BALNCar"/>
    <w:qFormat/>
    <w:rsid w:val="00A26CD3"/>
    <w:pPr>
      <w:tabs>
        <w:tab w:val="clear" w:pos="1843"/>
      </w:tabs>
      <w:spacing w:before="120" w:after="120"/>
      <w:ind w:left="1843" w:hanging="1843"/>
    </w:pPr>
    <w:rPr>
      <w:rFonts w:eastAsiaTheme="minorHAnsi" w:cstheme="minorBidi"/>
      <w:b w:val="0"/>
      <w:sz w:val="16"/>
      <w:szCs w:val="16"/>
    </w:rPr>
  </w:style>
  <w:style w:type="character" w:customStyle="1" w:styleId="INDI-NEG1Car">
    <w:name w:val="INDI-NEG1 Car"/>
    <w:link w:val="INDI-NEG1"/>
    <w:uiPriority w:val="99"/>
    <w:locked/>
    <w:rsid w:val="00A26CD3"/>
    <w:rPr>
      <w:rFonts w:ascii="HelveticaNeueLT Std Med" w:hAnsi="HelveticaNeueLT Std Med"/>
      <w:b/>
      <w:sz w:val="16"/>
      <w:szCs w:val="16"/>
    </w:rPr>
  </w:style>
  <w:style w:type="paragraph" w:customStyle="1" w:styleId="INDI-NEG1">
    <w:name w:val="INDI-NEG1"/>
    <w:basedOn w:val="INDI-BLAN"/>
    <w:link w:val="INDI-NEG1Car"/>
    <w:uiPriority w:val="99"/>
    <w:qFormat/>
    <w:rsid w:val="00A26CD3"/>
    <w:rPr>
      <w:rFonts w:ascii="HelveticaNeueLT Std Med" w:hAnsi="HelveticaNeueLT Std Med"/>
      <w:b/>
      <w:bCs w:val="0"/>
    </w:rPr>
  </w:style>
  <w:style w:type="character" w:customStyle="1" w:styleId="FUNCIN8Car">
    <w:name w:val="FUNCIÓN 8 Car"/>
    <w:link w:val="FUNCIN8"/>
    <w:uiPriority w:val="99"/>
    <w:locked/>
    <w:rsid w:val="00A26CD3"/>
    <w:rPr>
      <w:rFonts w:ascii="HelveticaNeueLT Std" w:eastAsia="Times New Roman" w:hAnsi="HelveticaNeueLT Std"/>
      <w:sz w:val="16"/>
      <w:szCs w:val="16"/>
      <w:lang w:eastAsia="es-ES"/>
    </w:rPr>
  </w:style>
  <w:style w:type="paragraph" w:customStyle="1" w:styleId="FUNCIN8">
    <w:name w:val="FUNCIÓN 8"/>
    <w:basedOn w:val="FUNADMVA"/>
    <w:link w:val="FUNCIN8Car"/>
    <w:uiPriority w:val="99"/>
    <w:qFormat/>
    <w:rsid w:val="00A26CD3"/>
    <w:pPr>
      <w:numPr>
        <w:numId w:val="69"/>
      </w:numPr>
      <w:spacing w:before="120" w:after="0"/>
      <w:ind w:left="284" w:hanging="278"/>
    </w:pPr>
    <w:rPr>
      <w:rFonts w:eastAsia="Times New Roman" w:cstheme="minorBidi"/>
      <w:sz w:val="16"/>
      <w:szCs w:val="16"/>
      <w:lang w:eastAsia="es-ES"/>
    </w:rPr>
  </w:style>
  <w:style w:type="character" w:styleId="nfasissutil">
    <w:name w:val="Subtle Emphasis"/>
    <w:uiPriority w:val="19"/>
    <w:qFormat/>
    <w:rsid w:val="00A26CD3"/>
    <w:rPr>
      <w:i/>
      <w:iCs w:val="0"/>
      <w:color w:val="5A5A5A"/>
    </w:rPr>
  </w:style>
  <w:style w:type="character" w:styleId="Referenciasutil">
    <w:name w:val="Subtle Reference"/>
    <w:aliases w:val="Pies de imagen"/>
    <w:uiPriority w:val="31"/>
    <w:qFormat/>
    <w:rsid w:val="00A26CD3"/>
    <w:rPr>
      <w:sz w:val="24"/>
      <w:szCs w:val="24"/>
      <w:u w:val="single"/>
    </w:rPr>
  </w:style>
  <w:style w:type="character" w:styleId="Ttulodellibro">
    <w:name w:val="Book Title"/>
    <w:uiPriority w:val="33"/>
    <w:qFormat/>
    <w:rsid w:val="00A26CD3"/>
    <w:rPr>
      <w:rFonts w:ascii="Cambria" w:eastAsia="Times New Roman" w:hAnsi="Cambria" w:hint="default"/>
      <w:b/>
      <w:bCs w:val="0"/>
      <w:i/>
      <w:iCs w:val="0"/>
      <w:sz w:val="24"/>
      <w:szCs w:val="24"/>
    </w:rPr>
  </w:style>
  <w:style w:type="character" w:customStyle="1" w:styleId="articulojustificado1">
    <w:name w:val="articulojustificado1"/>
    <w:rsid w:val="00A26CD3"/>
    <w:rPr>
      <w:rFonts w:ascii="Arial" w:hAnsi="Arial" w:cs="Arial" w:hint="default"/>
      <w:b w:val="0"/>
      <w:bCs w:val="0"/>
      <w:color w:val="000000"/>
      <w:sz w:val="18"/>
      <w:szCs w:val="18"/>
    </w:rPr>
  </w:style>
  <w:style w:type="character" w:customStyle="1" w:styleId="corte4fondoCar2">
    <w:name w:val="corte4 fondo Car2"/>
    <w:locked/>
    <w:rsid w:val="00A26CD3"/>
    <w:rPr>
      <w:rFonts w:ascii="Arial" w:eastAsia="Times New Roman" w:hAnsi="Arial" w:cs="Times New Roman" w:hint="default"/>
      <w:sz w:val="30"/>
      <w:szCs w:val="20"/>
      <w:lang w:eastAsia="es-ES"/>
    </w:rPr>
  </w:style>
  <w:style w:type="character" w:customStyle="1" w:styleId="corte4fondoCar1">
    <w:name w:val="corte4 fondo Car1"/>
    <w:rsid w:val="00A26CD3"/>
    <w:rPr>
      <w:rFonts w:ascii="Arial" w:eastAsia="Times New Roman" w:hAnsi="Arial" w:cs="Arial" w:hint="default"/>
      <w:sz w:val="30"/>
      <w:szCs w:val="24"/>
      <w:lang w:val="es-ES_tradnl" w:eastAsia="es-ES"/>
    </w:rPr>
  </w:style>
  <w:style w:type="character" w:customStyle="1" w:styleId="Textoindependiente2Car1">
    <w:name w:val="Texto independiente 2 Car1"/>
    <w:basedOn w:val="Fuentedeprrafopredeter"/>
    <w:uiPriority w:val="99"/>
    <w:semiHidden/>
    <w:rsid w:val="00A26CD3"/>
    <w:rPr>
      <w:rFonts w:ascii="Calibri" w:eastAsia="Calibri" w:hAnsi="Calibri" w:cs="Times New Roman"/>
      <w:kern w:val="0"/>
      <w14:ligatures w14:val="none"/>
    </w:rPr>
  </w:style>
  <w:style w:type="character" w:customStyle="1" w:styleId="apple-converted-space">
    <w:name w:val="apple-converted-space"/>
    <w:basedOn w:val="Fuentedeprrafopredeter"/>
    <w:rsid w:val="00A26CD3"/>
  </w:style>
  <w:style w:type="character" w:customStyle="1" w:styleId="Mencinsinresolver12">
    <w:name w:val="Mención sin resolver12"/>
    <w:uiPriority w:val="99"/>
    <w:rsid w:val="00A26CD3"/>
    <w:rPr>
      <w:color w:val="605E5C"/>
      <w:shd w:val="clear" w:color="auto" w:fill="E1DFDD"/>
    </w:rPr>
  </w:style>
  <w:style w:type="character" w:customStyle="1" w:styleId="Textoindependiente3Car1">
    <w:name w:val="Texto independiente 3 Car1"/>
    <w:basedOn w:val="Fuentedeprrafopredeter"/>
    <w:rsid w:val="00A26CD3"/>
    <w:rPr>
      <w:rFonts w:ascii="Calibri" w:eastAsia="Calibri" w:hAnsi="Calibri" w:cs="Times New Roman"/>
      <w:kern w:val="0"/>
      <w:sz w:val="16"/>
      <w:szCs w:val="16"/>
      <w14:ligatures w14:val="none"/>
    </w:rPr>
  </w:style>
  <w:style w:type="paragraph" w:styleId="Saludo">
    <w:name w:val="Salutation"/>
    <w:basedOn w:val="Normal"/>
    <w:next w:val="Normal"/>
    <w:link w:val="SaludoCar"/>
    <w:uiPriority w:val="99"/>
    <w:unhideWhenUsed/>
    <w:rsid w:val="00A26CD3"/>
    <w:pPr>
      <w:spacing w:after="200" w:line="276" w:lineRule="auto"/>
    </w:pPr>
    <w:rPr>
      <w:rFonts w:ascii="Calibri" w:eastAsia="Calibri" w:hAnsi="Calibri" w:cs="Times New Roman"/>
    </w:rPr>
  </w:style>
  <w:style w:type="character" w:customStyle="1" w:styleId="SaludoCar1">
    <w:name w:val="Saludo Car1"/>
    <w:basedOn w:val="Fuentedeprrafopredeter"/>
    <w:uiPriority w:val="99"/>
    <w:semiHidden/>
    <w:rsid w:val="00A26CD3"/>
  </w:style>
  <w:style w:type="character" w:customStyle="1" w:styleId="Textoindependienteprimerasangra2Car1">
    <w:name w:val="Texto independiente primera sangría 2 Car1"/>
    <w:basedOn w:val="SangradetextonormalCar1"/>
    <w:rsid w:val="00A26CD3"/>
    <w:rPr>
      <w:rFonts w:ascii="Calibri" w:eastAsia="Calibri" w:hAnsi="Calibri" w:cs="Times New Roman"/>
      <w:kern w:val="0"/>
      <w14:ligatures w14:val="none"/>
    </w:rPr>
  </w:style>
  <w:style w:type="character" w:customStyle="1" w:styleId="cf01">
    <w:name w:val="cf01"/>
    <w:rsid w:val="00A26CD3"/>
    <w:rPr>
      <w:rFonts w:ascii="Segoe UI" w:hAnsi="Segoe UI" w:cs="Segoe UI" w:hint="default"/>
      <w:color w:val="385723"/>
      <w:sz w:val="18"/>
      <w:szCs w:val="18"/>
    </w:rPr>
  </w:style>
  <w:style w:type="character" w:customStyle="1" w:styleId="cf11">
    <w:name w:val="cf11"/>
    <w:rsid w:val="00A26CD3"/>
    <w:rPr>
      <w:rFonts w:ascii="Segoe UI" w:hAnsi="Segoe UI" w:cs="Segoe UI" w:hint="default"/>
      <w:sz w:val="18"/>
      <w:szCs w:val="18"/>
      <w:shd w:val="clear" w:color="auto" w:fill="D3D3D3"/>
    </w:rPr>
  </w:style>
  <w:style w:type="paragraph" w:customStyle="1" w:styleId="UNIADMV1">
    <w:name w:val="UNIADMV1"/>
    <w:basedOn w:val="estruc-neg"/>
    <w:link w:val="UNIADMV1Car"/>
    <w:qFormat/>
    <w:rsid w:val="00A26CD3"/>
    <w:pPr>
      <w:spacing w:before="240" w:after="240"/>
      <w:ind w:left="2693" w:right="-8" w:hanging="2693"/>
      <w:jc w:val="both"/>
    </w:pPr>
  </w:style>
  <w:style w:type="character" w:customStyle="1" w:styleId="UNIADMV1Car">
    <w:name w:val="UNIADMV1 Car"/>
    <w:link w:val="UNIADMV1"/>
    <w:locked/>
    <w:rsid w:val="00A26CD3"/>
    <w:rPr>
      <w:rFonts w:ascii="HelveticaNeueLT Std Med" w:eastAsia="Times New Roman" w:hAnsi="HelveticaNeueLT Std Med" w:cs="Calibri"/>
      <w:b/>
      <w:bCs/>
      <w:sz w:val="24"/>
      <w:szCs w:val="24"/>
      <w:lang w:eastAsia="es-MX"/>
    </w:rPr>
  </w:style>
  <w:style w:type="paragraph" w:customStyle="1" w:styleId="ATRIBUCIONES">
    <w:name w:val="ATRIBUCIONES"/>
    <w:basedOn w:val="Normal"/>
    <w:link w:val="ATRIBUCIONESCar"/>
    <w:qFormat/>
    <w:rsid w:val="00A26CD3"/>
    <w:pPr>
      <w:numPr>
        <w:numId w:val="70"/>
      </w:numPr>
      <w:ind w:left="0" w:firstLine="0"/>
    </w:pPr>
    <w:rPr>
      <w:rFonts w:ascii="Calibri" w:eastAsia="Calibri" w:hAnsi="Calibri" w:cs="Times New Roman"/>
    </w:rPr>
  </w:style>
  <w:style w:type="character" w:customStyle="1" w:styleId="ATRIBUCIONESCar">
    <w:name w:val="ATRIBUCIONES Car"/>
    <w:link w:val="ATRIBUCIONES"/>
    <w:locked/>
    <w:rsid w:val="00A26CD3"/>
    <w:rPr>
      <w:rFonts w:ascii="Calibri" w:eastAsia="Calibri" w:hAnsi="Calibri" w:cs="Times New Roman"/>
    </w:rPr>
  </w:style>
  <w:style w:type="paragraph" w:customStyle="1" w:styleId="OBJ-FUN">
    <w:name w:val="OBJ-FUN"/>
    <w:basedOn w:val="UNIADMV1"/>
    <w:link w:val="OBJ-FUNCar"/>
    <w:qFormat/>
    <w:rsid w:val="00A26CD3"/>
  </w:style>
  <w:style w:type="character" w:customStyle="1" w:styleId="OBJ-FUNCar">
    <w:name w:val="OBJ-FUN Car"/>
    <w:link w:val="OBJ-FUN"/>
    <w:locked/>
    <w:rsid w:val="00A26CD3"/>
    <w:rPr>
      <w:rFonts w:ascii="HelveticaNeueLT Std Med" w:eastAsia="Times New Roman" w:hAnsi="HelveticaNeueLT Std Med" w:cs="Calibri"/>
      <w:b/>
      <w:bCs/>
      <w:sz w:val="24"/>
      <w:szCs w:val="24"/>
      <w:lang w:eastAsia="es-MX"/>
    </w:rPr>
  </w:style>
  <w:style w:type="paragraph" w:customStyle="1" w:styleId="ATRIB20">
    <w:name w:val="ATRIB2"/>
    <w:basedOn w:val="ATRIBUCIONES"/>
    <w:link w:val="ATRIB2Car0"/>
    <w:qFormat/>
    <w:rsid w:val="00A26CD3"/>
    <w:pPr>
      <w:widowControl w:val="0"/>
      <w:spacing w:before="120" w:after="120" w:line="240" w:lineRule="auto"/>
      <w:ind w:left="567" w:right="6" w:hanging="567"/>
      <w:jc w:val="both"/>
    </w:pPr>
    <w:rPr>
      <w:rFonts w:ascii="HelveticaNeueLT Std" w:eastAsia="Times New Roman" w:hAnsi="HelveticaNeueLT Std"/>
      <w:spacing w:val="-2"/>
      <w:sz w:val="24"/>
      <w:szCs w:val="24"/>
      <w:lang w:eastAsia="es-ES"/>
    </w:rPr>
  </w:style>
  <w:style w:type="character" w:customStyle="1" w:styleId="ATRIB2Car0">
    <w:name w:val="ATRIB2 Car"/>
    <w:link w:val="ATRIB20"/>
    <w:locked/>
    <w:rsid w:val="00A26CD3"/>
    <w:rPr>
      <w:rFonts w:ascii="HelveticaNeueLT Std" w:eastAsia="Times New Roman" w:hAnsi="HelveticaNeueLT Std" w:cs="Times New Roman"/>
      <w:spacing w:val="-2"/>
      <w:sz w:val="24"/>
      <w:szCs w:val="24"/>
      <w:lang w:eastAsia="es-ES"/>
    </w:rPr>
  </w:style>
  <w:style w:type="paragraph" w:customStyle="1" w:styleId="atrib-fracc">
    <w:name w:val="atrib-fracc"/>
    <w:basedOn w:val="ATRIBUCIONES"/>
    <w:link w:val="atrib-fraccCar"/>
    <w:qFormat/>
    <w:rsid w:val="00A26CD3"/>
    <w:pPr>
      <w:widowControl w:val="0"/>
      <w:numPr>
        <w:ilvl w:val="2"/>
        <w:numId w:val="71"/>
      </w:numPr>
      <w:spacing w:before="120" w:after="120" w:line="240" w:lineRule="auto"/>
      <w:ind w:left="993" w:right="6" w:hanging="464"/>
      <w:jc w:val="both"/>
    </w:pPr>
    <w:rPr>
      <w:rFonts w:ascii="HelveticaNeueLT Std" w:eastAsia="Times New Roman" w:hAnsi="HelveticaNeueLT Std"/>
      <w:spacing w:val="-2"/>
      <w:sz w:val="24"/>
      <w:szCs w:val="24"/>
      <w:lang w:eastAsia="es-ES"/>
    </w:rPr>
  </w:style>
  <w:style w:type="character" w:customStyle="1" w:styleId="atrib-fraccCar">
    <w:name w:val="atrib-fracc Car"/>
    <w:link w:val="atrib-fracc"/>
    <w:locked/>
    <w:rsid w:val="00A26CD3"/>
    <w:rPr>
      <w:rFonts w:ascii="HelveticaNeueLT Std" w:eastAsia="Times New Roman" w:hAnsi="HelveticaNeueLT Std" w:cs="Times New Roman"/>
      <w:spacing w:val="-2"/>
      <w:sz w:val="24"/>
      <w:szCs w:val="24"/>
      <w:lang w:eastAsia="es-ES"/>
    </w:rPr>
  </w:style>
  <w:style w:type="paragraph" w:styleId="Encabezadodemensaje">
    <w:name w:val="Message Header"/>
    <w:basedOn w:val="Normal"/>
    <w:link w:val="EncabezadodemensajeCar"/>
    <w:uiPriority w:val="99"/>
    <w:unhideWhenUsed/>
    <w:rsid w:val="00A26CD3"/>
    <w:pPr>
      <w:pBdr>
        <w:top w:val="single" w:sz="6" w:space="1" w:color="auto"/>
        <w:left w:val="single" w:sz="6" w:space="1" w:color="auto"/>
        <w:bottom w:val="single" w:sz="6" w:space="1" w:color="auto"/>
        <w:right w:val="single" w:sz="6" w:space="1" w:color="auto"/>
      </w:pBdr>
      <w:shd w:val="pct20" w:color="auto" w:fill="auto"/>
      <w:spacing w:after="200" w:line="276" w:lineRule="auto"/>
      <w:ind w:left="1134" w:hanging="1134"/>
    </w:pPr>
    <w:rPr>
      <w:rFonts w:ascii="Cambria" w:eastAsia="Times New Roman" w:hAnsi="Cambria" w:cs="Times New Roman"/>
      <w:sz w:val="24"/>
      <w:szCs w:val="24"/>
    </w:rPr>
  </w:style>
  <w:style w:type="character" w:customStyle="1" w:styleId="EncabezadodemensajeCar1">
    <w:name w:val="Encabezado de mensaje Car1"/>
    <w:basedOn w:val="Fuentedeprrafopredeter"/>
    <w:uiPriority w:val="99"/>
    <w:semiHidden/>
    <w:rsid w:val="00A26CD3"/>
    <w:rPr>
      <w:rFonts w:asciiTheme="majorHAnsi" w:eastAsiaTheme="majorEastAsia" w:hAnsiTheme="majorHAnsi" w:cstheme="majorBidi"/>
      <w:sz w:val="24"/>
      <w:szCs w:val="24"/>
      <w:shd w:val="pct20" w:color="auto" w:fill="auto"/>
    </w:rPr>
  </w:style>
  <w:style w:type="character" w:customStyle="1" w:styleId="negritas1">
    <w:name w:val="negritas1"/>
    <w:rsid w:val="00A26CD3"/>
    <w:rPr>
      <w:b/>
      <w:bCs/>
      <w:color w:val="000000"/>
    </w:rPr>
  </w:style>
  <w:style w:type="character" w:customStyle="1" w:styleId="yiv5515978477">
    <w:name w:val="yiv5515978477"/>
    <w:rsid w:val="00A26CD3"/>
  </w:style>
  <w:style w:type="character" w:customStyle="1" w:styleId="subject">
    <w:name w:val="subject"/>
    <w:rsid w:val="00A26CD3"/>
  </w:style>
  <w:style w:type="character" w:customStyle="1" w:styleId="subtitulosgrises">
    <w:name w:val="subtitulosgrises"/>
    <w:basedOn w:val="Fuentedeprrafopredeter"/>
    <w:rsid w:val="00A26CD3"/>
  </w:style>
  <w:style w:type="character" w:customStyle="1" w:styleId="TextoindependienteCar1">
    <w:name w:val="Texto independiente Car1"/>
    <w:uiPriority w:val="99"/>
    <w:locked/>
    <w:rsid w:val="00A26CD3"/>
    <w:rPr>
      <w:rFonts w:ascii="Arial" w:eastAsia="Arial" w:hAnsi="Arial" w:cs="Times New Roman" w:hint="default"/>
      <w:sz w:val="19"/>
      <w:szCs w:val="19"/>
      <w:lang w:val="en-US"/>
    </w:rPr>
  </w:style>
  <w:style w:type="character" w:customStyle="1" w:styleId="FontStyle11">
    <w:name w:val="Font Style11"/>
    <w:uiPriority w:val="99"/>
    <w:rsid w:val="00A26CD3"/>
    <w:rPr>
      <w:rFonts w:ascii="Calibri" w:hAnsi="Calibri" w:cs="Calibri" w:hint="default"/>
      <w:b/>
      <w:bCs/>
      <w:sz w:val="20"/>
      <w:szCs w:val="20"/>
    </w:rPr>
  </w:style>
  <w:style w:type="character" w:customStyle="1" w:styleId="ilfuvd">
    <w:name w:val="ilfuvd"/>
    <w:rsid w:val="00A26CD3"/>
  </w:style>
  <w:style w:type="character" w:customStyle="1" w:styleId="StrongEmphasis">
    <w:name w:val="Strong Emphasis"/>
    <w:rsid w:val="00A26CD3"/>
    <w:rPr>
      <w:b/>
      <w:bCs/>
    </w:rPr>
  </w:style>
  <w:style w:type="character" w:customStyle="1" w:styleId="Cuerpodeltexto2Sinnegrita">
    <w:name w:val="Cuerpo del texto (2) + Sin negrita"/>
    <w:qFormat/>
    <w:rsid w:val="00A26CD3"/>
    <w:rPr>
      <w:rFonts w:ascii="Franklin Gothic Heavy" w:eastAsia="Franklin Gothic Heavy" w:hAnsi="Franklin Gothic Heavy" w:cs="Franklin Gothic Heavy" w:hint="default"/>
      <w:b/>
      <w:bCs/>
      <w:color w:val="000000"/>
      <w:spacing w:val="3"/>
      <w:w w:val="100"/>
      <w:sz w:val="19"/>
      <w:szCs w:val="19"/>
      <w:shd w:val="clear" w:color="auto" w:fill="FFFFFF"/>
      <w:lang w:val="es-ES" w:eastAsia="es-ES" w:bidi="es-ES"/>
    </w:rPr>
  </w:style>
  <w:style w:type="character" w:customStyle="1" w:styleId="CuerpodeltextoNegrita">
    <w:name w:val="Cuerpo del texto + Negrita"/>
    <w:aliases w:val="Espaciado 0 pto,Cuerpo del texto (4) + Negrita,Sin cursiva,Cuerpo del texto (6) + 10.5 pto,Cuerpo del texto (3) + Sin negrita,Cuerpo del texto + Arial,Cuerpo del texto (2) + Tahoma,12 pto"/>
    <w:qFormat/>
    <w:rsid w:val="00A26CD3"/>
    <w:rPr>
      <w:rFonts w:ascii="Franklin Gothic Heavy" w:eastAsia="Franklin Gothic Heavy" w:hAnsi="Franklin Gothic Heavy" w:cs="Franklin Gothic Heavy" w:hint="default"/>
      <w:b/>
      <w:bCs/>
      <w:i w:val="0"/>
      <w:iCs w:val="0"/>
      <w:caps w:val="0"/>
      <w:smallCaps w:val="0"/>
      <w:strike w:val="0"/>
      <w:dstrike w:val="0"/>
      <w:color w:val="000000"/>
      <w:spacing w:val="2"/>
      <w:w w:val="100"/>
      <w:sz w:val="19"/>
      <w:szCs w:val="19"/>
      <w:u w:val="none"/>
      <w:effect w:val="none"/>
      <w:lang w:val="es-ES" w:eastAsia="es-ES" w:bidi="es-ES"/>
    </w:rPr>
  </w:style>
  <w:style w:type="character" w:customStyle="1" w:styleId="Cuerpodeltexto2Espaciado0pto">
    <w:name w:val="Cuerpo del texto (2) + Espaciado 0 pto"/>
    <w:qFormat/>
    <w:rsid w:val="00A26CD3"/>
    <w:rPr>
      <w:rFonts w:ascii="Franklin Gothic Heavy" w:eastAsia="Franklin Gothic Heavy" w:hAnsi="Franklin Gothic Heavy" w:cs="Franklin Gothic Heavy" w:hint="default"/>
      <w:b/>
      <w:bCs/>
      <w:color w:val="000000"/>
      <w:spacing w:val="4"/>
      <w:w w:val="100"/>
      <w:sz w:val="19"/>
      <w:szCs w:val="19"/>
      <w:shd w:val="clear" w:color="auto" w:fill="FFFFFF"/>
      <w:lang w:val="es-ES" w:eastAsia="es-ES" w:bidi="es-ES"/>
    </w:rPr>
  </w:style>
  <w:style w:type="character" w:customStyle="1" w:styleId="corte4fondoCar3">
    <w:name w:val="corte4 fondo Car3"/>
    <w:locked/>
    <w:rsid w:val="00A26CD3"/>
    <w:rPr>
      <w:rFonts w:ascii="Arial" w:eastAsia="Times New Roman" w:hAnsi="Arial" w:cs="Arial" w:hint="default"/>
      <w:color w:val="404040"/>
      <w:sz w:val="24"/>
      <w:szCs w:val="28"/>
      <w:lang w:val="es-ES_tradnl"/>
    </w:rPr>
  </w:style>
  <w:style w:type="character" w:customStyle="1" w:styleId="s2">
    <w:name w:val="s2"/>
    <w:basedOn w:val="Fuentedeprrafopredeter"/>
    <w:rsid w:val="00A26CD3"/>
  </w:style>
  <w:style w:type="character" w:customStyle="1" w:styleId="s4">
    <w:name w:val="s4"/>
    <w:basedOn w:val="Fuentedeprrafopredeter"/>
    <w:rsid w:val="00A26CD3"/>
  </w:style>
  <w:style w:type="character" w:customStyle="1" w:styleId="s6">
    <w:name w:val="s6"/>
    <w:basedOn w:val="Fuentedeprrafopredeter"/>
    <w:rsid w:val="00A26CD3"/>
  </w:style>
  <w:style w:type="character" w:customStyle="1" w:styleId="s7">
    <w:name w:val="s7"/>
    <w:basedOn w:val="Fuentedeprrafopredeter"/>
    <w:rsid w:val="00A26CD3"/>
  </w:style>
  <w:style w:type="character" w:customStyle="1" w:styleId="s8">
    <w:name w:val="s8"/>
    <w:basedOn w:val="Fuentedeprrafopredeter"/>
    <w:rsid w:val="00A26CD3"/>
  </w:style>
  <w:style w:type="character" w:customStyle="1" w:styleId="FontStyle13">
    <w:name w:val="Font Style13"/>
    <w:uiPriority w:val="99"/>
    <w:rsid w:val="00A26CD3"/>
    <w:rPr>
      <w:rFonts w:ascii="Segoe UI" w:hAnsi="Segoe UI" w:cs="Segoe UI" w:hint="default"/>
      <w:color w:val="000000"/>
      <w:sz w:val="20"/>
      <w:szCs w:val="20"/>
    </w:rPr>
  </w:style>
  <w:style w:type="character" w:customStyle="1" w:styleId="Fuentedeprrafopredeter1">
    <w:name w:val="Fuente de párrafo predeter.1"/>
    <w:rsid w:val="00A26CD3"/>
  </w:style>
  <w:style w:type="character" w:customStyle="1" w:styleId="Fuentedeprrafopredeter2">
    <w:name w:val="Fuente de párrafo predeter.2"/>
    <w:rsid w:val="00A26CD3"/>
  </w:style>
  <w:style w:type="character" w:customStyle="1" w:styleId="xs1">
    <w:name w:val="x_s1"/>
    <w:basedOn w:val="Fuentedeprrafopredeter"/>
    <w:rsid w:val="00A26CD3"/>
  </w:style>
  <w:style w:type="character" w:customStyle="1" w:styleId="xapple-converted-space">
    <w:name w:val="x_apple-converted-space"/>
    <w:basedOn w:val="Fuentedeprrafopredeter"/>
    <w:rsid w:val="00A26CD3"/>
  </w:style>
  <w:style w:type="character" w:customStyle="1" w:styleId="Fuentedeprrafopredeter3">
    <w:name w:val="Fuente de párrafo predeter.3"/>
    <w:rsid w:val="00A26CD3"/>
  </w:style>
  <w:style w:type="character" w:customStyle="1" w:styleId="xbe">
    <w:name w:val="_xbe"/>
    <w:basedOn w:val="Fuentedeprrafopredeter"/>
    <w:qFormat/>
    <w:rsid w:val="00A26CD3"/>
  </w:style>
  <w:style w:type="character" w:customStyle="1" w:styleId="il">
    <w:name w:val="il"/>
    <w:rsid w:val="00A26CD3"/>
  </w:style>
  <w:style w:type="paragraph" w:styleId="Cierre">
    <w:name w:val="Closing"/>
    <w:basedOn w:val="Normal"/>
    <w:link w:val="CierreCar"/>
    <w:uiPriority w:val="99"/>
    <w:unhideWhenUsed/>
    <w:rsid w:val="00A26CD3"/>
    <w:pPr>
      <w:spacing w:after="960" w:line="240" w:lineRule="auto"/>
    </w:pPr>
    <w:rPr>
      <w:rFonts w:ascii="Arial" w:eastAsia="Times New Roman" w:hAnsi="Arial" w:cs="Arial"/>
      <w:sz w:val="20"/>
      <w:szCs w:val="20"/>
      <w:lang w:val="en-US"/>
    </w:rPr>
  </w:style>
  <w:style w:type="character" w:customStyle="1" w:styleId="CierreCar1">
    <w:name w:val="Cierre Car1"/>
    <w:basedOn w:val="Fuentedeprrafopredeter"/>
    <w:uiPriority w:val="99"/>
    <w:semiHidden/>
    <w:rsid w:val="00A26CD3"/>
  </w:style>
  <w:style w:type="paragraph" w:styleId="Firma">
    <w:name w:val="Signature"/>
    <w:basedOn w:val="Normal"/>
    <w:link w:val="FirmaCar"/>
    <w:uiPriority w:val="99"/>
    <w:unhideWhenUsed/>
    <w:rsid w:val="00A26CD3"/>
    <w:pPr>
      <w:spacing w:before="960" w:after="0" w:line="240" w:lineRule="auto"/>
    </w:pPr>
    <w:rPr>
      <w:rFonts w:ascii="Arial" w:eastAsia="Times New Roman" w:hAnsi="Arial" w:cs="Arial"/>
      <w:sz w:val="20"/>
      <w:szCs w:val="20"/>
      <w:lang w:val="en-US"/>
    </w:rPr>
  </w:style>
  <w:style w:type="character" w:customStyle="1" w:styleId="FirmaCar1">
    <w:name w:val="Firma Car1"/>
    <w:basedOn w:val="Fuentedeprrafopredeter"/>
    <w:uiPriority w:val="99"/>
    <w:semiHidden/>
    <w:rsid w:val="00A26CD3"/>
  </w:style>
  <w:style w:type="character" w:customStyle="1" w:styleId="Muydestacado">
    <w:name w:val="Muy destacado"/>
    <w:qFormat/>
    <w:rsid w:val="00A26CD3"/>
    <w:rPr>
      <w:b/>
      <w:bCs/>
    </w:rPr>
  </w:style>
  <w:style w:type="character" w:customStyle="1" w:styleId="normaltextrun1">
    <w:name w:val="normaltextrun1"/>
    <w:basedOn w:val="Fuentedeprrafopredeter"/>
    <w:rsid w:val="00A26CD3"/>
  </w:style>
  <w:style w:type="character" w:customStyle="1" w:styleId="Hipervnculo2">
    <w:name w:val="Hipervínculo2"/>
    <w:rsid w:val="00A26CD3"/>
    <w:rPr>
      <w:color w:val="0000FF"/>
      <w:u w:val="single"/>
    </w:rPr>
  </w:style>
  <w:style w:type="character" w:customStyle="1" w:styleId="CharacterStyle1">
    <w:name w:val="Character Style 1"/>
    <w:uiPriority w:val="99"/>
    <w:rsid w:val="00A26CD3"/>
    <w:rPr>
      <w:rFonts w:ascii="Arial" w:hAnsi="Arial" w:cs="Arial" w:hint="default"/>
      <w:b/>
      <w:bCs/>
      <w:sz w:val="20"/>
      <w:szCs w:val="20"/>
    </w:rPr>
  </w:style>
  <w:style w:type="paragraph" w:styleId="Fecha">
    <w:name w:val="Date"/>
    <w:basedOn w:val="Normal"/>
    <w:next w:val="Normal"/>
    <w:link w:val="FechaCar"/>
    <w:unhideWhenUsed/>
    <w:rsid w:val="00A26CD3"/>
    <w:pPr>
      <w:spacing w:before="1560" w:after="480" w:line="240" w:lineRule="auto"/>
    </w:pPr>
    <w:rPr>
      <w:rFonts w:ascii="Arial" w:eastAsia="Times New Roman" w:hAnsi="Arial" w:cs="Arial"/>
      <w:sz w:val="20"/>
      <w:szCs w:val="20"/>
      <w:lang w:val="en-US"/>
    </w:rPr>
  </w:style>
  <w:style w:type="character" w:customStyle="1" w:styleId="FechaCar1">
    <w:name w:val="Fecha Car1"/>
    <w:basedOn w:val="Fuentedeprrafopredeter"/>
    <w:uiPriority w:val="99"/>
    <w:semiHidden/>
    <w:rsid w:val="00A26CD3"/>
  </w:style>
  <w:style w:type="character" w:customStyle="1" w:styleId="15">
    <w:name w:val="15"/>
    <w:qFormat/>
    <w:rsid w:val="00A26CD3"/>
    <w:rPr>
      <w:rFonts w:ascii="Times New Roman" w:hAnsi="Times New Roman" w:cs="Times New Roman" w:hint="default"/>
      <w:b/>
      <w:bCs/>
    </w:rPr>
  </w:style>
  <w:style w:type="character" w:customStyle="1" w:styleId="16">
    <w:name w:val="16"/>
    <w:qFormat/>
    <w:rsid w:val="00A26CD3"/>
    <w:rPr>
      <w:rFonts w:ascii="Times New Roman" w:hAnsi="Times New Roman" w:cs="Times New Roman" w:hint="default"/>
      <w:b/>
      <w:bCs/>
    </w:rPr>
  </w:style>
  <w:style w:type="character" w:customStyle="1" w:styleId="WW8Num1z0">
    <w:name w:val="WW8Num1z0"/>
    <w:rsid w:val="00A26CD3"/>
    <w:rPr>
      <w:rFonts w:ascii="Arial" w:hAnsi="Arial" w:cs="Arial" w:hint="default"/>
      <w:b/>
      <w:bCs w:val="0"/>
      <w:sz w:val="22"/>
    </w:rPr>
  </w:style>
  <w:style w:type="character" w:customStyle="1" w:styleId="WW8Num2z0">
    <w:name w:val="WW8Num2z0"/>
    <w:rsid w:val="00A26CD3"/>
    <w:rPr>
      <w:rFonts w:ascii="Wingdings" w:hAnsi="Wingdings" w:cs="OpenSymbol" w:hint="default"/>
    </w:rPr>
  </w:style>
  <w:style w:type="character" w:customStyle="1" w:styleId="WW8Num3z0">
    <w:name w:val="WW8Num3z0"/>
    <w:rsid w:val="00A26CD3"/>
    <w:rPr>
      <w:rFonts w:ascii="Wingdings" w:hAnsi="Wingdings" w:cs="OpenSymbol" w:hint="default"/>
    </w:rPr>
  </w:style>
  <w:style w:type="character" w:customStyle="1" w:styleId="WW8Num4z0">
    <w:name w:val="WW8Num4z0"/>
    <w:rsid w:val="00A26CD3"/>
    <w:rPr>
      <w:rFonts w:ascii="Wingdings" w:hAnsi="Wingdings" w:cs="OpenSymbol" w:hint="default"/>
    </w:rPr>
  </w:style>
  <w:style w:type="character" w:customStyle="1" w:styleId="WW8Num5z0">
    <w:name w:val="WW8Num5z0"/>
    <w:rsid w:val="00A26CD3"/>
    <w:rPr>
      <w:rFonts w:ascii="Wingdings 2" w:hAnsi="Wingdings 2" w:hint="default"/>
    </w:rPr>
  </w:style>
  <w:style w:type="character" w:customStyle="1" w:styleId="WW8Num5z1">
    <w:name w:val="WW8Num5z1"/>
    <w:rsid w:val="00A26CD3"/>
    <w:rPr>
      <w:rFonts w:ascii="OpenSymbol" w:eastAsia="OpenSymbol" w:hAnsi="OpenSymbol" w:hint="eastAsia"/>
    </w:rPr>
  </w:style>
  <w:style w:type="character" w:customStyle="1" w:styleId="WW8Num6z0">
    <w:name w:val="WW8Num6z0"/>
    <w:rsid w:val="00A26CD3"/>
    <w:rPr>
      <w:rFonts w:ascii="Wingdings" w:hAnsi="Wingdings" w:cs="OpenSymbol" w:hint="default"/>
    </w:rPr>
  </w:style>
  <w:style w:type="character" w:customStyle="1" w:styleId="WW8Num7z0">
    <w:name w:val="WW8Num7z0"/>
    <w:rsid w:val="00A26CD3"/>
    <w:rPr>
      <w:rFonts w:ascii="Wingdings" w:hAnsi="Wingdings" w:cs="OpenSymbol" w:hint="default"/>
    </w:rPr>
  </w:style>
  <w:style w:type="character" w:customStyle="1" w:styleId="WW8Num8z0">
    <w:name w:val="WW8Num8z0"/>
    <w:rsid w:val="00A26CD3"/>
    <w:rPr>
      <w:rFonts w:ascii="Wingdings" w:hAnsi="Wingdings" w:cs="OpenSymbol" w:hint="default"/>
    </w:rPr>
  </w:style>
  <w:style w:type="character" w:customStyle="1" w:styleId="WW8Num9z0">
    <w:name w:val="WW8Num9z0"/>
    <w:rsid w:val="00A26CD3"/>
    <w:rPr>
      <w:rFonts w:ascii="Wingdings" w:hAnsi="Wingdings" w:cs="OpenSymbol" w:hint="default"/>
    </w:rPr>
  </w:style>
  <w:style w:type="character" w:customStyle="1" w:styleId="Absatz-Standardschriftart">
    <w:name w:val="Absatz-Standardschriftart"/>
    <w:rsid w:val="00A26CD3"/>
  </w:style>
  <w:style w:type="character" w:customStyle="1" w:styleId="WW-Absatz-Standardschriftart">
    <w:name w:val="WW-Absatz-Standardschriftart"/>
    <w:rsid w:val="00A26CD3"/>
  </w:style>
  <w:style w:type="character" w:customStyle="1" w:styleId="WW-Absatz-Standardschriftart1">
    <w:name w:val="WW-Absatz-Standardschriftart1"/>
    <w:rsid w:val="00A26CD3"/>
  </w:style>
  <w:style w:type="character" w:customStyle="1" w:styleId="WW-Absatz-Standardschriftart11">
    <w:name w:val="WW-Absatz-Standardschriftart11"/>
    <w:rsid w:val="00A26CD3"/>
  </w:style>
  <w:style w:type="character" w:customStyle="1" w:styleId="WW-Absatz-Standardschriftart111">
    <w:name w:val="WW-Absatz-Standardschriftart111"/>
    <w:rsid w:val="00A26CD3"/>
  </w:style>
  <w:style w:type="character" w:customStyle="1" w:styleId="WW-Absatz-Standardschriftart1111">
    <w:name w:val="WW-Absatz-Standardschriftart1111"/>
    <w:rsid w:val="00A26CD3"/>
  </w:style>
  <w:style w:type="character" w:customStyle="1" w:styleId="WW-Absatz-Standardschriftart11111">
    <w:name w:val="WW-Absatz-Standardschriftart11111"/>
    <w:rsid w:val="00A26CD3"/>
  </w:style>
  <w:style w:type="character" w:customStyle="1" w:styleId="WW-Absatz-Standardschriftart111111">
    <w:name w:val="WW-Absatz-Standardschriftart111111"/>
    <w:rsid w:val="00A26CD3"/>
  </w:style>
  <w:style w:type="character" w:customStyle="1" w:styleId="WW-Absatz-Standardschriftart1111111">
    <w:name w:val="WW-Absatz-Standardschriftart1111111"/>
    <w:rsid w:val="00A26CD3"/>
  </w:style>
  <w:style w:type="character" w:customStyle="1" w:styleId="WW-Absatz-Standardschriftart11111111">
    <w:name w:val="WW-Absatz-Standardschriftart11111111"/>
    <w:rsid w:val="00A26CD3"/>
  </w:style>
  <w:style w:type="character" w:customStyle="1" w:styleId="WW-Absatz-Standardschriftart111111111">
    <w:name w:val="WW-Absatz-Standardschriftart111111111"/>
    <w:rsid w:val="00A26CD3"/>
  </w:style>
  <w:style w:type="character" w:customStyle="1" w:styleId="WW-Absatz-Standardschriftart1111111111">
    <w:name w:val="WW-Absatz-Standardschriftart1111111111"/>
    <w:rsid w:val="00A26CD3"/>
  </w:style>
  <w:style w:type="character" w:customStyle="1" w:styleId="WW-Absatz-Standardschriftart11111111111">
    <w:name w:val="WW-Absatz-Standardschriftart11111111111"/>
    <w:rsid w:val="00A26CD3"/>
  </w:style>
  <w:style w:type="character" w:customStyle="1" w:styleId="WW-Absatz-Standardschriftart111111111111">
    <w:name w:val="WW-Absatz-Standardschriftart111111111111"/>
    <w:rsid w:val="00A26CD3"/>
  </w:style>
  <w:style w:type="character" w:customStyle="1" w:styleId="WW-Absatz-Standardschriftart1111111111111">
    <w:name w:val="WW-Absatz-Standardschriftart1111111111111"/>
    <w:rsid w:val="00A26CD3"/>
  </w:style>
  <w:style w:type="character" w:customStyle="1" w:styleId="WW-Absatz-Standardschriftart11111111111111">
    <w:name w:val="WW-Absatz-Standardschriftart11111111111111"/>
    <w:rsid w:val="00A26CD3"/>
  </w:style>
  <w:style w:type="character" w:customStyle="1" w:styleId="WW-Absatz-Standardschriftart111111111111111">
    <w:name w:val="WW-Absatz-Standardschriftart111111111111111"/>
    <w:rsid w:val="00A26CD3"/>
  </w:style>
  <w:style w:type="character" w:customStyle="1" w:styleId="WW-Absatz-Standardschriftart1111111111111111">
    <w:name w:val="WW-Absatz-Standardschriftart1111111111111111"/>
    <w:rsid w:val="00A26CD3"/>
  </w:style>
  <w:style w:type="character" w:customStyle="1" w:styleId="WW-Absatz-Standardschriftart11111111111111111">
    <w:name w:val="WW-Absatz-Standardschriftart11111111111111111"/>
    <w:rsid w:val="00A26CD3"/>
  </w:style>
  <w:style w:type="character" w:customStyle="1" w:styleId="WW-Absatz-Standardschriftart111111111111111111">
    <w:name w:val="WW-Absatz-Standardschriftart111111111111111111"/>
    <w:rsid w:val="00A26CD3"/>
  </w:style>
  <w:style w:type="character" w:customStyle="1" w:styleId="WW-Absatz-Standardschriftart1111111111111111111">
    <w:name w:val="WW-Absatz-Standardschriftart1111111111111111111"/>
    <w:rsid w:val="00A26CD3"/>
  </w:style>
  <w:style w:type="character" w:customStyle="1" w:styleId="WW-Absatz-Standardschriftart11111111111111111111">
    <w:name w:val="WW-Absatz-Standardschriftart11111111111111111111"/>
    <w:rsid w:val="00A26CD3"/>
  </w:style>
  <w:style w:type="character" w:customStyle="1" w:styleId="WW-Absatz-Standardschriftart111111111111111111111">
    <w:name w:val="WW-Absatz-Standardschriftart111111111111111111111"/>
    <w:rsid w:val="00A26CD3"/>
  </w:style>
  <w:style w:type="character" w:customStyle="1" w:styleId="WW-Absatz-Standardschriftart1111111111111111111111">
    <w:name w:val="WW-Absatz-Standardschriftart1111111111111111111111"/>
    <w:rsid w:val="00A26CD3"/>
  </w:style>
  <w:style w:type="character" w:customStyle="1" w:styleId="WW-Absatz-Standardschriftart11111111111111111111111">
    <w:name w:val="WW-Absatz-Standardschriftart11111111111111111111111"/>
    <w:rsid w:val="00A26CD3"/>
  </w:style>
  <w:style w:type="character" w:customStyle="1" w:styleId="WW-Absatz-Standardschriftart111111111111111111111111">
    <w:name w:val="WW-Absatz-Standardschriftart111111111111111111111111"/>
    <w:rsid w:val="00A26CD3"/>
  </w:style>
  <w:style w:type="character" w:customStyle="1" w:styleId="WW-Absatz-Standardschriftart1111111111111111111111111">
    <w:name w:val="WW-Absatz-Standardschriftart1111111111111111111111111"/>
    <w:rsid w:val="00A26CD3"/>
  </w:style>
  <w:style w:type="character" w:customStyle="1" w:styleId="WW-Absatz-Standardschriftart11111111111111111111111111">
    <w:name w:val="WW-Absatz-Standardschriftart11111111111111111111111111"/>
    <w:rsid w:val="00A26CD3"/>
  </w:style>
  <w:style w:type="character" w:customStyle="1" w:styleId="WW-Absatz-Standardschriftart111111111111111111111111111">
    <w:name w:val="WW-Absatz-Standardschriftart111111111111111111111111111"/>
    <w:rsid w:val="00A26CD3"/>
  </w:style>
  <w:style w:type="character" w:customStyle="1" w:styleId="WW-Absatz-Standardschriftart1111111111111111111111111111">
    <w:name w:val="WW-Absatz-Standardschriftart1111111111111111111111111111"/>
    <w:rsid w:val="00A26CD3"/>
  </w:style>
  <w:style w:type="character" w:customStyle="1" w:styleId="WW-Absatz-Standardschriftart11111111111111111111111111111">
    <w:name w:val="WW-Absatz-Standardschriftart11111111111111111111111111111"/>
    <w:rsid w:val="00A26CD3"/>
  </w:style>
  <w:style w:type="character" w:customStyle="1" w:styleId="WW-Absatz-Standardschriftart111111111111111111111111111111">
    <w:name w:val="WW-Absatz-Standardschriftart111111111111111111111111111111"/>
    <w:rsid w:val="00A26CD3"/>
  </w:style>
  <w:style w:type="character" w:customStyle="1" w:styleId="WW-Absatz-Standardschriftart1111111111111111111111111111111">
    <w:name w:val="WW-Absatz-Standardschriftart1111111111111111111111111111111"/>
    <w:rsid w:val="00A26CD3"/>
  </w:style>
  <w:style w:type="character" w:customStyle="1" w:styleId="WW-Absatz-Standardschriftart11111111111111111111111111111111">
    <w:name w:val="WW-Absatz-Standardschriftart11111111111111111111111111111111"/>
    <w:rsid w:val="00A26CD3"/>
  </w:style>
  <w:style w:type="character" w:customStyle="1" w:styleId="WW-Absatz-Standardschriftart111111111111111111111111111111111">
    <w:name w:val="WW-Absatz-Standardschriftart111111111111111111111111111111111"/>
    <w:rsid w:val="00A26CD3"/>
  </w:style>
  <w:style w:type="character" w:customStyle="1" w:styleId="WW-Absatz-Standardschriftart1111111111111111111111111111111111">
    <w:name w:val="WW-Absatz-Standardschriftart1111111111111111111111111111111111"/>
    <w:rsid w:val="00A26CD3"/>
  </w:style>
  <w:style w:type="character" w:customStyle="1" w:styleId="WW-Absatz-Standardschriftart11111111111111111111111111111111111">
    <w:name w:val="WW-Absatz-Standardschriftart11111111111111111111111111111111111"/>
    <w:rsid w:val="00A26CD3"/>
  </w:style>
  <w:style w:type="character" w:customStyle="1" w:styleId="WW-Absatz-Standardschriftart111111111111111111111111111111111111">
    <w:name w:val="WW-Absatz-Standardschriftart111111111111111111111111111111111111"/>
    <w:rsid w:val="00A26CD3"/>
  </w:style>
  <w:style w:type="character" w:customStyle="1" w:styleId="WW-Absatz-Standardschriftart1111111111111111111111111111111111111">
    <w:name w:val="WW-Absatz-Standardschriftart1111111111111111111111111111111111111"/>
    <w:rsid w:val="00A26CD3"/>
  </w:style>
  <w:style w:type="character" w:customStyle="1" w:styleId="WW-Absatz-Standardschriftart11111111111111111111111111111111111111">
    <w:name w:val="WW-Absatz-Standardschriftart11111111111111111111111111111111111111"/>
    <w:rsid w:val="00A26CD3"/>
  </w:style>
  <w:style w:type="character" w:customStyle="1" w:styleId="WW-Absatz-Standardschriftart111111111111111111111111111111111111111">
    <w:name w:val="WW-Absatz-Standardschriftart111111111111111111111111111111111111111"/>
    <w:rsid w:val="00A26CD3"/>
  </w:style>
  <w:style w:type="character" w:customStyle="1" w:styleId="WW-Absatz-Standardschriftart1111111111111111111111111111111111111111">
    <w:name w:val="WW-Absatz-Standardschriftart1111111111111111111111111111111111111111"/>
    <w:rsid w:val="00A26CD3"/>
  </w:style>
  <w:style w:type="character" w:customStyle="1" w:styleId="WW-Absatz-Standardschriftart11111111111111111111111111111111111111111">
    <w:name w:val="WW-Absatz-Standardschriftart11111111111111111111111111111111111111111"/>
    <w:rsid w:val="00A26CD3"/>
  </w:style>
  <w:style w:type="character" w:customStyle="1" w:styleId="WW-Absatz-Standardschriftart111111111111111111111111111111111111111111">
    <w:name w:val="WW-Absatz-Standardschriftart111111111111111111111111111111111111111111"/>
    <w:rsid w:val="00A26CD3"/>
  </w:style>
  <w:style w:type="character" w:customStyle="1" w:styleId="WW-Absatz-Standardschriftart1111111111111111111111111111111111111111111">
    <w:name w:val="WW-Absatz-Standardschriftart1111111111111111111111111111111111111111111"/>
    <w:rsid w:val="00A26CD3"/>
  </w:style>
  <w:style w:type="character" w:customStyle="1" w:styleId="WW-Absatz-Standardschriftart11111111111111111111111111111111111111111111">
    <w:name w:val="WW-Absatz-Standardschriftart11111111111111111111111111111111111111111111"/>
    <w:rsid w:val="00A26CD3"/>
  </w:style>
  <w:style w:type="character" w:customStyle="1" w:styleId="WW-Absatz-Standardschriftart111111111111111111111111111111111111111111111">
    <w:name w:val="WW-Absatz-Standardschriftart111111111111111111111111111111111111111111111"/>
    <w:rsid w:val="00A26CD3"/>
  </w:style>
  <w:style w:type="character" w:customStyle="1" w:styleId="WW-Absatz-Standardschriftart1111111111111111111111111111111111111111111111">
    <w:name w:val="WW-Absatz-Standardschriftart1111111111111111111111111111111111111111111111"/>
    <w:rsid w:val="00A26CD3"/>
  </w:style>
  <w:style w:type="character" w:customStyle="1" w:styleId="WW-Absatz-Standardschriftart11111111111111111111111111111111111111111111111">
    <w:name w:val="WW-Absatz-Standardschriftart11111111111111111111111111111111111111111111111"/>
    <w:rsid w:val="00A26CD3"/>
  </w:style>
  <w:style w:type="character" w:customStyle="1" w:styleId="WW-Absatz-Standardschriftart111111111111111111111111111111111111111111111111">
    <w:name w:val="WW-Absatz-Standardschriftart111111111111111111111111111111111111111111111111"/>
    <w:rsid w:val="00A26CD3"/>
  </w:style>
  <w:style w:type="character" w:customStyle="1" w:styleId="Fuentedeprrafopredeter8">
    <w:name w:val="Fuente de párrafo predeter.8"/>
    <w:rsid w:val="00A26CD3"/>
  </w:style>
  <w:style w:type="character" w:customStyle="1" w:styleId="WW-Absatz-Standardschriftart1111111111111111111111111111111111111111111111111">
    <w:name w:val="WW-Absatz-Standardschriftart1111111111111111111111111111111111111111111111111"/>
    <w:rsid w:val="00A26CD3"/>
  </w:style>
  <w:style w:type="character" w:customStyle="1" w:styleId="Fuentedeprrafopredeter7">
    <w:name w:val="Fuente de párrafo predeter.7"/>
    <w:rsid w:val="00A26CD3"/>
  </w:style>
  <w:style w:type="character" w:customStyle="1" w:styleId="WW-Absatz-Standardschriftart11111111111111111111111111111111111111111111111111">
    <w:name w:val="WW-Absatz-Standardschriftart11111111111111111111111111111111111111111111111111"/>
    <w:rsid w:val="00A26CD3"/>
  </w:style>
  <w:style w:type="character" w:customStyle="1" w:styleId="WW-Absatz-Standardschriftart111111111111111111111111111111111111111111111111111">
    <w:name w:val="WW-Absatz-Standardschriftart111111111111111111111111111111111111111111111111111"/>
    <w:rsid w:val="00A26CD3"/>
  </w:style>
  <w:style w:type="character" w:customStyle="1" w:styleId="WW-Absatz-Standardschriftart1111111111111111111111111111111111111111111111111111">
    <w:name w:val="WW-Absatz-Standardschriftart1111111111111111111111111111111111111111111111111111"/>
    <w:rsid w:val="00A26CD3"/>
  </w:style>
  <w:style w:type="character" w:customStyle="1" w:styleId="WW-Absatz-Standardschriftart11111111111111111111111111111111111111111111111111111">
    <w:name w:val="WW-Absatz-Standardschriftart11111111111111111111111111111111111111111111111111111"/>
    <w:rsid w:val="00A26CD3"/>
  </w:style>
  <w:style w:type="character" w:customStyle="1" w:styleId="WW-Absatz-Standardschriftart111111111111111111111111111111111111111111111111111111">
    <w:name w:val="WW-Absatz-Standardschriftart111111111111111111111111111111111111111111111111111111"/>
    <w:rsid w:val="00A26CD3"/>
  </w:style>
  <w:style w:type="character" w:customStyle="1" w:styleId="WW-Absatz-Standardschriftart1111111111111111111111111111111111111111111111111111111">
    <w:name w:val="WW-Absatz-Standardschriftart1111111111111111111111111111111111111111111111111111111"/>
    <w:rsid w:val="00A26CD3"/>
  </w:style>
  <w:style w:type="character" w:customStyle="1" w:styleId="WW-Absatz-Standardschriftart11111111111111111111111111111111111111111111111111111111">
    <w:name w:val="WW-Absatz-Standardschriftart11111111111111111111111111111111111111111111111111111111"/>
    <w:rsid w:val="00A26CD3"/>
  </w:style>
  <w:style w:type="character" w:customStyle="1" w:styleId="WW-Absatz-Standardschriftart111111111111111111111111111111111111111111111111111111111">
    <w:name w:val="WW-Absatz-Standardschriftart111111111111111111111111111111111111111111111111111111111"/>
    <w:rsid w:val="00A26CD3"/>
  </w:style>
  <w:style w:type="character" w:customStyle="1" w:styleId="WW-Absatz-Standardschriftart1111111111111111111111111111111111111111111111111111111111">
    <w:name w:val="WW-Absatz-Standardschriftart1111111111111111111111111111111111111111111111111111111111"/>
    <w:rsid w:val="00A26CD3"/>
  </w:style>
  <w:style w:type="character" w:customStyle="1" w:styleId="WW-Absatz-Standardschriftart11111111111111111111111111111111111111111111111111111111111">
    <w:name w:val="WW-Absatz-Standardschriftart11111111111111111111111111111111111111111111111111111111111"/>
    <w:rsid w:val="00A26CD3"/>
  </w:style>
  <w:style w:type="character" w:customStyle="1" w:styleId="WW-Absatz-Standardschriftart111111111111111111111111111111111111111111111111111111111111">
    <w:name w:val="WW-Absatz-Standardschriftart111111111111111111111111111111111111111111111111111111111111"/>
    <w:rsid w:val="00A26CD3"/>
  </w:style>
  <w:style w:type="character" w:customStyle="1" w:styleId="WW-Absatz-Standardschriftart1111111111111111111111111111111111111111111111111111111111111">
    <w:name w:val="WW-Absatz-Standardschriftart1111111111111111111111111111111111111111111111111111111111111"/>
    <w:rsid w:val="00A26CD3"/>
  </w:style>
  <w:style w:type="character" w:customStyle="1" w:styleId="WW-Absatz-Standardschriftart11111111111111111111111111111111111111111111111111111111111111">
    <w:name w:val="WW-Absatz-Standardschriftart11111111111111111111111111111111111111111111111111111111111111"/>
    <w:rsid w:val="00A26CD3"/>
  </w:style>
  <w:style w:type="character" w:customStyle="1" w:styleId="WW-Absatz-Standardschriftart111111111111111111111111111111111111111111111111111111111111111">
    <w:name w:val="WW-Absatz-Standardschriftart111111111111111111111111111111111111111111111111111111111111111"/>
    <w:rsid w:val="00A26CD3"/>
  </w:style>
  <w:style w:type="character" w:customStyle="1" w:styleId="WW-Absatz-Standardschriftart1111111111111111111111111111111111111111111111111111111111111111">
    <w:name w:val="WW-Absatz-Standardschriftart1111111111111111111111111111111111111111111111111111111111111111"/>
    <w:rsid w:val="00A26CD3"/>
  </w:style>
  <w:style w:type="character" w:customStyle="1" w:styleId="WW-Absatz-Standardschriftart11111111111111111111111111111111111111111111111111111111111111111">
    <w:name w:val="WW-Absatz-Standardschriftart11111111111111111111111111111111111111111111111111111111111111111"/>
    <w:rsid w:val="00A26CD3"/>
  </w:style>
  <w:style w:type="character" w:customStyle="1" w:styleId="WW-Absatz-Standardschriftart111111111111111111111111111111111111111111111111111111111111111111">
    <w:name w:val="WW-Absatz-Standardschriftart111111111111111111111111111111111111111111111111111111111111111111"/>
    <w:rsid w:val="00A26CD3"/>
  </w:style>
  <w:style w:type="character" w:customStyle="1" w:styleId="WW-Absatz-Standardschriftart1111111111111111111111111111111111111111111111111111111111111111111">
    <w:name w:val="WW-Absatz-Standardschriftart1111111111111111111111111111111111111111111111111111111111111111111"/>
    <w:rsid w:val="00A26CD3"/>
  </w:style>
  <w:style w:type="character" w:customStyle="1" w:styleId="WW-Absatz-Standardschriftart11111111111111111111111111111111111111111111111111111111111111111111">
    <w:name w:val="WW-Absatz-Standardschriftart11111111111111111111111111111111111111111111111111111111111111111111"/>
    <w:rsid w:val="00A26CD3"/>
  </w:style>
  <w:style w:type="character" w:customStyle="1" w:styleId="WW-Absatz-Standardschriftart111111111111111111111111111111111111111111111111111111111111111111111">
    <w:name w:val="WW-Absatz-Standardschriftart111111111111111111111111111111111111111111111111111111111111111111111"/>
    <w:rsid w:val="00A26CD3"/>
  </w:style>
  <w:style w:type="character" w:customStyle="1" w:styleId="WW-Absatz-Standardschriftart1111111111111111111111111111111111111111111111111111111111111111111111">
    <w:name w:val="WW-Absatz-Standardschriftart1111111111111111111111111111111111111111111111111111111111111111111111"/>
    <w:rsid w:val="00A26CD3"/>
  </w:style>
  <w:style w:type="character" w:customStyle="1" w:styleId="WW-Absatz-Standardschriftart11111111111111111111111111111111111111111111111111111111111111111111111">
    <w:name w:val="WW-Absatz-Standardschriftart11111111111111111111111111111111111111111111111111111111111111111111111"/>
    <w:rsid w:val="00A26CD3"/>
  </w:style>
  <w:style w:type="character" w:customStyle="1" w:styleId="WW-Absatz-Standardschriftart111111111111111111111111111111111111111111111111111111111111111111111111">
    <w:name w:val="WW-Absatz-Standardschriftart111111111111111111111111111111111111111111111111111111111111111111111111"/>
    <w:rsid w:val="00A26CD3"/>
  </w:style>
  <w:style w:type="character" w:customStyle="1" w:styleId="WW-Absatz-Standardschriftart1111111111111111111111111111111111111111111111111111111111111111111111111">
    <w:name w:val="WW-Absatz-Standardschriftart1111111111111111111111111111111111111111111111111111111111111111111111111"/>
    <w:rsid w:val="00A26CD3"/>
  </w:style>
  <w:style w:type="character" w:customStyle="1" w:styleId="WW-Absatz-Standardschriftart11111111111111111111111111111111111111111111111111111111111111111111111111">
    <w:name w:val="WW-Absatz-Standardschriftart11111111111111111111111111111111111111111111111111111111111111111111111111"/>
    <w:rsid w:val="00A26CD3"/>
  </w:style>
  <w:style w:type="character" w:customStyle="1" w:styleId="WW-Absatz-Standardschriftart111111111111111111111111111111111111111111111111111111111111111111111111111">
    <w:name w:val="WW-Absatz-Standardschriftart111111111111111111111111111111111111111111111111111111111111111111111111111"/>
    <w:rsid w:val="00A26CD3"/>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26CD3"/>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26CD3"/>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A26CD3"/>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A26CD3"/>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A26CD3"/>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A26CD3"/>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A26CD3"/>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A26CD3"/>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A26CD3"/>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A26CD3"/>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A26CD3"/>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A26CD3"/>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A26CD3"/>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A26CD3"/>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A26CD3"/>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A26CD3"/>
  </w:style>
  <w:style w:type="character" w:customStyle="1" w:styleId="Fuentedeprrafopredeter6">
    <w:name w:val="Fuente de párrafo predeter.6"/>
    <w:rsid w:val="00A26CD3"/>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A26CD3"/>
  </w:style>
  <w:style w:type="character" w:customStyle="1" w:styleId="Fuentedeprrafopredeter5">
    <w:name w:val="Fuente de párrafo predeter.5"/>
    <w:rsid w:val="00A26CD3"/>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A26CD3"/>
  </w:style>
  <w:style w:type="character" w:customStyle="1" w:styleId="Fuentedeprrafopredeter4">
    <w:name w:val="Fuente de párrafo predeter.4"/>
    <w:rsid w:val="00A26CD3"/>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A26CD3"/>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A26CD3"/>
  </w:style>
  <w:style w:type="character" w:customStyle="1" w:styleId="Smbolosdenumeracin">
    <w:name w:val="Símbolos de numeración"/>
    <w:rsid w:val="00A26CD3"/>
  </w:style>
  <w:style w:type="character" w:customStyle="1" w:styleId="Vietas">
    <w:name w:val="Viñetas"/>
    <w:rsid w:val="00A26CD3"/>
    <w:rPr>
      <w:rFonts w:ascii="OpenSymbol" w:eastAsia="OpenSymbol" w:hAnsi="OpenSymbol" w:cs="OpenSymbol" w:hint="eastAsia"/>
    </w:rPr>
  </w:style>
  <w:style w:type="character" w:customStyle="1" w:styleId="Fuentedeprrafopredeter9">
    <w:name w:val="Fuente de párrafo predeter.9"/>
    <w:rsid w:val="00A26CD3"/>
  </w:style>
  <w:style w:type="character" w:customStyle="1" w:styleId="PuestoCar">
    <w:name w:val="Puesto Car"/>
    <w:uiPriority w:val="10"/>
    <w:rsid w:val="00A26CD3"/>
    <w:rPr>
      <w:rFonts w:ascii="Arial Narrow" w:eastAsia="Times New Roman" w:hAnsi="Arial Narrow" w:cs="Times New Roman" w:hint="default"/>
      <w:b/>
      <w:bCs w:val="0"/>
      <w:sz w:val="36"/>
      <w:szCs w:val="36"/>
      <w:lang w:val="en-US" w:eastAsia="es-ES"/>
    </w:rPr>
  </w:style>
  <w:style w:type="character" w:customStyle="1" w:styleId="Textoennegrita1">
    <w:name w:val="Texto en negrita1"/>
    <w:qFormat/>
    <w:rsid w:val="00A26CD3"/>
    <w:rPr>
      <w:b/>
      <w:bCs/>
    </w:rPr>
  </w:style>
  <w:style w:type="character" w:customStyle="1" w:styleId="DeltaViewInsertion">
    <w:name w:val="DeltaView Insertion"/>
    <w:rsid w:val="00A26CD3"/>
    <w:rPr>
      <w:color w:val="0000FF"/>
      <w:spacing w:val="0"/>
      <w:u w:val="double"/>
    </w:rPr>
  </w:style>
  <w:style w:type="character" w:customStyle="1" w:styleId="DeltaViewMoveDestination">
    <w:name w:val="DeltaView Move Destination"/>
    <w:rsid w:val="00A26CD3"/>
    <w:rPr>
      <w:color w:val="00C000"/>
      <w:spacing w:val="0"/>
      <w:u w:val="double"/>
    </w:rPr>
  </w:style>
  <w:style w:type="character" w:customStyle="1" w:styleId="bodycopy1">
    <w:name w:val="bodycopy1"/>
    <w:rsid w:val="00A26CD3"/>
  </w:style>
  <w:style w:type="character" w:customStyle="1" w:styleId="style210">
    <w:name w:val="style21"/>
    <w:rsid w:val="00A26CD3"/>
  </w:style>
  <w:style w:type="character" w:customStyle="1" w:styleId="searchword">
    <w:name w:val="searchword"/>
    <w:rsid w:val="00A26CD3"/>
  </w:style>
  <w:style w:type="character" w:customStyle="1" w:styleId="estilo211">
    <w:name w:val="estilo211"/>
    <w:rsid w:val="00A26CD3"/>
  </w:style>
  <w:style w:type="character" w:customStyle="1" w:styleId="header1">
    <w:name w:val="header1"/>
    <w:rsid w:val="00A26CD3"/>
  </w:style>
  <w:style w:type="character" w:customStyle="1" w:styleId="accprice1">
    <w:name w:val="accprice1"/>
    <w:rsid w:val="00A26CD3"/>
    <w:rPr>
      <w:b/>
      <w:bCs/>
    </w:rPr>
  </w:style>
  <w:style w:type="character" w:customStyle="1" w:styleId="header11">
    <w:name w:val="header11"/>
    <w:rsid w:val="00A26CD3"/>
    <w:rPr>
      <w:rFonts w:ascii="Verdana" w:hAnsi="Verdana" w:hint="default"/>
      <w:b/>
      <w:bCs/>
      <w:sz w:val="21"/>
      <w:szCs w:val="21"/>
    </w:rPr>
  </w:style>
  <w:style w:type="character" w:customStyle="1" w:styleId="text61">
    <w:name w:val="text61"/>
    <w:rsid w:val="00A26CD3"/>
    <w:rPr>
      <w:rFonts w:ascii="Verdana" w:hAnsi="Verdana" w:hint="default"/>
      <w:color w:val="000000"/>
      <w:sz w:val="20"/>
      <w:szCs w:val="20"/>
    </w:rPr>
  </w:style>
  <w:style w:type="character" w:customStyle="1" w:styleId="txt11">
    <w:name w:val="txt11"/>
    <w:rsid w:val="00A26CD3"/>
    <w:rPr>
      <w:rFonts w:ascii="MS Sans Serif" w:hAnsi="MS Sans Serif" w:hint="default"/>
      <w:sz w:val="17"/>
      <w:szCs w:val="17"/>
    </w:rPr>
  </w:style>
  <w:style w:type="character" w:customStyle="1" w:styleId="BodyTextChar10orptCarCar">
    <w:name w:val="Body Text Char + 10 orpt Car Car"/>
    <w:rsid w:val="00A26CD3"/>
    <w:rPr>
      <w:lang w:val="es-ES" w:eastAsia="es-ES" w:bidi="ar-SA"/>
    </w:rPr>
  </w:style>
  <w:style w:type="character" w:customStyle="1" w:styleId="CarCar12">
    <w:name w:val="Car Car12"/>
    <w:rsid w:val="00A26CD3"/>
    <w:rPr>
      <w:rFonts w:ascii="Tahoma" w:hAnsi="Tahoma" w:cs="Tahoma" w:hint="default"/>
      <w:sz w:val="16"/>
      <w:szCs w:val="16"/>
      <w:lang w:val="es-MX" w:eastAsia="es-ES" w:bidi="ar-SA"/>
    </w:rPr>
  </w:style>
  <w:style w:type="character" w:customStyle="1" w:styleId="CarCar7">
    <w:name w:val="Car Car7"/>
    <w:rsid w:val="00A26CD3"/>
    <w:rPr>
      <w:rFonts w:ascii="Arial" w:hAnsi="Arial" w:cs="Arial" w:hint="default"/>
      <w:sz w:val="22"/>
      <w:lang w:val="es-MX" w:eastAsia="es-ES" w:bidi="ar-SA"/>
    </w:rPr>
  </w:style>
  <w:style w:type="character" w:customStyle="1" w:styleId="MapadeldocumentoCar1">
    <w:name w:val="Mapa del documento Car1"/>
    <w:basedOn w:val="Fuentedeprrafopredeter"/>
    <w:semiHidden/>
    <w:rsid w:val="00A26CD3"/>
    <w:rPr>
      <w:rFonts w:ascii="Segoe UI" w:eastAsia="Calibri" w:hAnsi="Segoe UI" w:cs="Segoe UI"/>
      <w:kern w:val="0"/>
      <w:sz w:val="16"/>
      <w:szCs w:val="16"/>
      <w14:ligatures w14:val="none"/>
    </w:rPr>
  </w:style>
  <w:style w:type="character" w:customStyle="1" w:styleId="CarCar11">
    <w:name w:val="Car Car11"/>
    <w:rsid w:val="00A26CD3"/>
    <w:rPr>
      <w:rFonts w:ascii="Tahoma" w:hAnsi="Tahoma" w:cs="Tahoma" w:hint="default"/>
      <w:sz w:val="22"/>
      <w:lang w:val="es-ES" w:eastAsia="es-ES" w:bidi="ar-SA"/>
    </w:rPr>
  </w:style>
  <w:style w:type="character" w:customStyle="1" w:styleId="hCarCar">
    <w:name w:val="h Car Car"/>
    <w:locked/>
    <w:rsid w:val="00A26CD3"/>
    <w:rPr>
      <w:sz w:val="24"/>
      <w:lang w:val="es-ES" w:eastAsia="es-ES" w:bidi="ar-SA"/>
    </w:rPr>
  </w:style>
  <w:style w:type="character" w:customStyle="1" w:styleId="CarCar10">
    <w:name w:val="Car Car10"/>
    <w:rsid w:val="00A26CD3"/>
    <w:rPr>
      <w:rFonts w:ascii="Arial" w:hAnsi="Arial" w:cs="Arial" w:hint="default"/>
      <w:lang w:val="es-ES" w:eastAsia="es-ES" w:bidi="ar-SA"/>
    </w:rPr>
  </w:style>
  <w:style w:type="character" w:customStyle="1" w:styleId="CarCar18">
    <w:name w:val="Car Car18"/>
    <w:rsid w:val="00A26CD3"/>
    <w:rPr>
      <w:rFonts w:ascii="Tahoma" w:eastAsia="Times New Roman" w:hAnsi="Tahoma" w:cs="Tahoma" w:hint="default"/>
      <w:sz w:val="22"/>
    </w:rPr>
  </w:style>
  <w:style w:type="character" w:customStyle="1" w:styleId="CarCar15">
    <w:name w:val="Car Car15"/>
    <w:rsid w:val="00A26CD3"/>
    <w:rPr>
      <w:rFonts w:ascii="Times New Roman" w:eastAsia="Times New Roman" w:hAnsi="Times New Roman" w:cs="Times New Roman" w:hint="default"/>
      <w:sz w:val="16"/>
      <w:szCs w:val="16"/>
    </w:rPr>
  </w:style>
  <w:style w:type="character" w:customStyle="1" w:styleId="CarCar13">
    <w:name w:val="Car Car13"/>
    <w:rsid w:val="00A26CD3"/>
    <w:rPr>
      <w:rFonts w:ascii="Times New Roman" w:eastAsia="Times New Roman" w:hAnsi="Times New Roman" w:cs="Times New Roman" w:hint="default"/>
      <w:b/>
      <w:bCs w:val="0"/>
      <w:sz w:val="36"/>
      <w:lang w:val="es-MX"/>
    </w:rPr>
  </w:style>
  <w:style w:type="character" w:customStyle="1" w:styleId="CarCarCar1">
    <w:name w:val="Car Car Car1"/>
    <w:rsid w:val="00A26CD3"/>
    <w:rPr>
      <w:sz w:val="24"/>
      <w:szCs w:val="24"/>
      <w:lang w:val="es-MX" w:eastAsia="es-ES" w:bidi="ar-SA"/>
    </w:rPr>
  </w:style>
  <w:style w:type="character" w:customStyle="1" w:styleId="CarCar17">
    <w:name w:val="Car Car17"/>
    <w:rsid w:val="00A26CD3"/>
    <w:rPr>
      <w:rFonts w:ascii="Arial" w:hAnsi="Arial" w:cs="Arial" w:hint="default"/>
      <w:sz w:val="24"/>
      <w:szCs w:val="24"/>
      <w:lang w:val="es-ES" w:eastAsia="es-ES" w:bidi="ar-SA"/>
    </w:rPr>
  </w:style>
  <w:style w:type="character" w:customStyle="1" w:styleId="CarCar14">
    <w:name w:val="Car Car14"/>
    <w:rsid w:val="00A26CD3"/>
    <w:rPr>
      <w:rFonts w:ascii="Arial" w:hAnsi="Arial" w:cs="Arial" w:hint="default"/>
      <w:sz w:val="22"/>
      <w:szCs w:val="24"/>
      <w:lang w:val="es-ES" w:eastAsia="es-ES" w:bidi="ar-SA"/>
    </w:rPr>
  </w:style>
  <w:style w:type="character" w:customStyle="1" w:styleId="NingunoA">
    <w:name w:val="Ninguno A"/>
    <w:rsid w:val="00A26CD3"/>
    <w:rPr>
      <w:lang w:val="es-ES_tradnl"/>
    </w:rPr>
  </w:style>
  <w:style w:type="character" w:customStyle="1" w:styleId="apple-tab-span">
    <w:name w:val="apple-tab-span"/>
    <w:rsid w:val="00A26CD3"/>
  </w:style>
  <w:style w:type="character" w:customStyle="1" w:styleId="FontStyle12">
    <w:name w:val="Font Style12"/>
    <w:uiPriority w:val="99"/>
    <w:rsid w:val="00A26CD3"/>
    <w:rPr>
      <w:rFonts w:ascii="Arial" w:hAnsi="Arial" w:cs="Arial" w:hint="default"/>
      <w:sz w:val="20"/>
      <w:szCs w:val="20"/>
    </w:rPr>
  </w:style>
  <w:style w:type="character" w:customStyle="1" w:styleId="Internetlink">
    <w:name w:val="Internet link"/>
    <w:rsid w:val="00A26CD3"/>
    <w:rPr>
      <w:color w:val="000080"/>
      <w:u w:val="single"/>
    </w:rPr>
  </w:style>
  <w:style w:type="character" w:customStyle="1" w:styleId="spellingerror">
    <w:name w:val="spellingerror"/>
    <w:rsid w:val="00A26CD3"/>
  </w:style>
  <w:style w:type="character" w:customStyle="1" w:styleId="FootnoteSymbol">
    <w:name w:val="Footnote Symbol"/>
    <w:rsid w:val="00A26CD3"/>
  </w:style>
  <w:style w:type="character" w:customStyle="1" w:styleId="Footnoteanchor">
    <w:name w:val="Footnote anchor"/>
    <w:rsid w:val="00A26CD3"/>
    <w:rPr>
      <w:position w:val="0"/>
      <w:vertAlign w:val="superscript"/>
    </w:rPr>
  </w:style>
  <w:style w:type="character" w:customStyle="1" w:styleId="pg-1ff2">
    <w:name w:val="pg-1ff2"/>
    <w:basedOn w:val="Fuentedeprrafopredeter"/>
    <w:rsid w:val="00A26CD3"/>
  </w:style>
  <w:style w:type="character" w:customStyle="1" w:styleId="a">
    <w:name w:val="_"/>
    <w:basedOn w:val="Fuentedeprrafopredeter"/>
    <w:rsid w:val="00A26CD3"/>
  </w:style>
  <w:style w:type="character" w:customStyle="1" w:styleId="CharacterStyle4">
    <w:name w:val="Character Style 4"/>
    <w:uiPriority w:val="99"/>
    <w:rsid w:val="00A26CD3"/>
    <w:rPr>
      <w:rFonts w:ascii="Arial" w:hAnsi="Arial" w:cs="Arial" w:hint="default"/>
      <w:b/>
      <w:bCs/>
      <w:color w:val="1B1B1B"/>
      <w:sz w:val="21"/>
      <w:szCs w:val="21"/>
    </w:rPr>
  </w:style>
  <w:style w:type="character" w:customStyle="1" w:styleId="CharacterStyle2">
    <w:name w:val="Character Style 2"/>
    <w:uiPriority w:val="99"/>
    <w:rsid w:val="00A26CD3"/>
    <w:rPr>
      <w:sz w:val="20"/>
      <w:szCs w:val="20"/>
    </w:rPr>
  </w:style>
  <w:style w:type="character" w:customStyle="1" w:styleId="CarCar4">
    <w:name w:val="Car Car4"/>
    <w:rsid w:val="00A26CD3"/>
    <w:rPr>
      <w:sz w:val="24"/>
      <w:szCs w:val="24"/>
      <w:lang w:val="es-MX" w:eastAsia="es-MX" w:bidi="ar-SA"/>
    </w:rPr>
  </w:style>
  <w:style w:type="character" w:customStyle="1" w:styleId="TtuloCar2">
    <w:name w:val="Título Car2"/>
    <w:uiPriority w:val="10"/>
    <w:rsid w:val="00A26CD3"/>
    <w:rPr>
      <w:rFonts w:ascii="Calibri Light" w:eastAsia="Times New Roman" w:hAnsi="Calibri Light" w:cs="Times New Roman" w:hint="default"/>
      <w:b/>
      <w:bCs/>
      <w:kern w:val="28"/>
      <w:sz w:val="32"/>
      <w:szCs w:val="32"/>
      <w:lang w:eastAsia="en-US"/>
    </w:rPr>
  </w:style>
  <w:style w:type="character" w:customStyle="1" w:styleId="FontStyle23">
    <w:name w:val="Font Style23"/>
    <w:uiPriority w:val="99"/>
    <w:rsid w:val="00A26CD3"/>
    <w:rPr>
      <w:rFonts w:ascii="Tahoma" w:hAnsi="Tahoma" w:cs="Tahoma" w:hint="default"/>
      <w:sz w:val="22"/>
      <w:szCs w:val="22"/>
    </w:rPr>
  </w:style>
  <w:style w:type="character" w:customStyle="1" w:styleId="TextoindependienteCar2">
    <w:name w:val="Texto independiente Car2"/>
    <w:aliases w:val="b Car1,body text Car1,body Car1,Specs Car1,Body Text Char + 10 orpt Car1,Car Car Car Car Car Car Car Car Car2,Car Car Car Car Car Car Car Car2"/>
    <w:uiPriority w:val="1"/>
    <w:semiHidden/>
    <w:rsid w:val="00A26CD3"/>
    <w:rPr>
      <w:rFonts w:ascii="Times New Roman" w:eastAsia="Times New Roman" w:hAnsi="Times New Roman" w:cs="Times New Roman" w:hint="default"/>
      <w:lang w:val="es-ES_tradnl" w:eastAsia="es-ES"/>
    </w:rPr>
  </w:style>
  <w:style w:type="character" w:customStyle="1" w:styleId="TextoindependienteCar3">
    <w:name w:val="Texto independiente Car3"/>
    <w:basedOn w:val="Fuentedeprrafopredeter"/>
    <w:semiHidden/>
    <w:rsid w:val="00A26CD3"/>
    <w:rPr>
      <w:rFonts w:ascii="Calibri" w:eastAsia="Calibri" w:hAnsi="Calibri" w:cs="Times New Roman"/>
      <w:kern w:val="0"/>
      <w14:ligatures w14:val="none"/>
    </w:rPr>
  </w:style>
  <w:style w:type="paragraph" w:styleId="Textoindependienteprimerasangra">
    <w:name w:val="Body Text First Indent"/>
    <w:basedOn w:val="Textoindependiente"/>
    <w:link w:val="TextoindependienteprimerasangraCar"/>
    <w:uiPriority w:val="99"/>
    <w:unhideWhenUsed/>
    <w:rsid w:val="00A26CD3"/>
    <w:pPr>
      <w:widowControl/>
      <w:autoSpaceDE/>
      <w:autoSpaceDN/>
      <w:spacing w:after="160" w:line="256" w:lineRule="auto"/>
      <w:ind w:firstLine="360"/>
    </w:pPr>
    <w:rPr>
      <w:rFonts w:ascii="Calibri" w:eastAsia="Calibri" w:hAnsi="Calibri" w:cs="Times New Roman"/>
      <w:sz w:val="22"/>
      <w:szCs w:val="22"/>
      <w:lang w:val="es-MX"/>
    </w:rPr>
  </w:style>
  <w:style w:type="character" w:customStyle="1" w:styleId="TextoindependienteprimerasangraCar">
    <w:name w:val="Texto independiente primera sangría Car"/>
    <w:basedOn w:val="TextoindependienteCar"/>
    <w:link w:val="Textoindependienteprimerasangra"/>
    <w:uiPriority w:val="99"/>
    <w:rsid w:val="00A26CD3"/>
    <w:rPr>
      <w:rFonts w:ascii="Calibri" w:eastAsia="Calibri" w:hAnsi="Calibri" w:cs="Times New Roman"/>
      <w:sz w:val="24"/>
      <w:szCs w:val="24"/>
      <w:lang w:val="es-ES"/>
    </w:rPr>
  </w:style>
  <w:style w:type="character" w:customStyle="1" w:styleId="PrrafodelistaCar1">
    <w:name w:val="Párrafo de lista Car1"/>
    <w:aliases w:val="Celda Car,AB List 1 Car1,Bullet Points Car1,Bullet List Car1,FooterText Car1,numbered Car1,Paragraphe de liste1 Car1,List Paragraph1 Car1,Bulletr List Paragraph Car1,CNBV Parrafo1 Car1,Parrafo 1 Car1,Cita texto Car1"/>
    <w:uiPriority w:val="72"/>
    <w:rsid w:val="00A26CD3"/>
    <w:rPr>
      <w:rFonts w:ascii="Times New Roman" w:eastAsia="Times New Roman" w:hAnsi="Times New Roman" w:cs="Times New Roman" w:hint="default"/>
      <w:sz w:val="24"/>
      <w:szCs w:val="24"/>
    </w:rPr>
  </w:style>
  <w:style w:type="character" w:customStyle="1" w:styleId="A8">
    <w:name w:val="A8"/>
    <w:uiPriority w:val="99"/>
    <w:rsid w:val="00A26CD3"/>
    <w:rPr>
      <w:color w:val="000000"/>
      <w:sz w:val="28"/>
    </w:rPr>
  </w:style>
  <w:style w:type="character" w:customStyle="1" w:styleId="NumberingSymbols">
    <w:name w:val="Numbering Symbols"/>
    <w:rsid w:val="00A26CD3"/>
  </w:style>
  <w:style w:type="paragraph" w:customStyle="1" w:styleId="Tabla0">
    <w:name w:val="Tabla"/>
    <w:basedOn w:val="Normal"/>
    <w:link w:val="TablaCar"/>
    <w:qFormat/>
    <w:rsid w:val="00A26CD3"/>
    <w:rPr>
      <w:rFonts w:ascii="Calibri" w:eastAsia="Calibri" w:hAnsi="Calibri" w:cs="Times New Roman"/>
    </w:rPr>
  </w:style>
  <w:style w:type="character" w:customStyle="1" w:styleId="TablaCar">
    <w:name w:val="Tabla Car"/>
    <w:link w:val="Tabla0"/>
    <w:locked/>
    <w:rsid w:val="00A26CD3"/>
    <w:rPr>
      <w:rFonts w:ascii="Calibri" w:eastAsia="Calibri" w:hAnsi="Calibri" w:cs="Times New Roman"/>
    </w:rPr>
  </w:style>
  <w:style w:type="character" w:customStyle="1" w:styleId="contextualspellingandgrammarerror">
    <w:name w:val="contextualspellingandgrammarerror"/>
    <w:rsid w:val="00A26CD3"/>
  </w:style>
  <w:style w:type="character" w:customStyle="1" w:styleId="independienteCar">
    <w:name w:val="independiente Car"/>
    <w:rsid w:val="00A26CD3"/>
    <w:rPr>
      <w:rFonts w:ascii="Arial" w:hAnsi="Arial" w:cs="Arial" w:hint="default"/>
      <w:sz w:val="22"/>
      <w:szCs w:val="22"/>
      <w:lang w:val="es-ES" w:eastAsia="en-US"/>
    </w:rPr>
  </w:style>
  <w:style w:type="character" w:customStyle="1" w:styleId="c-91">
    <w:name w:val="c-91"/>
    <w:rsid w:val="00A26CD3"/>
    <w:rPr>
      <w:rFonts w:ascii="Open Sans Light" w:hAnsi="Open Sans Light" w:cs="Open Sans Light" w:hint="default"/>
      <w:b w:val="0"/>
      <w:bCs w:val="0"/>
      <w:i w:val="0"/>
      <w:iCs w:val="0"/>
      <w:smallCaps w:val="0"/>
      <w:strike w:val="0"/>
      <w:dstrike w:val="0"/>
      <w:color w:val="154267"/>
      <w:position w:val="0"/>
      <w:sz w:val="24"/>
      <w:szCs w:val="24"/>
      <w:u w:val="none"/>
      <w:effect w:val="none"/>
    </w:rPr>
  </w:style>
  <w:style w:type="character" w:customStyle="1" w:styleId="IGHEnfasis">
    <w:name w:val="_IGH Enfasis"/>
    <w:uiPriority w:val="1"/>
    <w:qFormat/>
    <w:rsid w:val="00A26CD3"/>
    <w:rPr>
      <w:rFonts w:ascii="Soberana Sans" w:hAnsi="Soberana Sans" w:hint="default"/>
      <w:b/>
      <w:bCs w:val="0"/>
      <w:i/>
      <w:iCs w:val="0"/>
      <w:color w:val="002060"/>
      <w:sz w:val="24"/>
    </w:rPr>
  </w:style>
  <w:style w:type="character" w:customStyle="1" w:styleId="A5">
    <w:name w:val="A5"/>
    <w:uiPriority w:val="99"/>
    <w:rsid w:val="00A26CD3"/>
    <w:rPr>
      <w:rFonts w:ascii="HelveticaNeueLT Std Lt Cn" w:hAnsi="HelveticaNeueLT Std Lt Cn" w:cs="HelveticaNeueLT Std Lt Cn" w:hint="default"/>
      <w:color w:val="000000"/>
      <w:sz w:val="18"/>
      <w:szCs w:val="18"/>
    </w:rPr>
  </w:style>
  <w:style w:type="character" w:customStyle="1" w:styleId="notranslate">
    <w:name w:val="notranslate"/>
    <w:rsid w:val="00A26CD3"/>
  </w:style>
  <w:style w:type="character" w:customStyle="1" w:styleId="nocontent1">
    <w:name w:val="nocontent1"/>
    <w:rsid w:val="00A26CD3"/>
    <w:rPr>
      <w:color w:val="888888"/>
    </w:rPr>
  </w:style>
  <w:style w:type="character" w:customStyle="1" w:styleId="Estilo2Car">
    <w:name w:val="Estilo2 Car"/>
    <w:rsid w:val="00A26CD3"/>
    <w:rPr>
      <w:rFonts w:ascii="Arial" w:eastAsia="Times New Roman" w:hAnsi="Arial" w:cs="Arial" w:hint="default"/>
      <w:lang w:val="es-ES" w:eastAsia="es-ES"/>
    </w:rPr>
  </w:style>
  <w:style w:type="character" w:customStyle="1" w:styleId="Estilo3Car">
    <w:name w:val="Estilo3 Car"/>
    <w:rsid w:val="00A26CD3"/>
    <w:rPr>
      <w:rFonts w:ascii="Arial" w:eastAsia="Arial" w:hAnsi="Arial" w:cs="Arial" w:hint="default"/>
      <w:b/>
      <w:bCs w:val="0"/>
      <w:color w:val="C00000"/>
      <w:sz w:val="24"/>
      <w:szCs w:val="24"/>
      <w:lang w:val="es-ES" w:eastAsia="en-US"/>
    </w:rPr>
  </w:style>
  <w:style w:type="character" w:customStyle="1" w:styleId="Estilo4Car">
    <w:name w:val="Estilo4 Car"/>
    <w:rsid w:val="00A26CD3"/>
    <w:rPr>
      <w:rFonts w:ascii="Arial" w:hAnsi="Arial" w:cs="Arial" w:hint="default"/>
      <w:b/>
      <w:bCs w:val="0"/>
      <w:i/>
      <w:iCs/>
      <w:color w:val="8496B0"/>
      <w:sz w:val="24"/>
      <w:szCs w:val="24"/>
      <w:lang w:eastAsia="en-US"/>
    </w:rPr>
  </w:style>
  <w:style w:type="paragraph" w:customStyle="1" w:styleId="NAUNv5">
    <w:name w:val="NAU Nv5"/>
    <w:basedOn w:val="Normal"/>
    <w:link w:val="NAUNv5Car"/>
    <w:rsid w:val="00A26CD3"/>
    <w:rPr>
      <w:rFonts w:ascii="Calibri" w:eastAsia="Calibri" w:hAnsi="Calibri" w:cs="Times New Roman"/>
    </w:rPr>
  </w:style>
  <w:style w:type="character" w:customStyle="1" w:styleId="NAUNv5Car">
    <w:name w:val="NAU Nv5 Car"/>
    <w:link w:val="NAUNv5"/>
    <w:locked/>
    <w:rsid w:val="00A26CD3"/>
    <w:rPr>
      <w:rFonts w:ascii="Calibri" w:eastAsia="Calibri" w:hAnsi="Calibri" w:cs="Times New Roman"/>
    </w:rPr>
  </w:style>
  <w:style w:type="paragraph" w:customStyle="1" w:styleId="NAUNv4SinNmero">
    <w:name w:val="NAU Nv4 Sin Número"/>
    <w:basedOn w:val="NAUNv5"/>
    <w:link w:val="NAUNv4SinNmeroCar"/>
    <w:rsid w:val="00A26CD3"/>
    <w:pPr>
      <w:spacing w:before="480" w:after="120" w:line="240" w:lineRule="auto"/>
      <w:outlineLvl w:val="3"/>
    </w:pPr>
    <w:rPr>
      <w:rFonts w:ascii="Arial" w:hAnsi="Arial"/>
      <w:b/>
      <w:bCs/>
      <w:iCs/>
      <w:noProof/>
      <w:color w:val="833C0C"/>
      <w:spacing w:val="36"/>
      <w:sz w:val="24"/>
      <w:szCs w:val="20"/>
      <w:lang w:val="es-ES"/>
    </w:rPr>
  </w:style>
  <w:style w:type="character" w:customStyle="1" w:styleId="NAUNv4SinNmeroCar">
    <w:name w:val="NAU Nv4 Sin Número Car"/>
    <w:link w:val="NAUNv4SinNmero"/>
    <w:locked/>
    <w:rsid w:val="00A26CD3"/>
    <w:rPr>
      <w:rFonts w:ascii="Arial" w:eastAsia="Calibri" w:hAnsi="Arial" w:cs="Times New Roman"/>
      <w:b/>
      <w:bCs/>
      <w:iCs/>
      <w:noProof/>
      <w:color w:val="833C0C"/>
      <w:spacing w:val="36"/>
      <w:sz w:val="24"/>
      <w:szCs w:val="20"/>
      <w:lang w:val="es-ES"/>
    </w:rPr>
  </w:style>
  <w:style w:type="character" w:customStyle="1" w:styleId="ts">
    <w:name w:val="ts"/>
    <w:rsid w:val="00A26CD3"/>
  </w:style>
  <w:style w:type="character" w:customStyle="1" w:styleId="qu">
    <w:name w:val="qu"/>
    <w:rsid w:val="00A26CD3"/>
  </w:style>
  <w:style w:type="character" w:customStyle="1" w:styleId="adl">
    <w:name w:val="adl"/>
    <w:rsid w:val="00A26CD3"/>
  </w:style>
  <w:style w:type="character" w:customStyle="1" w:styleId="ho">
    <w:name w:val="ho"/>
    <w:rsid w:val="00A26CD3"/>
  </w:style>
  <w:style w:type="character" w:customStyle="1" w:styleId="gd">
    <w:name w:val="gd"/>
    <w:rsid w:val="00A26CD3"/>
  </w:style>
  <w:style w:type="character" w:customStyle="1" w:styleId="g3">
    <w:name w:val="g3"/>
    <w:rsid w:val="00A26CD3"/>
  </w:style>
  <w:style w:type="character" w:customStyle="1" w:styleId="hb">
    <w:name w:val="hb"/>
    <w:rsid w:val="00A26CD3"/>
  </w:style>
  <w:style w:type="character" w:customStyle="1" w:styleId="g2">
    <w:name w:val="g2"/>
    <w:rsid w:val="00A26CD3"/>
  </w:style>
  <w:style w:type="character" w:customStyle="1" w:styleId="Normatcnica">
    <w:name w:val="Norma técnica"/>
    <w:uiPriority w:val="1"/>
    <w:qFormat/>
    <w:rsid w:val="00A26CD3"/>
    <w:rPr>
      <w:rFonts w:ascii="Arial" w:eastAsia="Calibri" w:hAnsi="Arial" w:cs="Arial" w:hint="default"/>
      <w:b/>
      <w:bCs w:val="0"/>
      <w:sz w:val="22"/>
      <w:szCs w:val="24"/>
      <w:lang w:val="es-ES"/>
    </w:rPr>
  </w:style>
  <w:style w:type="paragraph" w:styleId="Encabezadodenota">
    <w:name w:val="Note Heading"/>
    <w:basedOn w:val="Normal"/>
    <w:next w:val="Normal"/>
    <w:link w:val="EncabezadodenotaCar"/>
    <w:uiPriority w:val="99"/>
    <w:semiHidden/>
    <w:unhideWhenUsed/>
    <w:rsid w:val="00A26CD3"/>
    <w:pPr>
      <w:spacing w:after="0" w:line="240" w:lineRule="auto"/>
      <w:ind w:firstLine="567"/>
      <w:jc w:val="both"/>
    </w:pPr>
    <w:rPr>
      <w:rFonts w:ascii="Arial" w:eastAsia="Calibri" w:hAnsi="Arial" w:cs="Times New Roman"/>
      <w:lang w:val="es-ES"/>
    </w:rPr>
  </w:style>
  <w:style w:type="character" w:customStyle="1" w:styleId="EncabezadodenotaCar1">
    <w:name w:val="Encabezado de nota Car1"/>
    <w:basedOn w:val="Fuentedeprrafopredeter"/>
    <w:uiPriority w:val="99"/>
    <w:semiHidden/>
    <w:rsid w:val="00A26CD3"/>
  </w:style>
  <w:style w:type="paragraph" w:styleId="Firmadecorreoelectrnico">
    <w:name w:val="E-mail Signature"/>
    <w:basedOn w:val="Normal"/>
    <w:link w:val="FirmadecorreoelectrnicoCar"/>
    <w:uiPriority w:val="99"/>
    <w:semiHidden/>
    <w:unhideWhenUsed/>
    <w:rsid w:val="00A26CD3"/>
    <w:pPr>
      <w:spacing w:after="0" w:line="240" w:lineRule="auto"/>
      <w:ind w:firstLine="567"/>
      <w:jc w:val="both"/>
    </w:pPr>
    <w:rPr>
      <w:rFonts w:ascii="Arial" w:eastAsia="Calibri" w:hAnsi="Arial" w:cs="Times New Roman"/>
      <w:lang w:val="es-ES"/>
    </w:rPr>
  </w:style>
  <w:style w:type="character" w:customStyle="1" w:styleId="FirmadecorreoelectrnicoCar1">
    <w:name w:val="Firma de correo electrónico Car1"/>
    <w:basedOn w:val="Fuentedeprrafopredeter"/>
    <w:uiPriority w:val="99"/>
    <w:semiHidden/>
    <w:rsid w:val="00A26CD3"/>
  </w:style>
  <w:style w:type="paragraph" w:styleId="Textomacro">
    <w:name w:val="macro"/>
    <w:link w:val="TextomacroCar"/>
    <w:uiPriority w:val="99"/>
    <w:semiHidden/>
    <w:unhideWhenUsed/>
    <w:rsid w:val="00A26CD3"/>
    <w:pPr>
      <w:tabs>
        <w:tab w:val="left" w:pos="480"/>
        <w:tab w:val="left" w:pos="960"/>
        <w:tab w:val="left" w:pos="1440"/>
        <w:tab w:val="left" w:pos="1920"/>
        <w:tab w:val="left" w:pos="2400"/>
        <w:tab w:val="left" w:pos="2880"/>
        <w:tab w:val="left" w:pos="3360"/>
        <w:tab w:val="left" w:pos="3840"/>
        <w:tab w:val="left" w:pos="4320"/>
      </w:tabs>
      <w:spacing w:before="120" w:after="0" w:line="240" w:lineRule="auto"/>
      <w:ind w:firstLine="567"/>
      <w:jc w:val="both"/>
    </w:pPr>
    <w:rPr>
      <w:rFonts w:ascii="Consolas" w:eastAsia="Calibri" w:hAnsi="Consolas" w:cs="Times New Roman"/>
      <w:sz w:val="20"/>
      <w:szCs w:val="20"/>
      <w:lang w:val="es-ES"/>
    </w:rPr>
  </w:style>
  <w:style w:type="character" w:customStyle="1" w:styleId="TextomacroCar1">
    <w:name w:val="Texto macro Car1"/>
    <w:basedOn w:val="Fuentedeprrafopredeter"/>
    <w:uiPriority w:val="99"/>
    <w:semiHidden/>
    <w:rsid w:val="00A26CD3"/>
    <w:rPr>
      <w:rFonts w:ascii="Consolas" w:hAnsi="Consolas"/>
      <w:sz w:val="20"/>
      <w:szCs w:val="20"/>
    </w:rPr>
  </w:style>
  <w:style w:type="character" w:customStyle="1" w:styleId="CarCar2">
    <w:name w:val="Car Car2"/>
    <w:locked/>
    <w:rsid w:val="00A26CD3"/>
    <w:rPr>
      <w:rFonts w:ascii="Gill Sans MT" w:hAnsi="Gill Sans MT" w:hint="default"/>
      <w:sz w:val="24"/>
      <w:szCs w:val="24"/>
      <w:lang w:val="es-MX" w:eastAsia="es-MX" w:bidi="ar-SA"/>
    </w:rPr>
  </w:style>
  <w:style w:type="character" w:customStyle="1" w:styleId="CarCar3">
    <w:name w:val="Car Car3"/>
    <w:rsid w:val="00A26CD3"/>
    <w:rPr>
      <w:rFonts w:ascii="Gill Sans MT" w:hAnsi="Gill Sans MT" w:hint="default"/>
      <w:b/>
      <w:bCs w:val="0"/>
      <w:sz w:val="24"/>
      <w:lang w:val="es-ES_tradnl" w:eastAsia="es-ES" w:bidi="ar-SA"/>
    </w:rPr>
  </w:style>
  <w:style w:type="character" w:customStyle="1" w:styleId="fontstyle01">
    <w:name w:val="fontstyle01"/>
    <w:rsid w:val="00A26CD3"/>
    <w:rPr>
      <w:rFonts w:ascii="ArialMT" w:hAnsi="ArialMT" w:hint="default"/>
      <w:b w:val="0"/>
      <w:bCs w:val="0"/>
      <w:i w:val="0"/>
      <w:iCs w:val="0"/>
      <w:color w:val="6D6D6D"/>
      <w:sz w:val="18"/>
      <w:szCs w:val="18"/>
    </w:rPr>
  </w:style>
  <w:style w:type="character" w:customStyle="1" w:styleId="fontstyle21">
    <w:name w:val="fontstyle21"/>
    <w:rsid w:val="00A26CD3"/>
    <w:rPr>
      <w:rFonts w:ascii="Arial-BoldMT" w:hAnsi="Arial-BoldMT" w:hint="default"/>
      <w:b/>
      <w:bCs/>
      <w:i w:val="0"/>
      <w:iCs w:val="0"/>
      <w:color w:val="6D6D6D"/>
      <w:sz w:val="18"/>
      <w:szCs w:val="18"/>
    </w:rPr>
  </w:style>
  <w:style w:type="character" w:customStyle="1" w:styleId="PuestoCar1">
    <w:name w:val="Puesto Car1"/>
    <w:rsid w:val="00A26CD3"/>
    <w:rPr>
      <w:rFonts w:ascii="Calibri Light" w:eastAsia="Times New Roman" w:hAnsi="Calibri Light" w:cs="Times New Roman" w:hint="default"/>
      <w:spacing w:val="-10"/>
      <w:kern w:val="28"/>
      <w:sz w:val="56"/>
      <w:szCs w:val="56"/>
      <w:lang w:eastAsia="es-MX"/>
    </w:rPr>
  </w:style>
  <w:style w:type="character" w:customStyle="1" w:styleId="TtuloCar3">
    <w:name w:val="Título Car3"/>
    <w:uiPriority w:val="10"/>
    <w:rsid w:val="00A26CD3"/>
    <w:rPr>
      <w:rFonts w:ascii="Calibri Light" w:eastAsia="Times New Roman" w:hAnsi="Calibri Light" w:cs="Times New Roman" w:hint="default"/>
      <w:spacing w:val="-10"/>
      <w:kern w:val="28"/>
      <w:sz w:val="56"/>
      <w:szCs w:val="56"/>
      <w:lang w:eastAsia="en-US"/>
    </w:rPr>
  </w:style>
  <w:style w:type="character" w:customStyle="1" w:styleId="negritas">
    <w:name w:val="negritas"/>
    <w:rsid w:val="00A26CD3"/>
    <w:rPr>
      <w:b/>
      <w:bCs/>
    </w:rPr>
  </w:style>
  <w:style w:type="character" w:customStyle="1" w:styleId="Ttulo1Espaciado2pto">
    <w:name w:val="Título #1 + Espaciado 2 pto"/>
    <w:rsid w:val="00A26CD3"/>
    <w:rPr>
      <w:rFonts w:ascii="Calibri" w:eastAsia="Calibri" w:hAnsi="Calibri" w:cs="Calibri" w:hint="default"/>
      <w:b/>
      <w:bCs/>
      <w:color w:val="000000"/>
      <w:spacing w:val="50"/>
      <w:w w:val="100"/>
      <w:position w:val="0"/>
      <w:shd w:val="clear" w:color="auto" w:fill="FFFFFF"/>
      <w:lang w:val="es-ES" w:eastAsia="es-ES" w:bidi="es-ES"/>
    </w:rPr>
  </w:style>
  <w:style w:type="character" w:customStyle="1" w:styleId="Cuerpodeltexto2Exact">
    <w:name w:val="Cuerpo del texto (2) Exact"/>
    <w:rsid w:val="00A26CD3"/>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Cuerpodeltexto6Negrita">
    <w:name w:val="Cuerpo del texto (6) + Negrita"/>
    <w:rsid w:val="00A26CD3"/>
    <w:rPr>
      <w:rFonts w:ascii="Arial" w:eastAsia="Arial" w:hAnsi="Arial" w:cs="Arial" w:hint="default"/>
      <w:b/>
      <w:bCs/>
      <w:i w:val="0"/>
      <w:iCs w:val="0"/>
      <w:smallCaps w:val="0"/>
      <w:strike w:val="0"/>
      <w:dstrike w:val="0"/>
      <w:color w:val="000000"/>
      <w:spacing w:val="0"/>
      <w:w w:val="100"/>
      <w:position w:val="0"/>
      <w:sz w:val="22"/>
      <w:szCs w:val="22"/>
      <w:u w:val="none"/>
      <w:effect w:val="none"/>
      <w:lang w:val="es-ES" w:eastAsia="es-ES" w:bidi="es-ES"/>
    </w:rPr>
  </w:style>
  <w:style w:type="character" w:customStyle="1" w:styleId="street-address">
    <w:name w:val="street-address"/>
    <w:basedOn w:val="Fuentedeprrafopredeter"/>
    <w:rsid w:val="00A26CD3"/>
  </w:style>
  <w:style w:type="character" w:customStyle="1" w:styleId="locality">
    <w:name w:val="locality"/>
    <w:basedOn w:val="Fuentedeprrafopredeter"/>
    <w:rsid w:val="00A26CD3"/>
  </w:style>
  <w:style w:type="character" w:customStyle="1" w:styleId="region">
    <w:name w:val="region"/>
    <w:basedOn w:val="Fuentedeprrafopredeter"/>
    <w:rsid w:val="00A26CD3"/>
  </w:style>
  <w:style w:type="character" w:customStyle="1" w:styleId="postal-code">
    <w:name w:val="postal-code"/>
    <w:basedOn w:val="Fuentedeprrafopredeter"/>
    <w:rsid w:val="00A26CD3"/>
  </w:style>
  <w:style w:type="character" w:customStyle="1" w:styleId="country-name">
    <w:name w:val="country-name"/>
    <w:basedOn w:val="Fuentedeprrafopredeter"/>
    <w:rsid w:val="00A26CD3"/>
  </w:style>
  <w:style w:type="character" w:customStyle="1" w:styleId="Cuerpodeltexto6Exact">
    <w:name w:val="Cuerpo del texto (6) Exact"/>
    <w:rsid w:val="00A26CD3"/>
    <w:rPr>
      <w:rFonts w:ascii="Calibri" w:eastAsia="Calibri" w:hAnsi="Calibri" w:cs="Calibri" w:hint="default"/>
      <w:b/>
      <w:bCs/>
      <w:i w:val="0"/>
      <w:iCs w:val="0"/>
      <w:smallCaps w:val="0"/>
      <w:strike w:val="0"/>
      <w:dstrike w:val="0"/>
      <w:sz w:val="20"/>
      <w:szCs w:val="20"/>
      <w:u w:val="none"/>
      <w:effect w:val="none"/>
    </w:rPr>
  </w:style>
  <w:style w:type="character" w:customStyle="1" w:styleId="Cuerpodeltexto6Espaciado2pto">
    <w:name w:val="Cuerpo del texto (6) + Espaciado 2 pto"/>
    <w:rsid w:val="00A26CD3"/>
    <w:rPr>
      <w:rFonts w:ascii="Calibri" w:eastAsia="Calibri" w:hAnsi="Calibri" w:cs="Calibri" w:hint="default"/>
      <w:b/>
      <w:bCs/>
      <w:color w:val="000000"/>
      <w:spacing w:val="50"/>
      <w:w w:val="100"/>
      <w:position w:val="0"/>
      <w:sz w:val="20"/>
      <w:szCs w:val="20"/>
      <w:shd w:val="clear" w:color="auto" w:fill="FFFFFF"/>
      <w:lang w:val="es-ES" w:eastAsia="es-ES" w:bidi="es-ES"/>
    </w:rPr>
  </w:style>
  <w:style w:type="character" w:customStyle="1" w:styleId="Destacado">
    <w:name w:val="Destacado"/>
    <w:uiPriority w:val="20"/>
    <w:qFormat/>
    <w:rsid w:val="00A26CD3"/>
    <w:rPr>
      <w:i/>
      <w:iCs/>
    </w:rPr>
  </w:style>
  <w:style w:type="character" w:customStyle="1" w:styleId="A2">
    <w:name w:val="A2"/>
    <w:uiPriority w:val="99"/>
    <w:rsid w:val="00A26CD3"/>
    <w:rPr>
      <w:b/>
      <w:bCs/>
      <w:color w:val="000000"/>
      <w:sz w:val="10"/>
      <w:szCs w:val="10"/>
    </w:rPr>
  </w:style>
  <w:style w:type="character" w:customStyle="1" w:styleId="A3">
    <w:name w:val="A3"/>
    <w:uiPriority w:val="99"/>
    <w:rsid w:val="00A26CD3"/>
    <w:rPr>
      <w:b/>
      <w:bCs/>
      <w:color w:val="000000"/>
      <w:sz w:val="9"/>
      <w:szCs w:val="9"/>
    </w:rPr>
  </w:style>
  <w:style w:type="character" w:customStyle="1" w:styleId="FontStyle14">
    <w:name w:val="Font Style14"/>
    <w:uiPriority w:val="99"/>
    <w:rsid w:val="00A26CD3"/>
    <w:rPr>
      <w:rFonts w:ascii="Arial" w:hAnsi="Arial" w:cs="Arial" w:hint="default"/>
      <w:sz w:val="20"/>
      <w:szCs w:val="20"/>
    </w:rPr>
  </w:style>
  <w:style w:type="character" w:customStyle="1" w:styleId="Bodytext2Spacing3pt">
    <w:name w:val="Body text (2) + Spacing 3 pt"/>
    <w:rsid w:val="00A26CD3"/>
    <w:rPr>
      <w:rFonts w:ascii="Arial" w:eastAsia="Arial" w:hAnsi="Arial" w:cs="Arial" w:hint="default"/>
      <w:spacing w:val="70"/>
      <w:sz w:val="23"/>
      <w:szCs w:val="23"/>
      <w:shd w:val="clear" w:color="auto" w:fill="FFFFFF"/>
    </w:rPr>
  </w:style>
  <w:style w:type="character" w:customStyle="1" w:styleId="BodytextBold">
    <w:name w:val="Body text + Bold"/>
    <w:rsid w:val="00A26CD3"/>
    <w:rPr>
      <w:rFonts w:ascii="Arial" w:eastAsia="Arial" w:hAnsi="Arial" w:cs="Arial" w:hint="default"/>
      <w:b/>
      <w:bCs/>
      <w:i w:val="0"/>
      <w:iCs w:val="0"/>
      <w:smallCaps w:val="0"/>
      <w:strike w:val="0"/>
      <w:dstrike w:val="0"/>
      <w:spacing w:val="0"/>
      <w:sz w:val="20"/>
      <w:szCs w:val="20"/>
      <w:u w:val="none"/>
      <w:effect w:val="none"/>
    </w:rPr>
  </w:style>
  <w:style w:type="character" w:customStyle="1" w:styleId="Bodytext5pt">
    <w:name w:val="Body text + 5 pt"/>
    <w:aliases w:val="Not Italic"/>
    <w:rsid w:val="00A26CD3"/>
    <w:rPr>
      <w:rFonts w:ascii="Arial" w:eastAsia="Arial" w:hAnsi="Arial" w:cs="Arial" w:hint="default"/>
      <w:b w:val="0"/>
      <w:bCs w:val="0"/>
      <w:i/>
      <w:iCs/>
      <w:smallCaps w:val="0"/>
      <w:strike w:val="0"/>
      <w:dstrike w:val="0"/>
      <w:sz w:val="10"/>
      <w:szCs w:val="10"/>
      <w:u w:val="none"/>
      <w:effect w:val="none"/>
    </w:rPr>
  </w:style>
  <w:style w:type="character" w:customStyle="1" w:styleId="Textoindependiente1">
    <w:name w:val="Texto independiente1"/>
    <w:rsid w:val="00A26CD3"/>
    <w:rPr>
      <w:rFonts w:ascii="Arial" w:eastAsia="Arial" w:hAnsi="Arial" w:cs="Arial" w:hint="default"/>
      <w:sz w:val="20"/>
      <w:szCs w:val="20"/>
      <w:u w:val="single"/>
      <w:shd w:val="clear" w:color="auto" w:fill="FFFFFF"/>
    </w:rPr>
  </w:style>
  <w:style w:type="character" w:customStyle="1" w:styleId="Destaquemayor">
    <w:name w:val="Destaque mayor"/>
    <w:qFormat/>
    <w:rsid w:val="00A26CD3"/>
    <w:rPr>
      <w:b/>
      <w:bCs/>
    </w:rPr>
  </w:style>
  <w:style w:type="character" w:customStyle="1" w:styleId="s1">
    <w:name w:val="s1"/>
    <w:rsid w:val="00A26CD3"/>
    <w:rPr>
      <w:rFonts w:ascii="Helvetica" w:hAnsi="Helvetica" w:cs="Helvetica" w:hint="default"/>
      <w:b w:val="0"/>
      <w:bCs w:val="0"/>
      <w:i w:val="0"/>
      <w:iCs w:val="0"/>
      <w:sz w:val="18"/>
      <w:szCs w:val="18"/>
    </w:rPr>
  </w:style>
  <w:style w:type="character" w:customStyle="1" w:styleId="dkeal">
    <w:name w:val="dkeal"/>
    <w:basedOn w:val="Fuentedeprrafopredeter"/>
    <w:rsid w:val="00A26CD3"/>
  </w:style>
  <w:style w:type="character" w:customStyle="1" w:styleId="WW8Num1z1">
    <w:name w:val="WW8Num1z1"/>
    <w:rsid w:val="00A26CD3"/>
  </w:style>
  <w:style w:type="character" w:customStyle="1" w:styleId="WW8Num1z2">
    <w:name w:val="WW8Num1z2"/>
    <w:rsid w:val="00A26CD3"/>
  </w:style>
  <w:style w:type="character" w:customStyle="1" w:styleId="WW8Num1z3">
    <w:name w:val="WW8Num1z3"/>
    <w:rsid w:val="00A26CD3"/>
  </w:style>
  <w:style w:type="character" w:customStyle="1" w:styleId="WW8Num1z4">
    <w:name w:val="WW8Num1z4"/>
    <w:rsid w:val="00A26CD3"/>
  </w:style>
  <w:style w:type="character" w:customStyle="1" w:styleId="WW8Num1z5">
    <w:name w:val="WW8Num1z5"/>
    <w:rsid w:val="00A26CD3"/>
  </w:style>
  <w:style w:type="character" w:customStyle="1" w:styleId="WW8Num1z6">
    <w:name w:val="WW8Num1z6"/>
    <w:rsid w:val="00A26CD3"/>
  </w:style>
  <w:style w:type="character" w:customStyle="1" w:styleId="WW8Num1z7">
    <w:name w:val="WW8Num1z7"/>
    <w:rsid w:val="00A26CD3"/>
  </w:style>
  <w:style w:type="character" w:customStyle="1" w:styleId="WW8Num1z8">
    <w:name w:val="WW8Num1z8"/>
    <w:rsid w:val="00A26CD3"/>
  </w:style>
  <w:style w:type="character" w:customStyle="1" w:styleId="WW8Num2z1">
    <w:name w:val="WW8Num2z1"/>
    <w:rsid w:val="00A26CD3"/>
  </w:style>
  <w:style w:type="character" w:customStyle="1" w:styleId="WW8Num2z2">
    <w:name w:val="WW8Num2z2"/>
    <w:rsid w:val="00A26CD3"/>
  </w:style>
  <w:style w:type="character" w:customStyle="1" w:styleId="WW8Num2z3">
    <w:name w:val="WW8Num2z3"/>
    <w:rsid w:val="00A26CD3"/>
  </w:style>
  <w:style w:type="character" w:customStyle="1" w:styleId="WW8Num2z4">
    <w:name w:val="WW8Num2z4"/>
    <w:rsid w:val="00A26CD3"/>
  </w:style>
  <w:style w:type="character" w:customStyle="1" w:styleId="WW8Num2z5">
    <w:name w:val="WW8Num2z5"/>
    <w:rsid w:val="00A26CD3"/>
  </w:style>
  <w:style w:type="character" w:customStyle="1" w:styleId="WW8Num2z6">
    <w:name w:val="WW8Num2z6"/>
    <w:rsid w:val="00A26CD3"/>
  </w:style>
  <w:style w:type="character" w:customStyle="1" w:styleId="WW8Num2z7">
    <w:name w:val="WW8Num2z7"/>
    <w:rsid w:val="00A26CD3"/>
  </w:style>
  <w:style w:type="character" w:customStyle="1" w:styleId="WW8Num2z8">
    <w:name w:val="WW8Num2z8"/>
    <w:rsid w:val="00A26CD3"/>
  </w:style>
  <w:style w:type="character" w:customStyle="1" w:styleId="WW8Num3z1">
    <w:name w:val="WW8Num3z1"/>
    <w:rsid w:val="00A26CD3"/>
  </w:style>
  <w:style w:type="character" w:customStyle="1" w:styleId="WW8Num3z2">
    <w:name w:val="WW8Num3z2"/>
    <w:rsid w:val="00A26CD3"/>
  </w:style>
  <w:style w:type="character" w:customStyle="1" w:styleId="WW8Num3z3">
    <w:name w:val="WW8Num3z3"/>
    <w:rsid w:val="00A26CD3"/>
  </w:style>
  <w:style w:type="character" w:customStyle="1" w:styleId="WW8Num3z4">
    <w:name w:val="WW8Num3z4"/>
    <w:rsid w:val="00A26CD3"/>
  </w:style>
  <w:style w:type="character" w:customStyle="1" w:styleId="WW8Num3z5">
    <w:name w:val="WW8Num3z5"/>
    <w:rsid w:val="00A26CD3"/>
  </w:style>
  <w:style w:type="character" w:customStyle="1" w:styleId="WW8Num3z6">
    <w:name w:val="WW8Num3z6"/>
    <w:rsid w:val="00A26CD3"/>
  </w:style>
  <w:style w:type="character" w:customStyle="1" w:styleId="WW8Num3z7">
    <w:name w:val="WW8Num3z7"/>
    <w:rsid w:val="00A26CD3"/>
  </w:style>
  <w:style w:type="character" w:customStyle="1" w:styleId="WW8Num3z8">
    <w:name w:val="WW8Num3z8"/>
    <w:rsid w:val="00A26CD3"/>
  </w:style>
  <w:style w:type="character" w:customStyle="1" w:styleId="WW8Num4z1">
    <w:name w:val="WW8Num4z1"/>
    <w:rsid w:val="00A26CD3"/>
  </w:style>
  <w:style w:type="character" w:customStyle="1" w:styleId="WW8Num4z2">
    <w:name w:val="WW8Num4z2"/>
    <w:rsid w:val="00A26CD3"/>
  </w:style>
  <w:style w:type="character" w:customStyle="1" w:styleId="WW8Num4z3">
    <w:name w:val="WW8Num4z3"/>
    <w:rsid w:val="00A26CD3"/>
  </w:style>
  <w:style w:type="character" w:customStyle="1" w:styleId="WW8Num4z4">
    <w:name w:val="WW8Num4z4"/>
    <w:rsid w:val="00A26CD3"/>
  </w:style>
  <w:style w:type="character" w:customStyle="1" w:styleId="WW8Num4z5">
    <w:name w:val="WW8Num4z5"/>
    <w:rsid w:val="00A26CD3"/>
  </w:style>
  <w:style w:type="character" w:customStyle="1" w:styleId="WW8Num4z6">
    <w:name w:val="WW8Num4z6"/>
    <w:rsid w:val="00A26CD3"/>
  </w:style>
  <w:style w:type="character" w:customStyle="1" w:styleId="WW8Num4z7">
    <w:name w:val="WW8Num4z7"/>
    <w:rsid w:val="00A26CD3"/>
  </w:style>
  <w:style w:type="character" w:customStyle="1" w:styleId="WW8Num4z8">
    <w:name w:val="WW8Num4z8"/>
    <w:rsid w:val="00A26CD3"/>
  </w:style>
  <w:style w:type="character" w:customStyle="1" w:styleId="WW8Num5z2">
    <w:name w:val="WW8Num5z2"/>
    <w:rsid w:val="00A26CD3"/>
  </w:style>
  <w:style w:type="character" w:customStyle="1" w:styleId="WW8Num5z3">
    <w:name w:val="WW8Num5z3"/>
    <w:rsid w:val="00A26CD3"/>
  </w:style>
  <w:style w:type="character" w:customStyle="1" w:styleId="WW8Num5z4">
    <w:name w:val="WW8Num5z4"/>
    <w:rsid w:val="00A26CD3"/>
  </w:style>
  <w:style w:type="character" w:customStyle="1" w:styleId="WW8Num5z5">
    <w:name w:val="WW8Num5z5"/>
    <w:rsid w:val="00A26CD3"/>
  </w:style>
  <w:style w:type="character" w:customStyle="1" w:styleId="WW8Num5z6">
    <w:name w:val="WW8Num5z6"/>
    <w:rsid w:val="00A26CD3"/>
  </w:style>
  <w:style w:type="character" w:customStyle="1" w:styleId="WW8Num5z7">
    <w:name w:val="WW8Num5z7"/>
    <w:rsid w:val="00A26CD3"/>
  </w:style>
  <w:style w:type="character" w:customStyle="1" w:styleId="WW8Num5z8">
    <w:name w:val="WW8Num5z8"/>
    <w:rsid w:val="00A26CD3"/>
  </w:style>
  <w:style w:type="character" w:customStyle="1" w:styleId="WW8Num6z1">
    <w:name w:val="WW8Num6z1"/>
    <w:rsid w:val="00A26CD3"/>
  </w:style>
  <w:style w:type="character" w:customStyle="1" w:styleId="WW8Num6z2">
    <w:name w:val="WW8Num6z2"/>
    <w:rsid w:val="00A26CD3"/>
  </w:style>
  <w:style w:type="character" w:customStyle="1" w:styleId="WW8Num6z3">
    <w:name w:val="WW8Num6z3"/>
    <w:rsid w:val="00A26CD3"/>
  </w:style>
  <w:style w:type="character" w:customStyle="1" w:styleId="WW8Num6z4">
    <w:name w:val="WW8Num6z4"/>
    <w:rsid w:val="00A26CD3"/>
  </w:style>
  <w:style w:type="character" w:customStyle="1" w:styleId="WW8Num6z5">
    <w:name w:val="WW8Num6z5"/>
    <w:rsid w:val="00A26CD3"/>
  </w:style>
  <w:style w:type="character" w:customStyle="1" w:styleId="WW8Num6z6">
    <w:name w:val="WW8Num6z6"/>
    <w:rsid w:val="00A26CD3"/>
  </w:style>
  <w:style w:type="character" w:customStyle="1" w:styleId="WW8Num6z7">
    <w:name w:val="WW8Num6z7"/>
    <w:rsid w:val="00A26CD3"/>
  </w:style>
  <w:style w:type="character" w:customStyle="1" w:styleId="WW8Num6z8">
    <w:name w:val="WW8Num6z8"/>
    <w:rsid w:val="00A26CD3"/>
  </w:style>
  <w:style w:type="character" w:customStyle="1" w:styleId="DefaultPara">
    <w:name w:val="Default Para"/>
    <w:rsid w:val="00A26CD3"/>
    <w:rPr>
      <w:lang w:val="en-US"/>
    </w:rPr>
  </w:style>
  <w:style w:type="character" w:customStyle="1" w:styleId="WW-Caracteresdenotaalpie">
    <w:name w:val="WW-Caracteres de nota al pie"/>
    <w:rsid w:val="00A26CD3"/>
    <w:rPr>
      <w:vertAlign w:val="superscript"/>
    </w:rPr>
  </w:style>
  <w:style w:type="character" w:customStyle="1" w:styleId="Caracteresdenotaalpie">
    <w:name w:val="Caracteres de nota al pie"/>
    <w:rsid w:val="00A26CD3"/>
    <w:rPr>
      <w:vertAlign w:val="superscript"/>
    </w:rPr>
  </w:style>
  <w:style w:type="character" w:customStyle="1" w:styleId="EndnoteSymbol">
    <w:name w:val="Endnote Symbol"/>
    <w:rsid w:val="00A26CD3"/>
    <w:rPr>
      <w:vertAlign w:val="superscript"/>
    </w:rPr>
  </w:style>
  <w:style w:type="character" w:customStyle="1" w:styleId="WW-Caracteresdenotafinal">
    <w:name w:val="WW-Caracteres de nota final"/>
    <w:rsid w:val="00A26CD3"/>
  </w:style>
  <w:style w:type="character" w:customStyle="1" w:styleId="Endnoteanchor">
    <w:name w:val="Endnote anchor"/>
    <w:rsid w:val="00A26CD3"/>
    <w:rPr>
      <w:vertAlign w:val="superscript"/>
    </w:rPr>
  </w:style>
  <w:style w:type="character" w:customStyle="1" w:styleId="FootnoteCharacters">
    <w:name w:val="Footnote Characters"/>
    <w:rsid w:val="00A26CD3"/>
    <w:rPr>
      <w:vertAlign w:val="superscript"/>
    </w:rPr>
  </w:style>
  <w:style w:type="character" w:customStyle="1" w:styleId="CarCar6">
    <w:name w:val="Car Car6"/>
    <w:rsid w:val="00A26CD3"/>
    <w:rPr>
      <w:sz w:val="24"/>
      <w:szCs w:val="24"/>
      <w:lang w:val="es-ES" w:bidi="ar-SA"/>
    </w:rPr>
  </w:style>
  <w:style w:type="character" w:customStyle="1" w:styleId="red">
    <w:name w:val="red"/>
    <w:rsid w:val="00A26CD3"/>
    <w:rPr>
      <w:b/>
      <w:bCs/>
      <w:color w:val="FF0000"/>
    </w:rPr>
  </w:style>
  <w:style w:type="character" w:customStyle="1" w:styleId="labesdetalle1">
    <w:name w:val="labesdetalle1"/>
    <w:rsid w:val="00A26CD3"/>
    <w:rPr>
      <w:rFonts w:ascii="Calibri" w:hAnsi="Calibri" w:cs="Calibri" w:hint="default"/>
      <w:sz w:val="26"/>
      <w:szCs w:val="26"/>
    </w:rPr>
  </w:style>
  <w:style w:type="character" w:customStyle="1" w:styleId="CarCar20">
    <w:name w:val="Car Car20"/>
    <w:rsid w:val="00A26CD3"/>
    <w:rPr>
      <w:rFonts w:ascii="Arial" w:hAnsi="Arial" w:cs="Arial" w:hint="default"/>
      <w:b/>
      <w:bCs w:val="0"/>
      <w:sz w:val="24"/>
      <w:lang w:val="en-US" w:bidi="ar-SA"/>
    </w:rPr>
  </w:style>
  <w:style w:type="character" w:customStyle="1" w:styleId="CarCar19">
    <w:name w:val="Car Car19"/>
    <w:rsid w:val="00A26CD3"/>
    <w:rPr>
      <w:rFonts w:ascii="Tahoma" w:hAnsi="Tahoma" w:cs="Tahoma" w:hint="default"/>
      <w:b/>
      <w:bCs w:val="0"/>
      <w:spacing w:val="-3"/>
      <w:sz w:val="22"/>
      <w:szCs w:val="24"/>
      <w:lang w:val="es-ES_tradnl" w:bidi="ar-SA"/>
    </w:rPr>
  </w:style>
  <w:style w:type="character" w:customStyle="1" w:styleId="TtuloCarCar">
    <w:name w:val="Título Car Car"/>
    <w:rsid w:val="00A26CD3"/>
    <w:rPr>
      <w:rFonts w:ascii="Abadi MT Condensed Light" w:hAnsi="Abadi MT Condensed Light" w:cs="Abadi MT Condensed Light" w:hint="default"/>
      <w:b/>
      <w:bCs w:val="0"/>
      <w:i/>
      <w:iCs w:val="0"/>
      <w:sz w:val="40"/>
      <w:lang w:bidi="ar-SA"/>
    </w:rPr>
  </w:style>
  <w:style w:type="character" w:customStyle="1" w:styleId="CarCar9">
    <w:name w:val="Car Car9"/>
    <w:rsid w:val="00A26CD3"/>
    <w:rPr>
      <w:rFonts w:ascii="Thorndale" w:eastAsia="HG Mincho Light J" w:hAnsi="Thorndale" w:cs="Thorndale" w:hint="default"/>
      <w:color w:val="000000"/>
      <w:sz w:val="16"/>
      <w:szCs w:val="16"/>
      <w:lang w:bidi="ar-SA"/>
    </w:rPr>
  </w:style>
  <w:style w:type="character" w:customStyle="1" w:styleId="Sangra2detindependienteCar1">
    <w:name w:val="Sangría 2 de t. independiente Car1"/>
    <w:rsid w:val="00A26CD3"/>
    <w:rPr>
      <w:rFonts w:ascii="Mangal" w:hAnsi="Mangal" w:cs="Mangal" w:hint="default"/>
      <w:szCs w:val="20"/>
    </w:rPr>
  </w:style>
  <w:style w:type="character" w:customStyle="1" w:styleId="Ttulo1CarCarCar">
    <w:name w:val="Título 1 Car Car Car"/>
    <w:rsid w:val="00A26CD3"/>
    <w:rPr>
      <w:rFonts w:ascii="Arial" w:hAnsi="Arial" w:cs="Arial" w:hint="default"/>
      <w:b/>
      <w:bCs/>
      <w:kern w:val="2"/>
      <w:sz w:val="32"/>
      <w:szCs w:val="32"/>
      <w:lang w:val="es-ES" w:bidi="ar-SA"/>
    </w:rPr>
  </w:style>
  <w:style w:type="character" w:customStyle="1" w:styleId="CarCar5">
    <w:name w:val="Car Car5"/>
    <w:rsid w:val="00A26CD3"/>
    <w:rPr>
      <w:sz w:val="24"/>
      <w:szCs w:val="24"/>
      <w:lang w:val="es-ES" w:bidi="ar-SA"/>
    </w:rPr>
  </w:style>
  <w:style w:type="character" w:customStyle="1" w:styleId="CarCar71">
    <w:name w:val="Car Car71"/>
    <w:rsid w:val="00A26CD3"/>
    <w:rPr>
      <w:lang w:val="es-ES" w:bidi="ar-SA"/>
    </w:rPr>
  </w:style>
  <w:style w:type="character" w:customStyle="1" w:styleId="CarCar8">
    <w:name w:val="Car Car8"/>
    <w:rsid w:val="00A26CD3"/>
    <w:rPr>
      <w:rFonts w:ascii="Arial" w:hAnsi="Arial" w:cs="Arial" w:hint="default"/>
      <w:b/>
      <w:bCs/>
      <w:kern w:val="2"/>
      <w:sz w:val="32"/>
      <w:szCs w:val="32"/>
      <w:lang w:val="es-ES" w:bidi="ar-SA"/>
    </w:rPr>
  </w:style>
  <w:style w:type="character" w:customStyle="1" w:styleId="Caracteresdenotafinal">
    <w:name w:val="Caracteres de nota final"/>
    <w:rsid w:val="00A26CD3"/>
  </w:style>
  <w:style w:type="character" w:customStyle="1" w:styleId="TextoindependienteprimerasangraCar1">
    <w:name w:val="Texto independiente primera sangría Car1"/>
    <w:uiPriority w:val="99"/>
    <w:semiHidden/>
    <w:rsid w:val="00A26CD3"/>
    <w:rPr>
      <w:rFonts w:ascii="Cambria" w:eastAsia="MS Mincho" w:hAnsi="Cambria" w:cs="Times New Roman" w:hint="default"/>
      <w:sz w:val="24"/>
      <w:szCs w:val="24"/>
      <w:lang w:val="en-US" w:eastAsia="en-US"/>
    </w:rPr>
  </w:style>
  <w:style w:type="character" w:customStyle="1" w:styleId="EnlacedeInternet">
    <w:name w:val="Enlace de Internet"/>
    <w:rsid w:val="00A26CD3"/>
    <w:rPr>
      <w:color w:val="000080"/>
      <w:u w:val="single"/>
    </w:rPr>
  </w:style>
  <w:style w:type="character" w:customStyle="1" w:styleId="xcontentpasted0">
    <w:name w:val="x_contentpasted0"/>
    <w:basedOn w:val="Fuentedeprrafopredeter"/>
    <w:rsid w:val="00A26CD3"/>
  </w:style>
  <w:style w:type="character" w:customStyle="1" w:styleId="go">
    <w:name w:val="go"/>
    <w:rsid w:val="00A26CD3"/>
  </w:style>
  <w:style w:type="character" w:customStyle="1" w:styleId="highlight">
    <w:name w:val="highlight"/>
    <w:basedOn w:val="Fuentedeprrafopredeter"/>
    <w:rsid w:val="00A26CD3"/>
  </w:style>
  <w:style w:type="character" w:customStyle="1" w:styleId="d1">
    <w:name w:val="d1"/>
    <w:rsid w:val="00A26CD3"/>
    <w:rPr>
      <w:sz w:val="18"/>
      <w:szCs w:val="18"/>
    </w:rPr>
  </w:style>
  <w:style w:type="character" w:customStyle="1" w:styleId="txt-toreplace">
    <w:name w:val="txt-toreplace"/>
    <w:basedOn w:val="Fuentedeprrafopredeter"/>
    <w:rsid w:val="00A26CD3"/>
  </w:style>
  <w:style w:type="character" w:customStyle="1" w:styleId="ListParagraphChar">
    <w:name w:val="List Paragraph Char"/>
    <w:uiPriority w:val="99"/>
    <w:locked/>
    <w:rsid w:val="00A26CD3"/>
    <w:rPr>
      <w:rFonts w:ascii="Times New Roman" w:eastAsia="Times New Roman" w:hAnsi="Times New Roman" w:cs="Times New Roman" w:hint="default"/>
      <w:lang w:val="es-ES_tradnl" w:eastAsia="es-ES"/>
    </w:rPr>
  </w:style>
  <w:style w:type="character" w:customStyle="1" w:styleId="A4">
    <w:name w:val="A4"/>
    <w:uiPriority w:val="99"/>
    <w:rsid w:val="00A26CD3"/>
    <w:rPr>
      <w:rFonts w:ascii="HelveticaNeueLT Std Med Cn" w:hAnsi="HelveticaNeueLT Std Med Cn" w:cs="HelveticaNeueLT Std Med Cn" w:hint="default"/>
      <w:color w:val="000000"/>
      <w:sz w:val="18"/>
      <w:szCs w:val="18"/>
    </w:rPr>
  </w:style>
  <w:style w:type="character" w:customStyle="1" w:styleId="Mencinsinresolver11">
    <w:name w:val="Mención sin resolver11"/>
    <w:uiPriority w:val="99"/>
    <w:semiHidden/>
    <w:rsid w:val="00A26CD3"/>
    <w:rPr>
      <w:color w:val="605E5C"/>
      <w:shd w:val="clear" w:color="auto" w:fill="E1DFDD"/>
    </w:rPr>
  </w:style>
  <w:style w:type="character" w:customStyle="1" w:styleId="xhoenzb">
    <w:name w:val="x_hoenzb"/>
    <w:rsid w:val="00A26CD3"/>
  </w:style>
  <w:style w:type="character" w:customStyle="1" w:styleId="gi">
    <w:name w:val="gi"/>
    <w:rsid w:val="00A26CD3"/>
  </w:style>
  <w:style w:type="paragraph" w:customStyle="1" w:styleId="CODI-UNIDAD">
    <w:name w:val="CODI-UNIDAD"/>
    <w:basedOn w:val="Normal"/>
    <w:link w:val="CODI-UNIDADCar"/>
    <w:qFormat/>
    <w:rsid w:val="00A26CD3"/>
    <w:rPr>
      <w:rFonts w:ascii="Calibri" w:eastAsia="Calibri" w:hAnsi="Calibri" w:cs="Times New Roman"/>
    </w:rPr>
  </w:style>
  <w:style w:type="character" w:customStyle="1" w:styleId="CODI-UNIDADCar">
    <w:name w:val="CODI-UNIDAD Car"/>
    <w:link w:val="CODI-UNIDAD"/>
    <w:locked/>
    <w:rsid w:val="00A26CD3"/>
    <w:rPr>
      <w:rFonts w:ascii="Calibri" w:eastAsia="Calibri" w:hAnsi="Calibri" w:cs="Times New Roman"/>
    </w:rPr>
  </w:style>
  <w:style w:type="character" w:customStyle="1" w:styleId="srsatxt">
    <w:name w:val="srsatxt"/>
    <w:rsid w:val="00A26CD3"/>
  </w:style>
  <w:style w:type="character" w:customStyle="1" w:styleId="tgc">
    <w:name w:val="_tgc"/>
    <w:rsid w:val="00A26CD3"/>
  </w:style>
  <w:style w:type="character" w:customStyle="1" w:styleId="xs53p47">
    <w:name w:val="xs53p47"/>
    <w:rsid w:val="00A26CD3"/>
  </w:style>
  <w:style w:type="character" w:customStyle="1" w:styleId="Refdecomentario1">
    <w:name w:val="Ref. de comentario1"/>
    <w:rsid w:val="00A26CD3"/>
    <w:rPr>
      <w:sz w:val="16"/>
      <w:szCs w:val="16"/>
    </w:rPr>
  </w:style>
  <w:style w:type="table" w:styleId="Tablaconcuadrcula80">
    <w:name w:val="Table Grid 8"/>
    <w:basedOn w:val="Tablanormal"/>
    <w:unhideWhenUsed/>
    <w:rsid w:val="00A26CD3"/>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profesional">
    <w:name w:val="Table Professional"/>
    <w:basedOn w:val="Tablanormal"/>
    <w:unhideWhenUsed/>
    <w:rsid w:val="00A26CD3"/>
    <w:pPr>
      <w:spacing w:after="0" w:line="240" w:lineRule="auto"/>
    </w:pPr>
    <w:rPr>
      <w:rFonts w:ascii="Times New Roman" w:eastAsia="Times New Roman" w:hAnsi="Times New Roman" w:cs="Times New Roman"/>
      <w:sz w:val="20"/>
      <w:szCs w:val="20"/>
      <w:lang w:val="es-ES" w:eastAsia="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aweb2">
    <w:name w:val="Table Web 2"/>
    <w:aliases w:val="Tabla Web 2"/>
    <w:basedOn w:val="Tablanormal"/>
    <w:uiPriority w:val="99"/>
    <w:unhideWhenUsed/>
    <w:rsid w:val="00A26CD3"/>
    <w:pPr>
      <w:spacing w:after="200" w:line="276" w:lineRule="auto"/>
    </w:pPr>
    <w:rPr>
      <w:rFonts w:ascii="Calibri" w:eastAsia="Calibri" w:hAnsi="Calibri"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unhideWhenUsed/>
    <w:rsid w:val="00A26CD3"/>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clara">
    <w:name w:val="Light List"/>
    <w:basedOn w:val="Tablanormal"/>
    <w:uiPriority w:val="61"/>
    <w:unhideWhenUsed/>
    <w:rsid w:val="00A26CD3"/>
    <w:pPr>
      <w:spacing w:after="0" w:line="240" w:lineRule="auto"/>
    </w:pPr>
    <w:rPr>
      <w:rFonts w:ascii="Calibri" w:eastAsia="Calibri"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amedia1">
    <w:name w:val="Medium List 1"/>
    <w:basedOn w:val="Tablanormal"/>
    <w:uiPriority w:val="65"/>
    <w:unhideWhenUsed/>
    <w:rsid w:val="00A26CD3"/>
    <w:pPr>
      <w:spacing w:after="0" w:line="240" w:lineRule="auto"/>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rPr>
        <w:rFonts w:ascii="Thorndale" w:eastAsia="Times New Roman" w:hAnsi="Thorndale"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aclara-nfasis1">
    <w:name w:val="Light List Accent 1"/>
    <w:basedOn w:val="Tablanormal"/>
    <w:uiPriority w:val="61"/>
    <w:unhideWhenUsed/>
    <w:rsid w:val="00A26CD3"/>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clara-nfasis1">
    <w:name w:val="Light Grid Accent 1"/>
    <w:basedOn w:val="Tablanormal"/>
    <w:uiPriority w:val="62"/>
    <w:unhideWhenUsed/>
    <w:rsid w:val="00A26CD3"/>
    <w:pPr>
      <w:spacing w:after="0" w:line="240" w:lineRule="auto"/>
    </w:pPr>
    <w:rPr>
      <w:rFonts w:ascii="Calibri" w:eastAsia="Calibri" w:hAnsi="Calibri" w:cs="Arial"/>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100" w:beforeAutospacing="1" w:afterLines="0" w:after="100" w:afterAutospacing="1" w:line="240" w:lineRule="auto"/>
      </w:pPr>
      <w:rPr>
        <w:rFonts w:ascii="Calibri Light" w:eastAsia="Times New Roman" w:hAnsi="Calibri Light" w:cs="Times New Roman" w:hint="default"/>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100" w:beforeAutospacing="1" w:afterLines="0" w:after="100" w:afterAutospacing="1" w:line="240" w:lineRule="auto"/>
      </w:pPr>
      <w:rPr>
        <w:rFonts w:ascii="Calibri Light" w:eastAsia="Times New Roman" w:hAnsi="Calibri Light" w:cs="Times New Roman" w:hint="default"/>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stavistosa-nfasis1">
    <w:name w:val="Colorful List Accent 1"/>
    <w:basedOn w:val="Tablanormal"/>
    <w:uiPriority w:val="34"/>
    <w:semiHidden/>
    <w:unhideWhenUsed/>
    <w:rsid w:val="00A26CD3"/>
    <w:pPr>
      <w:spacing w:after="0" w:line="240" w:lineRule="auto"/>
    </w:pPr>
    <w:rPr>
      <w:rFonts w:ascii="Calibri" w:eastAsia="Times New Roman" w:hAnsi="Calibri" w:cs="Arial"/>
      <w:sz w:val="24"/>
      <w:szCs w:val="24"/>
      <w:lang w:eastAsia="es-ES"/>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Sombreadoclaro-nfasis3">
    <w:name w:val="Light Shading Accent 3"/>
    <w:basedOn w:val="Tablanormal"/>
    <w:uiPriority w:val="60"/>
    <w:unhideWhenUsed/>
    <w:rsid w:val="00A26CD3"/>
    <w:pPr>
      <w:spacing w:after="0" w:line="240" w:lineRule="auto"/>
    </w:pPr>
    <w:rPr>
      <w:rFonts w:ascii="Calibri" w:eastAsia="Calibri" w:hAnsi="Calibri" w:cs="Times New Roman"/>
      <w:color w:val="7B7B7B"/>
      <w:lang w:val="es-ES"/>
    </w:rPr>
    <w:tblPr>
      <w:tblStyleRowBandSize w:val="1"/>
      <w:tblStyleColBandSize w:val="1"/>
      <w:tblBorders>
        <w:top w:val="single" w:sz="8" w:space="0" w:color="A5A5A5"/>
        <w:bottom w:val="single" w:sz="8" w:space="0" w:color="A5A5A5"/>
      </w:tblBorders>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Sombreadoclaro-nfasis5">
    <w:name w:val="Light Shading Accent 5"/>
    <w:basedOn w:val="Tablanormal"/>
    <w:uiPriority w:val="60"/>
    <w:unhideWhenUsed/>
    <w:rsid w:val="00A26CD3"/>
    <w:pPr>
      <w:spacing w:after="0" w:line="240" w:lineRule="auto"/>
    </w:pPr>
    <w:rPr>
      <w:rFonts w:ascii="Calibri" w:eastAsia="Calibri" w:hAnsi="Calibri" w:cs="Times New Roman"/>
      <w:color w:val="2F5496"/>
      <w:lang w:val="es-ES"/>
    </w:rPr>
    <w:tblPr>
      <w:tblStyleRowBandSize w:val="1"/>
      <w:tblStyleColBandSize w:val="1"/>
      <w:tblBorders>
        <w:top w:val="single" w:sz="8" w:space="0" w:color="4472C4"/>
        <w:bottom w:val="single" w:sz="8" w:space="0" w:color="4472C4"/>
      </w:tblBorders>
    </w:tblPr>
    <w:tblStylePr w:type="fir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normal111">
    <w:name w:val="Tabla normal 111"/>
    <w:basedOn w:val="Tablanormal"/>
    <w:uiPriority w:val="41"/>
    <w:rsid w:val="00A26CD3"/>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21">
    <w:name w:val="Tabla normal 21"/>
    <w:basedOn w:val="Tablanormal"/>
    <w:uiPriority w:val="42"/>
    <w:rsid w:val="00A26CD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anormal31">
    <w:name w:val="Tabla normal 31"/>
    <w:basedOn w:val="Tablanormal"/>
    <w:uiPriority w:val="43"/>
    <w:rsid w:val="00A26CD3"/>
    <w:pPr>
      <w:spacing w:after="0" w:line="240" w:lineRule="auto"/>
    </w:pPr>
    <w:rPr>
      <w:rFonts w:ascii="Calibri" w:eastAsia="Calibri"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concuadrculaclara1">
    <w:name w:val="Tabla con cuadrícula clara1"/>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7concolores-nfasis11">
    <w:name w:val="Tabla con cuadrícula 7 con colores - Énfasis 11"/>
    <w:basedOn w:val="Tablanormal"/>
    <w:uiPriority w:val="52"/>
    <w:rsid w:val="00A26CD3"/>
    <w:pPr>
      <w:spacing w:after="0" w:line="240" w:lineRule="auto"/>
    </w:pPr>
    <w:rPr>
      <w:rFonts w:ascii="Calibri" w:eastAsia="Calibri"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laconcuadrcula1Claro-nfasis21">
    <w:name w:val="Tabla con cuadrícula 1 Claro - Énfasis 21"/>
    <w:basedOn w:val="Tablanormal"/>
    <w:uiPriority w:val="46"/>
    <w:rsid w:val="00A26CD3"/>
    <w:pPr>
      <w:spacing w:after="0" w:line="240" w:lineRule="auto"/>
    </w:pPr>
    <w:rPr>
      <w:rFonts w:ascii="Calibri" w:eastAsia="Calibri" w:hAnsi="Calibri" w:cs="Times New Roman"/>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aconcuadrcula5oscura-nfasis21">
    <w:name w:val="Tabla con cuadrícula 5 oscura - Énfasis 21"/>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laconcuadrcula3-nfasis31">
    <w:name w:val="Tabla con cuadrícula 3 - Énfasis 31"/>
    <w:basedOn w:val="Tablanormal"/>
    <w:uiPriority w:val="48"/>
    <w:rsid w:val="00A26CD3"/>
    <w:pPr>
      <w:spacing w:after="0" w:line="240" w:lineRule="auto"/>
    </w:pPr>
    <w:rPr>
      <w:rFonts w:ascii="Calibri" w:eastAsia="Times New Roman" w:hAnsi="Calibri" w:cs="Times New Roman"/>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Tablaconcuadrcula4-nfasis31">
    <w:name w:val="Tabla con cuadrícula 4 - Énfasis 31"/>
    <w:basedOn w:val="Tablanormal"/>
    <w:uiPriority w:val="49"/>
    <w:rsid w:val="00A26C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5oscura-nfasis31">
    <w:name w:val="Tabla con cuadrícula 5 oscura - Énfasis 31"/>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Tablaconcuadrcula1clara-nfasis41">
    <w:name w:val="Tabla con cuadrícula 1 clara - Énfasis 41"/>
    <w:basedOn w:val="Tablanormal"/>
    <w:uiPriority w:val="46"/>
    <w:rsid w:val="00A26CD3"/>
    <w:pPr>
      <w:spacing w:after="0" w:line="240" w:lineRule="auto"/>
    </w:pPr>
    <w:rPr>
      <w:rFonts w:ascii="Calibri" w:eastAsia="Calibri" w:hAnsi="Calibri"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A26CD3"/>
    <w:pPr>
      <w:spacing w:after="0" w:line="240" w:lineRule="auto"/>
    </w:pPr>
    <w:rPr>
      <w:rFonts w:ascii="Calibri" w:eastAsia="Calibri" w:hAnsi="Calibri" w:cs="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concuadrcula4-nfasis51">
    <w:name w:val="Tabla con cuadrícula 4 - Énfasis 51"/>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5oscura-nfasis51">
    <w:name w:val="Tabla con cuadrícula 5 oscura - Énfasis 51"/>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adelista6concolores1">
    <w:name w:val="Tabla de lista 6 con colores1"/>
    <w:basedOn w:val="Tablanormal"/>
    <w:uiPriority w:val="51"/>
    <w:rsid w:val="00A26CD3"/>
    <w:pPr>
      <w:spacing w:after="0" w:line="240" w:lineRule="auto"/>
    </w:pPr>
    <w:rPr>
      <w:rFonts w:ascii="Calibri" w:eastAsia="Calibri" w:hAnsi="Calibri" w:cs="Arial"/>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4-nfasis11">
    <w:name w:val="Tabla de lista 4 - Énfasis 11"/>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6concolores-nfasis11">
    <w:name w:val="Tabla de lista 6 con colores - Énfasis 11"/>
    <w:basedOn w:val="Tablanormal"/>
    <w:uiPriority w:val="51"/>
    <w:rsid w:val="00A26CD3"/>
    <w:pPr>
      <w:spacing w:after="0" w:line="240" w:lineRule="auto"/>
    </w:pPr>
    <w:rPr>
      <w:rFonts w:ascii="Calibri" w:eastAsia="Calibri" w:hAnsi="Calibri" w:cs="Times New Roman"/>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4-nfasis31">
    <w:name w:val="Tabla de lista 4 - Énfasis 31"/>
    <w:basedOn w:val="Tablanormal"/>
    <w:uiPriority w:val="49"/>
    <w:rsid w:val="00A26CD3"/>
    <w:pPr>
      <w:spacing w:after="0" w:line="240" w:lineRule="auto"/>
    </w:pPr>
    <w:rPr>
      <w:rFonts w:ascii="Cambria" w:eastAsia="Cambria" w:hAnsi="Cambria" w:cs="Times New Roman"/>
      <w:sz w:val="20"/>
      <w:szCs w:val="20"/>
      <w:lang w:eastAsia="es-ES_tradn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lista4-nfasis41">
    <w:name w:val="Tabla de lista 4 - Énfasis 41"/>
    <w:basedOn w:val="Tablanormal"/>
    <w:uiPriority w:val="49"/>
    <w:rsid w:val="00A26CD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delista4-nfasis61">
    <w:name w:val="Tabla de lista 4 - Énfasis 61"/>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21">
    <w:name w:val="Tabla con cuadrícula121"/>
    <w:basedOn w:val="Tablanormal"/>
    <w:uiPriority w:val="59"/>
    <w:rsid w:val="00A26CD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1"/>
    <w:basedOn w:val="Tablanormal"/>
    <w:rsid w:val="00A26CD3"/>
    <w:pPr>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BusinessPaper">
    <w:name w:val="Business Paper"/>
    <w:basedOn w:val="Tablanormal"/>
    <w:uiPriority w:val="99"/>
    <w:rsid w:val="00A26CD3"/>
    <w:pPr>
      <w:spacing w:before="240" w:after="180" w:line="240" w:lineRule="auto"/>
    </w:pPr>
    <w:rPr>
      <w:rFonts w:ascii="Calibri" w:eastAsia="Calibri" w:hAnsi="Calibri" w:cs="Times New Roman"/>
      <w:b/>
      <w:color w:val="7F7F7F"/>
      <w:sz w:val="24"/>
      <w:szCs w:val="24"/>
      <w:lang w:val="en-US" w:eastAsia="ja-JP"/>
    </w:rPr>
    <w:tblPr>
      <w:tblBorders>
        <w:bottom w:val="single" w:sz="6" w:space="0" w:color="4472C4"/>
        <w:insideH w:val="single" w:sz="6" w:space="0" w:color="4472C4"/>
      </w:tblBorders>
      <w:tblCellMar>
        <w:left w:w="230" w:type="dxa"/>
        <w:right w:w="0" w:type="dxa"/>
      </w:tblCellMar>
    </w:tblPr>
    <w:tblStylePr w:type="firstRow">
      <w:pPr>
        <w:wordWrap/>
        <w:spacing w:beforeLines="0" w:before="100" w:beforeAutospacing="1" w:afterLines="0" w:after="100" w:afterAutospacing="1"/>
      </w:pPr>
      <w:rPr>
        <w:b/>
        <w:i w:val="0"/>
        <w:color w:val="E7E6E6"/>
        <w:sz w:val="28"/>
        <w:szCs w:val="28"/>
      </w:rPr>
      <w:tblPr/>
      <w:tcPr>
        <w:tcBorders>
          <w:top w:val="nil"/>
          <w:left w:val="nil"/>
          <w:bottom w:val="nil"/>
          <w:right w:val="nil"/>
          <w:insideH w:val="nil"/>
          <w:insideV w:val="nil"/>
          <w:tl2br w:val="nil"/>
          <w:tr2bl w:val="nil"/>
        </w:tcBorders>
        <w:shd w:val="clear" w:color="auto" w:fill="4472C4"/>
        <w:vAlign w:val="bottom"/>
      </w:tcPr>
    </w:tblStylePr>
    <w:tblStylePr w:type="firstCol">
      <w:pPr>
        <w:wordWrap/>
        <w:spacing w:beforeLines="0" w:before="100" w:beforeAutospacing="1" w:afterLines="0" w:after="100" w:afterAutospacing="1"/>
        <w:jc w:val="right"/>
      </w:pPr>
      <w:rPr>
        <w:rFonts w:ascii="Calibri Light" w:hAnsi="Calibri Light" w:cs="Calibri Light" w:hint="default"/>
        <w:b w:val="0"/>
        <w:i w:val="0"/>
        <w:color w:val="4472C4"/>
        <w:sz w:val="24"/>
        <w:szCs w:val="24"/>
      </w:rPr>
    </w:tblStylePr>
    <w:tblStylePr w:type="nwCell">
      <w:pPr>
        <w:wordWrap/>
        <w:jc w:val="left"/>
      </w:pPr>
    </w:tblStylePr>
  </w:style>
  <w:style w:type="table" w:customStyle="1" w:styleId="Sombreadoclaro1">
    <w:name w:val="Sombreado claro1"/>
    <w:basedOn w:val="Tablanormal"/>
    <w:uiPriority w:val="60"/>
    <w:rsid w:val="00A26CD3"/>
    <w:pPr>
      <w:spacing w:after="0" w:line="240" w:lineRule="auto"/>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
    <w:name w:val="TableGrid"/>
    <w:rsid w:val="00A26CD3"/>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Normal11">
    <w:name w:val="Table Normal11"/>
    <w:uiPriority w:val="2"/>
    <w:qFormat/>
    <w:rsid w:val="00A26CD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LightGrid-Accent11">
    <w:name w:val="Light Grid - Accent 11"/>
    <w:basedOn w:val="Tablanormal"/>
    <w:uiPriority w:val="62"/>
    <w:rsid w:val="00A26CD3"/>
    <w:pPr>
      <w:spacing w:after="0" w:line="240" w:lineRule="auto"/>
    </w:pPr>
    <w:rPr>
      <w:rFonts w:ascii="Cambria" w:eastAsia="Cambria" w:hAnsi="Cambria" w:cs="Times New Roman"/>
      <w:lang w:eastAsia="es-ES_tradn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Tms Rmn" w:eastAsia="Times New Roman" w:hAnsi="Tms Rmn"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Tms Rmn" w:eastAsia="Times New Roman" w:hAnsi="Tms Rmn"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ms Rmn" w:eastAsia="Times New Roman" w:hAnsi="Tms Rmn" w:cs="Times New Roman" w:hint="default"/>
        <w:b/>
        <w:bCs/>
      </w:rPr>
    </w:tblStylePr>
    <w:tblStylePr w:type="lastCol">
      <w:rPr>
        <w:rFonts w:ascii="Tms Rmn" w:eastAsia="Times New Roman" w:hAnsi="Tms Rmn"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31">
    <w:name w:val="Tabla con cuadrícula31"/>
    <w:basedOn w:val="Tablanormal"/>
    <w:uiPriority w:val="5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JBGFINAL">
    <w:name w:val="TABLAJBGFINAL"/>
    <w:basedOn w:val="Tablanormal"/>
    <w:uiPriority w:val="99"/>
    <w:rsid w:val="00A26CD3"/>
    <w:pPr>
      <w:spacing w:after="0" w:line="240" w:lineRule="auto"/>
      <w:jc w:val="center"/>
    </w:pPr>
    <w:rPr>
      <w:rFonts w:ascii="Arial Narrow" w:eastAsia="Calibri" w:hAnsi="Arial Narrow" w:cs="Times New Roman"/>
      <w:color w:val="000000"/>
      <w:sz w:val="20"/>
      <w:szCs w:val="20"/>
    </w:rPr>
    <w:tblPr>
      <w:tblBorders>
        <w:top w:val="single" w:sz="12" w:space="0" w:color="auto"/>
        <w:bottom w:val="single" w:sz="12" w:space="0" w:color="auto"/>
      </w:tblBorders>
    </w:tblPr>
    <w:tcPr>
      <w:vAlign w:val="center"/>
    </w:tcPr>
    <w:tblStylePr w:type="firstRow">
      <w:rPr>
        <w:rFonts w:ascii="MS Minngs" w:hAnsi="MS Minngs" w:hint="default"/>
        <w:b/>
        <w:sz w:val="22"/>
        <w:szCs w:val="22"/>
      </w:rPr>
      <w:tblPr/>
      <w:tcPr>
        <w:tcBorders>
          <w:top w:val="single" w:sz="12" w:space="0" w:color="auto"/>
          <w:bottom w:val="single" w:sz="6" w:space="0" w:color="auto"/>
        </w:tcBorders>
      </w:tcPr>
    </w:tblStylePr>
  </w:style>
  <w:style w:type="table" w:customStyle="1" w:styleId="Sombreadoclaro2">
    <w:name w:val="Sombreado claro2"/>
    <w:basedOn w:val="Tablanormal"/>
    <w:uiPriority w:val="60"/>
    <w:rsid w:val="00A26CD3"/>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GASTE">
    <w:name w:val="TABLAGASTE"/>
    <w:basedOn w:val="Tablanormal"/>
    <w:uiPriority w:val="99"/>
    <w:rsid w:val="00A26CD3"/>
    <w:pPr>
      <w:spacing w:after="0" w:line="240" w:lineRule="auto"/>
    </w:pPr>
    <w:rPr>
      <w:rFonts w:ascii="Calibri" w:eastAsia="Calibri" w:hAnsi="Calibri" w:cs="Times New Roman"/>
      <w:sz w:val="20"/>
      <w:szCs w:val="20"/>
      <w:lang w:val="es-ES"/>
    </w:rPr>
    <w:tblPr/>
  </w:style>
  <w:style w:type="table" w:customStyle="1" w:styleId="Tablaconcuadrcula61">
    <w:name w:val="Tabla con cuadrícula61"/>
    <w:basedOn w:val="Tablanormal"/>
    <w:uiPriority w:val="3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3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
    <w:name w:val="Tabla con cuadrícula81"/>
    <w:basedOn w:val="Tablanormal"/>
    <w:uiPriority w:val="3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uiPriority w:val="3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qFormat/>
    <w:rsid w:val="00A26CD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eNormal21">
    <w:name w:val="Table Normal21"/>
    <w:uiPriority w:val="2"/>
    <w:qFormat/>
    <w:rsid w:val="00A26CD3"/>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table" w:customStyle="1" w:styleId="Tablaconcuadrcula111">
    <w:name w:val="Tabla con cuadrícula111"/>
    <w:basedOn w:val="Tablanormal"/>
    <w:uiPriority w:val="5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
    <w:name w:val="Lista clara - Énfasis 11"/>
    <w:basedOn w:val="Tablanormal"/>
    <w:uiPriority w:val="61"/>
    <w:rsid w:val="00A26CD3"/>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claro11">
    <w:name w:val="Sombreado claro11"/>
    <w:basedOn w:val="Tablanormal"/>
    <w:uiPriority w:val="60"/>
    <w:rsid w:val="00A26CD3"/>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1">
    <w:name w:val="Sombreado claro21"/>
    <w:basedOn w:val="Tablanormal"/>
    <w:uiPriority w:val="60"/>
    <w:rsid w:val="00A26CD3"/>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GASTE1">
    <w:name w:val="TABLAGASTE1"/>
    <w:basedOn w:val="Tablanormal"/>
    <w:uiPriority w:val="99"/>
    <w:rsid w:val="00A26CD3"/>
    <w:pPr>
      <w:spacing w:after="0" w:line="240" w:lineRule="auto"/>
    </w:pPr>
    <w:rPr>
      <w:rFonts w:ascii="Calibri" w:eastAsia="Calibri" w:hAnsi="Calibri" w:cs="Times New Roman"/>
      <w:sz w:val="20"/>
      <w:szCs w:val="20"/>
      <w:lang w:val="es-ES"/>
    </w:rPr>
    <w:tblPr/>
  </w:style>
  <w:style w:type="table" w:customStyle="1" w:styleId="Tablaprofesional1">
    <w:name w:val="Tabla profesional1"/>
    <w:basedOn w:val="Tablanormal"/>
    <w:rsid w:val="00A26CD3"/>
    <w:pPr>
      <w:spacing w:after="0" w:line="240" w:lineRule="auto"/>
    </w:pPr>
    <w:rPr>
      <w:rFonts w:ascii="Times New Roman" w:eastAsia="Times New Roman" w:hAnsi="Times New Roman" w:cs="Times New Roman"/>
      <w:sz w:val="20"/>
      <w:szCs w:val="20"/>
      <w:lang w:val="es-ES" w:eastAsia="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profesional2">
    <w:name w:val="Tabla profesional2"/>
    <w:basedOn w:val="Tablanormal"/>
    <w:rsid w:val="00A26CD3"/>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profesional3">
    <w:name w:val="Tabla profesional3"/>
    <w:basedOn w:val="Tablanormal"/>
    <w:rsid w:val="00A26CD3"/>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uadrcula101">
    <w:name w:val="Tabla con cuadrícula101"/>
    <w:basedOn w:val="Tablanormal"/>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11">
    <w:name w:val="Tabla de lista 3 - Énfasis 11"/>
    <w:basedOn w:val="Tablanormal"/>
    <w:uiPriority w:val="48"/>
    <w:rsid w:val="00A26CD3"/>
    <w:pPr>
      <w:spacing w:after="0" w:line="240" w:lineRule="auto"/>
    </w:pPr>
    <w:rPr>
      <w:rFonts w:ascii="Calibri" w:eastAsia="Calibri" w:hAnsi="Calibri" w:cs="Ari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concuadrcula131">
    <w:name w:val="Tabla con cuadrícula131"/>
    <w:basedOn w:val="Tablanormal"/>
    <w:uiPriority w:val="5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uiPriority w:val="5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
    <w:name w:val="Tabla con cuadrícula151"/>
    <w:basedOn w:val="Tablanormal"/>
    <w:uiPriority w:val="5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das">
    <w:name w:val="fodas"/>
    <w:basedOn w:val="Tablanormal"/>
    <w:uiPriority w:val="99"/>
    <w:rsid w:val="00A26CD3"/>
    <w:pPr>
      <w:spacing w:after="0" w:line="240" w:lineRule="auto"/>
    </w:pPr>
    <w:rPr>
      <w:rFonts w:ascii="Calibri" w:eastAsia="Calibri" w:hAnsi="Calibri" w:cs="Arial"/>
    </w:rPr>
    <w:tblPr/>
  </w:style>
  <w:style w:type="table" w:customStyle="1" w:styleId="Tablaconcuadrcula160">
    <w:name w:val="Tabla con cuadrícula16"/>
    <w:basedOn w:val="Tablanormal"/>
    <w:uiPriority w:val="3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111">
    <w:name w:val="Tabla de lista 3 - Énfasis 111"/>
    <w:basedOn w:val="Tablanormal"/>
    <w:uiPriority w:val="48"/>
    <w:rsid w:val="00A26CD3"/>
    <w:pPr>
      <w:spacing w:after="0" w:line="240" w:lineRule="auto"/>
    </w:pPr>
    <w:rPr>
      <w:rFonts w:ascii="Calibri" w:eastAsia="Trebuchet MS" w:hAnsi="Calibri" w:cs="Arial"/>
    </w:rPr>
    <w:tblPr>
      <w:tblStyleRowBandSize w:val="1"/>
      <w:tblStyleColBandSize w:val="1"/>
      <w:tblBorders>
        <w:top w:val="single" w:sz="4" w:space="0" w:color="F09415"/>
        <w:left w:val="single" w:sz="4" w:space="0" w:color="F09415"/>
        <w:bottom w:val="single" w:sz="4" w:space="0" w:color="F09415"/>
        <w:right w:val="single" w:sz="4" w:space="0" w:color="F09415"/>
      </w:tblBorders>
    </w:tblPr>
    <w:tblStylePr w:type="firstRow">
      <w:rPr>
        <w:b/>
        <w:bCs/>
        <w:color w:val="FFFFFF"/>
      </w:rPr>
      <w:tblPr/>
      <w:tcPr>
        <w:shd w:val="clear" w:color="auto" w:fill="F09415"/>
      </w:tcPr>
    </w:tblStylePr>
    <w:tblStylePr w:type="lastRow">
      <w:rPr>
        <w:b/>
        <w:bCs/>
      </w:rPr>
      <w:tblPr/>
      <w:tcPr>
        <w:tcBorders>
          <w:top w:val="double" w:sz="4" w:space="0" w:color="F0941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09415"/>
          <w:right w:val="single" w:sz="4" w:space="0" w:color="F09415"/>
        </w:tcBorders>
      </w:tcPr>
    </w:tblStylePr>
    <w:tblStylePr w:type="band1Horz">
      <w:tblPr/>
      <w:tcPr>
        <w:tcBorders>
          <w:top w:val="single" w:sz="4" w:space="0" w:color="F09415"/>
          <w:bottom w:val="single" w:sz="4" w:space="0" w:color="F0941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9415"/>
          <w:left w:val="nil"/>
        </w:tcBorders>
      </w:tcPr>
    </w:tblStylePr>
    <w:tblStylePr w:type="swCell">
      <w:tblPr/>
      <w:tcPr>
        <w:tcBorders>
          <w:top w:val="double" w:sz="4" w:space="0" w:color="F09415"/>
          <w:right w:val="nil"/>
        </w:tcBorders>
      </w:tcPr>
    </w:tblStylePr>
  </w:style>
  <w:style w:type="table" w:customStyle="1" w:styleId="Tablaconcuadrcula17">
    <w:name w:val="Tabla con cuadrícula17"/>
    <w:basedOn w:val="Tablanormal"/>
    <w:uiPriority w:val="5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uiPriority w:val="3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uiPriority w:val="3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uiPriority w:val="3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JBGFINAL1">
    <w:name w:val="TABLAJBGFINAL1"/>
    <w:basedOn w:val="Tablanormal"/>
    <w:uiPriority w:val="99"/>
    <w:rsid w:val="00A26CD3"/>
    <w:pPr>
      <w:spacing w:after="0" w:line="240" w:lineRule="auto"/>
      <w:jc w:val="center"/>
    </w:pPr>
    <w:rPr>
      <w:rFonts w:ascii="Arial Narrow" w:eastAsia="Calibri" w:hAnsi="Arial Narrow" w:cs="Times New Roman"/>
      <w:color w:val="000000"/>
      <w:sz w:val="20"/>
      <w:szCs w:val="20"/>
    </w:rPr>
    <w:tblPr>
      <w:tblBorders>
        <w:top w:val="single" w:sz="12" w:space="0" w:color="auto"/>
        <w:bottom w:val="single" w:sz="12" w:space="0" w:color="auto"/>
      </w:tblBorders>
    </w:tblPr>
    <w:tcPr>
      <w:vAlign w:val="center"/>
    </w:tcPr>
    <w:tblStylePr w:type="firstRow">
      <w:rPr>
        <w:rFonts w:ascii="MS Minngs" w:hAnsi="MS Minngs" w:hint="default"/>
        <w:b/>
        <w:sz w:val="22"/>
        <w:szCs w:val="22"/>
      </w:rPr>
      <w:tblPr/>
      <w:tcPr>
        <w:tcBorders>
          <w:top w:val="single" w:sz="12" w:space="0" w:color="auto"/>
          <w:bottom w:val="single" w:sz="6" w:space="0" w:color="auto"/>
        </w:tcBorders>
      </w:tcPr>
    </w:tblStylePr>
  </w:style>
  <w:style w:type="table" w:customStyle="1" w:styleId="Tablaconcuadrcula22">
    <w:name w:val="Tabla con cuadrícula22"/>
    <w:basedOn w:val="Tablanormal"/>
    <w:uiPriority w:val="59"/>
    <w:rsid w:val="00A26CD3"/>
    <w:pPr>
      <w:spacing w:after="0" w:line="240" w:lineRule="auto"/>
    </w:pPr>
    <w:rPr>
      <w:rFonts w:ascii="Times New Roman" w:eastAsia="Times New Roman" w:hAnsi="Times New Roman" w:cs="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das1">
    <w:name w:val="fodas1"/>
    <w:basedOn w:val="Tablanormal"/>
    <w:uiPriority w:val="99"/>
    <w:rsid w:val="00A26CD3"/>
    <w:pPr>
      <w:spacing w:after="0" w:line="240" w:lineRule="auto"/>
    </w:pPr>
    <w:rPr>
      <w:rFonts w:ascii="Calibri" w:eastAsia="Calibri" w:hAnsi="Calibri" w:cs="Arial"/>
    </w:rPr>
    <w:tblPr/>
  </w:style>
  <w:style w:type="table" w:customStyle="1" w:styleId="Tablaconcuadrcula23">
    <w:name w:val="Tabla con cuadrícula23"/>
    <w:basedOn w:val="Tablanormal"/>
    <w:uiPriority w:val="59"/>
    <w:rsid w:val="00A26CD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lara12">
    <w:name w:val="Tabla con cuadrícula clara12"/>
    <w:basedOn w:val="Tablanormal"/>
    <w:uiPriority w:val="40"/>
    <w:rsid w:val="00A26CD3"/>
    <w:pPr>
      <w:spacing w:after="0" w:line="240" w:lineRule="auto"/>
    </w:pPr>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11">
    <w:name w:val="Tabla normal 1111"/>
    <w:basedOn w:val="Tablanormal"/>
    <w:uiPriority w:val="41"/>
    <w:rsid w:val="00A26CD3"/>
    <w:pPr>
      <w:spacing w:after="0" w:line="240" w:lineRule="auto"/>
    </w:pPr>
    <w:rPr>
      <w:rFonts w:ascii="Calibri" w:eastAsia="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Normal3">
    <w:name w:val="Table Normal3"/>
    <w:uiPriority w:val="2"/>
    <w:semiHidden/>
    <w:qFormat/>
    <w:rsid w:val="00A26CD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aconcuadrcula24">
    <w:name w:val="Tabla con cuadrícula24"/>
    <w:basedOn w:val="Tablanormal"/>
    <w:uiPriority w:val="5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4-nfasis411">
    <w:name w:val="Tabla de lista 4 - Énfasis 411"/>
    <w:basedOn w:val="Tablanormal"/>
    <w:uiPriority w:val="49"/>
    <w:rsid w:val="00A26CD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Tablaconcuadrcula1111">
    <w:name w:val="Tabla con cuadrícula1111"/>
    <w:basedOn w:val="Tablanormal"/>
    <w:uiPriority w:val="59"/>
    <w:rsid w:val="00A26CD3"/>
    <w:pPr>
      <w:spacing w:after="0" w:line="240" w:lineRule="auto"/>
    </w:pPr>
    <w:rPr>
      <w:rFonts w:ascii="Calibri" w:eastAsia="Times New Roman"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41">
    <w:name w:val="Tabla de cuadrícula 41"/>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3-nfasis41">
    <w:name w:val="Tabla de cuadrícula 3 - Énfasis 41"/>
    <w:basedOn w:val="Tablanormal"/>
    <w:uiPriority w:val="48"/>
    <w:rsid w:val="00A26CD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ladecuadrcula4-nfasis41">
    <w:name w:val="Tabla de cuadrícula 4 - Énfasis 41"/>
    <w:basedOn w:val="Tablanormal"/>
    <w:uiPriority w:val="49"/>
    <w:rsid w:val="00A26CD3"/>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ladecuadrcula1clara1">
    <w:name w:val="Tabla de cuadrícula 1 clara1"/>
    <w:basedOn w:val="Tablanormal"/>
    <w:uiPriority w:val="46"/>
    <w:rsid w:val="00A26CD3"/>
    <w:pPr>
      <w:spacing w:after="0" w:line="240" w:lineRule="auto"/>
    </w:pPr>
    <w:rPr>
      <w:rFonts w:ascii="Calibri" w:eastAsia="Calibri" w:hAnsi="Calibri" w:cs="Times New Roman"/>
      <w:color w:val="595959"/>
      <w:lang w:val="es-E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cuadrcula1clara-nfasis61">
    <w:name w:val="Tabla de cuadrícula 1 clara - Énfasis 61"/>
    <w:basedOn w:val="Tablanormal"/>
    <w:uiPriority w:val="46"/>
    <w:rsid w:val="00A26CD3"/>
    <w:pPr>
      <w:spacing w:after="0" w:line="240" w:lineRule="auto"/>
    </w:pPr>
    <w:rPr>
      <w:rFonts w:ascii="Calibri" w:eastAsia="Calibri" w:hAnsi="Calibri" w:cs="Times New Roman"/>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Cuadrculadetablaclara1">
    <w:name w:val="Cuadrícula de tabla clara1"/>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41">
    <w:name w:val="Tabla normal 41"/>
    <w:basedOn w:val="Tablanormal"/>
    <w:uiPriority w:val="44"/>
    <w:rsid w:val="00A26CD3"/>
    <w:pPr>
      <w:spacing w:after="0" w:line="240" w:lineRule="auto"/>
    </w:pPr>
    <w:rPr>
      <w:rFonts w:ascii="Calibri" w:eastAsia="Calibri" w:hAnsi="Calibri"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eynosa">
    <w:name w:val="Reynosa"/>
    <w:basedOn w:val="Tablanormal"/>
    <w:uiPriority w:val="99"/>
    <w:rsid w:val="00A26CD3"/>
    <w:pPr>
      <w:spacing w:after="0" w:line="240" w:lineRule="auto"/>
      <w:jc w:val="center"/>
    </w:pPr>
    <w:rPr>
      <w:rFonts w:ascii="HelveticaNeueLT Std Lt" w:eastAsia="Calibri" w:hAnsi="HelveticaNeueLT Std Lt" w:cs="Times New Roman"/>
    </w:rPr>
    <w:tblPr>
      <w:tblStyleRowBandSize w:val="1"/>
      <w:tblStyleColBandSize w:val="1"/>
      <w:tblBorders>
        <w:top w:val="single" w:sz="6" w:space="0" w:color="0D0D0D"/>
        <w:left w:val="single" w:sz="6" w:space="0" w:color="0D0D0D"/>
        <w:bottom w:val="single" w:sz="6" w:space="0" w:color="0D0D0D"/>
        <w:right w:val="single" w:sz="6" w:space="0" w:color="0D0D0D"/>
        <w:insideH w:val="single" w:sz="6" w:space="0" w:color="0D0D0D"/>
        <w:insideV w:val="single" w:sz="6" w:space="0" w:color="0D0D0D"/>
      </w:tblBorders>
    </w:tblPr>
    <w:tblStylePr w:type="firstRow">
      <w:tblPr/>
      <w:tcPr>
        <w:shd w:val="clear" w:color="auto" w:fill="005DBD"/>
      </w:tcPr>
    </w:tblStylePr>
  </w:style>
  <w:style w:type="table" w:customStyle="1" w:styleId="Tablaconcuadrcula1clara1">
    <w:name w:val="Tabla con cuadrícula 1 clara1"/>
    <w:basedOn w:val="Tablanormal"/>
    <w:uiPriority w:val="46"/>
    <w:rsid w:val="00A26CD3"/>
    <w:pPr>
      <w:spacing w:after="0" w:line="240" w:lineRule="auto"/>
    </w:pPr>
    <w:rPr>
      <w:rFonts w:ascii="Calibri" w:eastAsia="Calibri" w:hAnsi="Calibri" w:cs="Times New Roman"/>
      <w:color w:val="595959"/>
      <w:sz w:val="20"/>
      <w:szCs w:val="20"/>
      <w:lang w:val="es-E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normal12">
    <w:name w:val="Tabla normal 12"/>
    <w:basedOn w:val="Tablanormal"/>
    <w:uiPriority w:val="41"/>
    <w:rsid w:val="00A26CD3"/>
    <w:pPr>
      <w:spacing w:after="0" w:line="240" w:lineRule="auto"/>
    </w:pPr>
    <w:rPr>
      <w:rFonts w:ascii="Calibri" w:eastAsia="Calibri" w:hAnsi="Calibri" w:cs="Times New Roman"/>
      <w:sz w:val="20"/>
      <w:szCs w:val="20"/>
      <w:lang w:val="es-E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clara-nfasis61">
    <w:name w:val="Tabla con cuadrícula 1 clara - Énfasis 61"/>
    <w:basedOn w:val="Tablanormal"/>
    <w:uiPriority w:val="46"/>
    <w:rsid w:val="00A26CD3"/>
    <w:pPr>
      <w:spacing w:after="0" w:line="240" w:lineRule="auto"/>
    </w:pPr>
    <w:rPr>
      <w:rFonts w:ascii="Calibri" w:eastAsia="Calibri" w:hAnsi="Calibri" w:cs="Times New Roman"/>
      <w:sz w:val="20"/>
      <w:szCs w:val="20"/>
      <w:lang w:val="es-E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Tablaconcuadrculaclara11">
    <w:name w:val="Tabla con cuadrícula clara11"/>
    <w:basedOn w:val="Tablanormal"/>
    <w:uiPriority w:val="40"/>
    <w:rsid w:val="00A26CD3"/>
    <w:pPr>
      <w:spacing w:after="0" w:line="240" w:lineRule="auto"/>
    </w:pPr>
    <w:rPr>
      <w:rFonts w:ascii="Calibri" w:eastAsia="Calibri" w:hAnsi="Calibri" w:cs="Times New Roman"/>
      <w:sz w:val="20"/>
      <w:szCs w:val="20"/>
      <w:lang w:val="es-E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211">
    <w:name w:val="Tabla normal 211"/>
    <w:basedOn w:val="Tablanormal"/>
    <w:uiPriority w:val="42"/>
    <w:rsid w:val="00A26CD3"/>
    <w:pPr>
      <w:spacing w:after="0" w:line="240" w:lineRule="auto"/>
    </w:pPr>
    <w:rPr>
      <w:rFonts w:ascii="Calibri" w:eastAsia="Calibri" w:hAnsi="Calibri" w:cs="Times New Roman"/>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dice2">
    <w:name w:val="index 2"/>
    <w:basedOn w:val="Normal"/>
    <w:next w:val="Normal"/>
    <w:autoRedefine/>
    <w:uiPriority w:val="99"/>
    <w:semiHidden/>
    <w:unhideWhenUsed/>
    <w:rsid w:val="00A26CD3"/>
    <w:pPr>
      <w:spacing w:after="0" w:line="240" w:lineRule="auto"/>
      <w:ind w:left="440" w:hanging="220"/>
    </w:pPr>
    <w:rPr>
      <w:rFonts w:ascii="Calibri" w:eastAsia="Calibri" w:hAnsi="Calibri" w:cs="Times New Roman"/>
    </w:rPr>
  </w:style>
  <w:style w:type="paragraph" w:styleId="ndice3">
    <w:name w:val="index 3"/>
    <w:basedOn w:val="Normal"/>
    <w:next w:val="Normal"/>
    <w:autoRedefine/>
    <w:uiPriority w:val="99"/>
    <w:semiHidden/>
    <w:unhideWhenUsed/>
    <w:rsid w:val="00A26CD3"/>
    <w:pPr>
      <w:spacing w:after="0" w:line="240" w:lineRule="auto"/>
      <w:ind w:left="660" w:hanging="220"/>
      <w:jc w:val="both"/>
    </w:pPr>
    <w:rPr>
      <w:rFonts w:ascii="Arial" w:eastAsia="Calibri" w:hAnsi="Arial" w:cs="Times New Roman"/>
      <w:lang w:val="es-ES"/>
    </w:rPr>
  </w:style>
  <w:style w:type="paragraph" w:styleId="ndice4">
    <w:name w:val="index 4"/>
    <w:basedOn w:val="Normal"/>
    <w:next w:val="Normal"/>
    <w:autoRedefine/>
    <w:uiPriority w:val="99"/>
    <w:semiHidden/>
    <w:unhideWhenUsed/>
    <w:rsid w:val="00A26CD3"/>
    <w:pPr>
      <w:spacing w:after="0" w:line="240" w:lineRule="auto"/>
      <w:ind w:left="880" w:hanging="220"/>
      <w:jc w:val="both"/>
    </w:pPr>
    <w:rPr>
      <w:rFonts w:ascii="Arial" w:eastAsia="Calibri" w:hAnsi="Arial" w:cs="Times New Roman"/>
      <w:lang w:val="es-ES"/>
    </w:rPr>
  </w:style>
  <w:style w:type="paragraph" w:styleId="ndice5">
    <w:name w:val="index 5"/>
    <w:basedOn w:val="Normal"/>
    <w:next w:val="Normal"/>
    <w:autoRedefine/>
    <w:uiPriority w:val="99"/>
    <w:semiHidden/>
    <w:unhideWhenUsed/>
    <w:rsid w:val="00A26CD3"/>
    <w:pPr>
      <w:spacing w:after="0" w:line="240" w:lineRule="auto"/>
      <w:ind w:left="1100" w:hanging="220"/>
      <w:jc w:val="both"/>
    </w:pPr>
    <w:rPr>
      <w:rFonts w:ascii="Arial" w:eastAsia="Calibri" w:hAnsi="Arial" w:cs="Times New Roman"/>
      <w:lang w:val="es-ES"/>
    </w:rPr>
  </w:style>
  <w:style w:type="paragraph" w:styleId="ndice6">
    <w:name w:val="index 6"/>
    <w:basedOn w:val="Normal"/>
    <w:next w:val="Normal"/>
    <w:autoRedefine/>
    <w:uiPriority w:val="99"/>
    <w:semiHidden/>
    <w:unhideWhenUsed/>
    <w:rsid w:val="00A26CD3"/>
    <w:pPr>
      <w:spacing w:after="0" w:line="240" w:lineRule="auto"/>
      <w:ind w:left="1320" w:hanging="220"/>
      <w:jc w:val="both"/>
    </w:pPr>
    <w:rPr>
      <w:rFonts w:ascii="Arial" w:eastAsia="Calibri" w:hAnsi="Arial" w:cs="Times New Roman"/>
      <w:lang w:val="es-ES"/>
    </w:rPr>
  </w:style>
  <w:style w:type="paragraph" w:styleId="ndice7">
    <w:name w:val="index 7"/>
    <w:basedOn w:val="Normal"/>
    <w:next w:val="Normal"/>
    <w:autoRedefine/>
    <w:uiPriority w:val="99"/>
    <w:semiHidden/>
    <w:unhideWhenUsed/>
    <w:rsid w:val="00A26CD3"/>
    <w:pPr>
      <w:spacing w:after="0" w:line="240" w:lineRule="auto"/>
      <w:ind w:left="1540" w:hanging="220"/>
      <w:jc w:val="both"/>
    </w:pPr>
    <w:rPr>
      <w:rFonts w:ascii="Arial" w:eastAsia="Calibri" w:hAnsi="Arial" w:cs="Times New Roman"/>
      <w:lang w:val="es-ES"/>
    </w:rPr>
  </w:style>
  <w:style w:type="paragraph" w:styleId="ndice8">
    <w:name w:val="index 8"/>
    <w:basedOn w:val="Normal"/>
    <w:next w:val="Normal"/>
    <w:autoRedefine/>
    <w:uiPriority w:val="99"/>
    <w:semiHidden/>
    <w:unhideWhenUsed/>
    <w:rsid w:val="00A26CD3"/>
    <w:pPr>
      <w:spacing w:after="0" w:line="240" w:lineRule="auto"/>
      <w:ind w:left="1760" w:hanging="220"/>
      <w:jc w:val="both"/>
    </w:pPr>
    <w:rPr>
      <w:rFonts w:ascii="Arial" w:eastAsia="Calibri" w:hAnsi="Arial" w:cs="Times New Roman"/>
      <w:lang w:val="es-ES"/>
    </w:rPr>
  </w:style>
  <w:style w:type="paragraph" w:styleId="ndice9">
    <w:name w:val="index 9"/>
    <w:basedOn w:val="Normal"/>
    <w:next w:val="Normal"/>
    <w:autoRedefine/>
    <w:uiPriority w:val="99"/>
    <w:semiHidden/>
    <w:unhideWhenUsed/>
    <w:rsid w:val="00A26CD3"/>
    <w:pPr>
      <w:spacing w:after="0" w:line="240" w:lineRule="auto"/>
      <w:ind w:left="1980" w:hanging="220"/>
      <w:jc w:val="both"/>
    </w:pPr>
    <w:rPr>
      <w:rFonts w:ascii="Arial" w:eastAsia="Calibri" w:hAnsi="Arial" w:cs="Times New Roman"/>
      <w:lang w:val="es-ES"/>
    </w:rPr>
  </w:style>
  <w:style w:type="paragraph" w:styleId="TDC5">
    <w:name w:val="toc 5"/>
    <w:basedOn w:val="Normal"/>
    <w:next w:val="Normal"/>
    <w:autoRedefine/>
    <w:unhideWhenUsed/>
    <w:rsid w:val="00A26CD3"/>
    <w:pPr>
      <w:keepLines/>
      <w:tabs>
        <w:tab w:val="left" w:pos="993"/>
        <w:tab w:val="left" w:pos="1418"/>
        <w:tab w:val="left" w:pos="8364"/>
      </w:tabs>
      <w:spacing w:after="120" w:line="240" w:lineRule="auto"/>
      <w:ind w:left="993" w:right="992" w:hanging="709"/>
      <w:jc w:val="both"/>
    </w:pPr>
    <w:rPr>
      <w:rFonts w:ascii="Arial" w:eastAsia="Times New Roman" w:hAnsi="Arial" w:cs="Times New Roman"/>
      <w:noProof/>
      <w:szCs w:val="20"/>
      <w:lang w:val="es-ES_tradnl" w:eastAsia="es-ES"/>
    </w:rPr>
  </w:style>
  <w:style w:type="paragraph" w:styleId="TDC6">
    <w:name w:val="toc 6"/>
    <w:basedOn w:val="Normal"/>
    <w:next w:val="Normal"/>
    <w:autoRedefine/>
    <w:unhideWhenUsed/>
    <w:rsid w:val="00A26CD3"/>
    <w:pPr>
      <w:keepLines/>
      <w:tabs>
        <w:tab w:val="left" w:pos="1276"/>
        <w:tab w:val="left" w:pos="1760"/>
        <w:tab w:val="left" w:pos="8364"/>
      </w:tabs>
      <w:spacing w:after="120" w:line="240" w:lineRule="auto"/>
      <w:ind w:left="1276" w:right="992" w:hanging="851"/>
      <w:jc w:val="both"/>
    </w:pPr>
    <w:rPr>
      <w:rFonts w:ascii="Arial" w:eastAsia="Times New Roman" w:hAnsi="Arial" w:cs="Times New Roman"/>
      <w:noProof/>
      <w:szCs w:val="20"/>
      <w:lang w:val="es-ES_tradnl" w:eastAsia="es-ES"/>
    </w:rPr>
  </w:style>
  <w:style w:type="paragraph" w:styleId="TDC7">
    <w:name w:val="toc 7"/>
    <w:basedOn w:val="Normal"/>
    <w:next w:val="Normal"/>
    <w:autoRedefine/>
    <w:unhideWhenUsed/>
    <w:rsid w:val="00A26CD3"/>
    <w:pPr>
      <w:keepLines/>
      <w:tabs>
        <w:tab w:val="left" w:pos="1418"/>
        <w:tab w:val="left" w:pos="1540"/>
        <w:tab w:val="left" w:pos="8364"/>
      </w:tabs>
      <w:spacing w:after="120" w:line="240" w:lineRule="auto"/>
      <w:ind w:left="1418" w:right="992" w:hanging="567"/>
      <w:jc w:val="both"/>
    </w:pPr>
    <w:rPr>
      <w:rFonts w:ascii="Arial" w:eastAsia="Times New Roman" w:hAnsi="Arial" w:cs="Times New Roman"/>
      <w:noProof/>
      <w:szCs w:val="20"/>
      <w:lang w:val="es-ES_tradnl" w:eastAsia="es-ES"/>
    </w:rPr>
  </w:style>
  <w:style w:type="paragraph" w:styleId="TDC8">
    <w:name w:val="toc 8"/>
    <w:basedOn w:val="Normal"/>
    <w:next w:val="Normal"/>
    <w:autoRedefine/>
    <w:unhideWhenUsed/>
    <w:rsid w:val="00A26CD3"/>
    <w:pPr>
      <w:keepLines/>
      <w:spacing w:before="120" w:after="120" w:line="240" w:lineRule="auto"/>
      <w:ind w:left="1540"/>
      <w:jc w:val="both"/>
    </w:pPr>
    <w:rPr>
      <w:rFonts w:ascii="Arial" w:eastAsia="Times New Roman" w:hAnsi="Arial" w:cs="Times New Roman"/>
      <w:szCs w:val="20"/>
      <w:lang w:val="es-ES_tradnl" w:eastAsia="es-ES"/>
    </w:rPr>
  </w:style>
  <w:style w:type="paragraph" w:styleId="TDC9">
    <w:name w:val="toc 9"/>
    <w:basedOn w:val="Normal"/>
    <w:next w:val="Normal"/>
    <w:autoRedefine/>
    <w:unhideWhenUsed/>
    <w:rsid w:val="00A26CD3"/>
    <w:pPr>
      <w:spacing w:after="0" w:line="240" w:lineRule="auto"/>
      <w:ind w:left="1600"/>
      <w:jc w:val="both"/>
    </w:pPr>
    <w:rPr>
      <w:rFonts w:ascii="Arial" w:eastAsia="Times New Roman" w:hAnsi="Arial" w:cs="Times New Roman"/>
      <w:sz w:val="18"/>
      <w:szCs w:val="18"/>
      <w:lang w:eastAsia="es-ES"/>
    </w:rPr>
  </w:style>
  <w:style w:type="paragraph" w:styleId="Sangranormal">
    <w:name w:val="Normal Indent"/>
    <w:basedOn w:val="Normal"/>
    <w:uiPriority w:val="99"/>
    <w:unhideWhenUsed/>
    <w:rsid w:val="00A26CD3"/>
    <w:pPr>
      <w:spacing w:before="120" w:after="120" w:line="240" w:lineRule="auto"/>
      <w:ind w:left="708" w:firstLine="567"/>
      <w:jc w:val="both"/>
    </w:pPr>
    <w:rPr>
      <w:rFonts w:ascii="Arial" w:eastAsia="Calibri" w:hAnsi="Arial" w:cs="Times New Roman"/>
      <w:lang w:val="es-ES"/>
    </w:rPr>
  </w:style>
  <w:style w:type="paragraph" w:styleId="Ttulodendice">
    <w:name w:val="index heading"/>
    <w:basedOn w:val="Normal"/>
    <w:next w:val="ndice1"/>
    <w:uiPriority w:val="99"/>
    <w:semiHidden/>
    <w:unhideWhenUsed/>
    <w:rsid w:val="00A26CD3"/>
    <w:pPr>
      <w:spacing w:before="120" w:after="120" w:line="240" w:lineRule="auto"/>
      <w:ind w:firstLine="567"/>
      <w:jc w:val="both"/>
    </w:pPr>
    <w:rPr>
      <w:rFonts w:ascii="Calibri Light" w:eastAsia="Times New Roman" w:hAnsi="Calibri Light" w:cs="Times New Roman"/>
      <w:b/>
      <w:bCs/>
      <w:lang w:val="es-ES"/>
    </w:rPr>
  </w:style>
  <w:style w:type="paragraph" w:styleId="Tabladeilustraciones">
    <w:name w:val="table of figures"/>
    <w:basedOn w:val="Normal"/>
    <w:next w:val="Normal"/>
    <w:unhideWhenUsed/>
    <w:rsid w:val="00A26CD3"/>
    <w:pPr>
      <w:spacing w:after="0" w:line="240" w:lineRule="auto"/>
      <w:jc w:val="both"/>
    </w:pPr>
    <w:rPr>
      <w:rFonts w:ascii="Arial Narrow" w:eastAsia="Times New Roman" w:hAnsi="Arial Narrow" w:cs="Times New Roman"/>
      <w:sz w:val="24"/>
      <w:szCs w:val="24"/>
      <w:lang w:eastAsia="es-ES"/>
    </w:rPr>
  </w:style>
  <w:style w:type="paragraph" w:styleId="Direccinsobre">
    <w:name w:val="envelope address"/>
    <w:basedOn w:val="Normal"/>
    <w:uiPriority w:val="99"/>
    <w:semiHidden/>
    <w:unhideWhenUsed/>
    <w:rsid w:val="00A26CD3"/>
    <w:pPr>
      <w:framePr w:w="7920" w:h="1980" w:hSpace="141" w:wrap="auto" w:hAnchor="page" w:xAlign="center" w:yAlign="bottom"/>
      <w:spacing w:after="0" w:line="240" w:lineRule="auto"/>
      <w:ind w:left="2880" w:firstLine="567"/>
      <w:jc w:val="both"/>
    </w:pPr>
    <w:rPr>
      <w:rFonts w:ascii="Calibri Light" w:eastAsia="Times New Roman" w:hAnsi="Calibri Light" w:cs="Times New Roman"/>
      <w:sz w:val="24"/>
      <w:szCs w:val="24"/>
      <w:lang w:val="es-ES"/>
    </w:rPr>
  </w:style>
  <w:style w:type="paragraph" w:styleId="Remitedesobre">
    <w:name w:val="envelope return"/>
    <w:basedOn w:val="Normal"/>
    <w:uiPriority w:val="99"/>
    <w:semiHidden/>
    <w:unhideWhenUsed/>
    <w:rsid w:val="00A26CD3"/>
    <w:pPr>
      <w:spacing w:after="0" w:line="240" w:lineRule="auto"/>
      <w:ind w:firstLine="567"/>
      <w:jc w:val="both"/>
    </w:pPr>
    <w:rPr>
      <w:rFonts w:ascii="Calibri Light" w:eastAsia="Times New Roman" w:hAnsi="Calibri Light" w:cs="Times New Roman"/>
      <w:sz w:val="20"/>
      <w:szCs w:val="20"/>
      <w:lang w:val="es-ES"/>
    </w:rPr>
  </w:style>
  <w:style w:type="paragraph" w:styleId="Textoconsangra">
    <w:name w:val="table of authorities"/>
    <w:basedOn w:val="Normal"/>
    <w:next w:val="Normal"/>
    <w:uiPriority w:val="99"/>
    <w:semiHidden/>
    <w:unhideWhenUsed/>
    <w:rsid w:val="00A26CD3"/>
    <w:pPr>
      <w:spacing w:before="120" w:after="0" w:line="240" w:lineRule="auto"/>
      <w:ind w:left="220" w:hanging="220"/>
      <w:jc w:val="both"/>
    </w:pPr>
    <w:rPr>
      <w:rFonts w:ascii="Arial" w:eastAsia="Calibri" w:hAnsi="Arial" w:cs="Times New Roman"/>
      <w:lang w:val="es-ES"/>
    </w:rPr>
  </w:style>
  <w:style w:type="paragraph" w:styleId="Encabezadodelista">
    <w:name w:val="toa heading"/>
    <w:basedOn w:val="Normal"/>
    <w:next w:val="Normal"/>
    <w:uiPriority w:val="99"/>
    <w:semiHidden/>
    <w:unhideWhenUsed/>
    <w:rsid w:val="00A26CD3"/>
    <w:pPr>
      <w:spacing w:before="120" w:after="120" w:line="240" w:lineRule="auto"/>
      <w:ind w:firstLine="567"/>
      <w:jc w:val="both"/>
    </w:pPr>
    <w:rPr>
      <w:rFonts w:ascii="Calibri Light" w:eastAsia="Times New Roman" w:hAnsi="Calibri Light" w:cs="Times New Roman"/>
      <w:b/>
      <w:bCs/>
      <w:sz w:val="24"/>
      <w:szCs w:val="24"/>
      <w:lang w:val="es-ES"/>
    </w:rPr>
  </w:style>
  <w:style w:type="paragraph" w:styleId="Lista5">
    <w:name w:val="List 5"/>
    <w:basedOn w:val="Normal"/>
    <w:uiPriority w:val="99"/>
    <w:semiHidden/>
    <w:unhideWhenUsed/>
    <w:rsid w:val="00A26CD3"/>
    <w:pPr>
      <w:spacing w:before="120" w:after="120" w:line="240" w:lineRule="auto"/>
      <w:ind w:left="1415" w:hanging="283"/>
      <w:contextualSpacing/>
      <w:jc w:val="both"/>
    </w:pPr>
    <w:rPr>
      <w:rFonts w:ascii="Arial" w:eastAsia="Calibri" w:hAnsi="Arial" w:cs="Times New Roman"/>
      <w:lang w:val="es-ES"/>
    </w:rPr>
  </w:style>
  <w:style w:type="paragraph" w:styleId="Listaconvietas3">
    <w:name w:val="List Bullet 3"/>
    <w:basedOn w:val="Normal"/>
    <w:autoRedefine/>
    <w:unhideWhenUsed/>
    <w:rsid w:val="00A26CD3"/>
    <w:pPr>
      <w:keepLines/>
      <w:tabs>
        <w:tab w:val="num" w:pos="1494"/>
      </w:tabs>
      <w:spacing w:before="120" w:after="120" w:line="240" w:lineRule="auto"/>
      <w:ind w:left="1474" w:hanging="340"/>
      <w:jc w:val="both"/>
    </w:pPr>
    <w:rPr>
      <w:rFonts w:ascii="Arial" w:eastAsia="Times New Roman" w:hAnsi="Arial" w:cs="Times New Roman"/>
      <w:szCs w:val="20"/>
      <w:lang w:val="es-ES_tradnl" w:eastAsia="es-ES"/>
    </w:rPr>
  </w:style>
  <w:style w:type="paragraph" w:styleId="Listaconvietas4">
    <w:name w:val="List Bullet 4"/>
    <w:basedOn w:val="Normal"/>
    <w:uiPriority w:val="99"/>
    <w:unhideWhenUsed/>
    <w:rsid w:val="00A26CD3"/>
    <w:pPr>
      <w:tabs>
        <w:tab w:val="num" w:pos="1209"/>
      </w:tabs>
      <w:spacing w:after="0" w:line="240" w:lineRule="auto"/>
      <w:ind w:left="1209" w:hanging="360"/>
      <w:contextualSpacing/>
    </w:pPr>
    <w:rPr>
      <w:rFonts w:ascii="Cambria" w:eastAsia="Cambria" w:hAnsi="Cambria" w:cs="Times New Roman"/>
      <w:sz w:val="24"/>
      <w:szCs w:val="24"/>
      <w:lang w:val="es-ES_tradnl"/>
    </w:rPr>
  </w:style>
  <w:style w:type="paragraph" w:styleId="Listaconvietas5">
    <w:name w:val="List Bullet 5"/>
    <w:basedOn w:val="Normal"/>
    <w:uiPriority w:val="99"/>
    <w:semiHidden/>
    <w:unhideWhenUsed/>
    <w:rsid w:val="00A26CD3"/>
    <w:pPr>
      <w:numPr>
        <w:numId w:val="28"/>
      </w:numPr>
      <w:spacing w:before="120" w:after="120" w:line="240" w:lineRule="auto"/>
      <w:contextualSpacing/>
      <w:jc w:val="both"/>
    </w:pPr>
    <w:rPr>
      <w:rFonts w:ascii="Arial" w:eastAsia="Calibri" w:hAnsi="Arial" w:cs="Times New Roman"/>
      <w:lang w:val="es-ES"/>
    </w:rPr>
  </w:style>
  <w:style w:type="paragraph" w:styleId="Listaconnmeros2">
    <w:name w:val="List Number 2"/>
    <w:basedOn w:val="Listaconnmeros"/>
    <w:unhideWhenUsed/>
    <w:rsid w:val="00A26CD3"/>
    <w:pPr>
      <w:keepLines/>
      <w:tabs>
        <w:tab w:val="clear" w:pos="360"/>
        <w:tab w:val="num" w:pos="1077"/>
      </w:tabs>
      <w:spacing w:before="120" w:after="120"/>
      <w:ind w:left="1077" w:hanging="510"/>
    </w:pPr>
    <w:rPr>
      <w:lang w:val="es-ES_tradnl"/>
    </w:rPr>
  </w:style>
  <w:style w:type="paragraph" w:styleId="Listaconnmeros3">
    <w:name w:val="List Number 3"/>
    <w:basedOn w:val="Listaconnmeros"/>
    <w:unhideWhenUsed/>
    <w:rsid w:val="00A26CD3"/>
    <w:pPr>
      <w:keepLines/>
      <w:tabs>
        <w:tab w:val="clear" w:pos="360"/>
        <w:tab w:val="num" w:pos="397"/>
      </w:tabs>
      <w:spacing w:before="120" w:after="120"/>
      <w:ind w:left="397" w:hanging="397"/>
    </w:pPr>
    <w:rPr>
      <w:lang w:val="es-ES_tradnl"/>
    </w:rPr>
  </w:style>
  <w:style w:type="paragraph" w:styleId="Listaconnmeros4">
    <w:name w:val="List Number 4"/>
    <w:basedOn w:val="Normal"/>
    <w:uiPriority w:val="99"/>
    <w:unhideWhenUsed/>
    <w:rsid w:val="00A26CD3"/>
    <w:pPr>
      <w:numPr>
        <w:numId w:val="29"/>
      </w:numPr>
      <w:spacing w:before="120" w:after="120" w:line="240" w:lineRule="auto"/>
      <w:contextualSpacing/>
      <w:jc w:val="both"/>
    </w:pPr>
    <w:rPr>
      <w:rFonts w:ascii="Arial" w:eastAsia="Calibri" w:hAnsi="Arial" w:cs="Times New Roman"/>
      <w:lang w:val="es-ES"/>
    </w:rPr>
  </w:style>
  <w:style w:type="paragraph" w:styleId="Listaconnmeros5">
    <w:name w:val="List Number 5"/>
    <w:basedOn w:val="Normal"/>
    <w:uiPriority w:val="99"/>
    <w:semiHidden/>
    <w:unhideWhenUsed/>
    <w:rsid w:val="00A26CD3"/>
    <w:pPr>
      <w:numPr>
        <w:numId w:val="30"/>
      </w:numPr>
      <w:spacing w:before="120" w:after="120" w:line="240" w:lineRule="auto"/>
      <w:contextualSpacing/>
      <w:jc w:val="both"/>
    </w:pPr>
    <w:rPr>
      <w:rFonts w:ascii="Arial" w:eastAsia="Calibri" w:hAnsi="Arial" w:cs="Times New Roman"/>
      <w:lang w:val="es-ES"/>
    </w:rPr>
  </w:style>
  <w:style w:type="paragraph" w:styleId="Continuarlista">
    <w:name w:val="List Continue"/>
    <w:basedOn w:val="Normal"/>
    <w:unhideWhenUsed/>
    <w:rsid w:val="00A26CD3"/>
    <w:pPr>
      <w:spacing w:after="120" w:line="240" w:lineRule="auto"/>
      <w:ind w:left="283"/>
      <w:jc w:val="both"/>
    </w:pPr>
    <w:rPr>
      <w:rFonts w:ascii="Arial" w:eastAsia="Times New Roman" w:hAnsi="Arial" w:cs="Times New Roman"/>
      <w:szCs w:val="20"/>
      <w:lang w:eastAsia="es-ES"/>
    </w:rPr>
  </w:style>
  <w:style w:type="paragraph" w:styleId="Continuarlista2">
    <w:name w:val="List Continue 2"/>
    <w:basedOn w:val="Normal"/>
    <w:uiPriority w:val="99"/>
    <w:unhideWhenUsed/>
    <w:rsid w:val="00A26CD3"/>
    <w:pPr>
      <w:spacing w:after="120" w:line="240" w:lineRule="auto"/>
      <w:ind w:left="566"/>
      <w:contextualSpacing/>
    </w:pPr>
    <w:rPr>
      <w:rFonts w:ascii="Cambria" w:eastAsia="Cambria" w:hAnsi="Cambria" w:cs="Times New Roman"/>
      <w:sz w:val="24"/>
      <w:szCs w:val="24"/>
      <w:lang w:val="es-ES_tradnl"/>
    </w:rPr>
  </w:style>
  <w:style w:type="paragraph" w:styleId="Continuarlista3">
    <w:name w:val="List Continue 3"/>
    <w:basedOn w:val="Normal"/>
    <w:uiPriority w:val="99"/>
    <w:unhideWhenUsed/>
    <w:rsid w:val="00A26CD3"/>
    <w:pPr>
      <w:spacing w:before="120" w:after="120" w:line="240" w:lineRule="auto"/>
      <w:ind w:left="849" w:firstLine="567"/>
      <w:contextualSpacing/>
      <w:jc w:val="both"/>
    </w:pPr>
    <w:rPr>
      <w:rFonts w:ascii="Arial" w:eastAsia="Calibri" w:hAnsi="Arial" w:cs="Times New Roman"/>
      <w:lang w:val="es-ES"/>
    </w:rPr>
  </w:style>
  <w:style w:type="paragraph" w:styleId="Continuarlista4">
    <w:name w:val="List Continue 4"/>
    <w:basedOn w:val="Normal"/>
    <w:uiPriority w:val="99"/>
    <w:semiHidden/>
    <w:unhideWhenUsed/>
    <w:rsid w:val="00A26CD3"/>
    <w:pPr>
      <w:spacing w:before="120" w:after="120" w:line="240" w:lineRule="auto"/>
      <w:ind w:left="1132" w:firstLine="567"/>
      <w:contextualSpacing/>
      <w:jc w:val="both"/>
    </w:pPr>
    <w:rPr>
      <w:rFonts w:ascii="Arial" w:eastAsia="Calibri" w:hAnsi="Arial" w:cs="Times New Roman"/>
      <w:lang w:val="es-ES"/>
    </w:rPr>
  </w:style>
  <w:style w:type="paragraph" w:styleId="Continuarlista5">
    <w:name w:val="List Continue 5"/>
    <w:basedOn w:val="Normal"/>
    <w:uiPriority w:val="99"/>
    <w:semiHidden/>
    <w:unhideWhenUsed/>
    <w:rsid w:val="00A26CD3"/>
    <w:pPr>
      <w:spacing w:before="120" w:after="120" w:line="240" w:lineRule="auto"/>
      <w:ind w:left="1415" w:firstLine="567"/>
      <w:contextualSpacing/>
      <w:jc w:val="both"/>
    </w:pPr>
    <w:rPr>
      <w:rFonts w:ascii="Arial" w:eastAsia="Calibri" w:hAnsi="Arial" w:cs="Times New Roman"/>
      <w:lang w:val="es-ES"/>
    </w:rPr>
  </w:style>
  <w:style w:type="paragraph" w:styleId="Textodebloque">
    <w:name w:val="Block Text"/>
    <w:basedOn w:val="Normal"/>
    <w:unhideWhenUsed/>
    <w:rsid w:val="00A26CD3"/>
    <w:pPr>
      <w:spacing w:after="0" w:line="240" w:lineRule="auto"/>
      <w:ind w:left="57" w:right="57"/>
      <w:jc w:val="center"/>
    </w:pPr>
    <w:rPr>
      <w:rFonts w:ascii="Arial" w:eastAsia="MS Mincho" w:hAnsi="Arial" w:cs="Arial"/>
      <w:sz w:val="24"/>
      <w:szCs w:val="24"/>
      <w:lang w:val="es-ES" w:eastAsia="es-ES"/>
    </w:rPr>
  </w:style>
  <w:style w:type="paragraph" w:styleId="Bibliografa">
    <w:name w:val="Bibliography"/>
    <w:basedOn w:val="Normal"/>
    <w:next w:val="Normal"/>
    <w:uiPriority w:val="37"/>
    <w:unhideWhenUsed/>
    <w:rsid w:val="00A26CD3"/>
    <w:pPr>
      <w:spacing w:before="120" w:after="120" w:line="240" w:lineRule="auto"/>
      <w:ind w:firstLine="567"/>
      <w:jc w:val="both"/>
    </w:pPr>
    <w:rPr>
      <w:rFonts w:ascii="Arial" w:eastAsia="Calibri" w:hAnsi="Arial" w:cs="Times New Roman"/>
      <w:sz w:val="20"/>
      <w:lang w:val="es-ES"/>
    </w:rPr>
  </w:style>
  <w:style w:type="paragraph" w:styleId="TtuloTDC">
    <w:name w:val="TOC Heading"/>
    <w:basedOn w:val="Ttulo1"/>
    <w:next w:val="Normal"/>
    <w:uiPriority w:val="39"/>
    <w:unhideWhenUsed/>
    <w:qFormat/>
    <w:rsid w:val="00A26CD3"/>
    <w:pPr>
      <w:spacing w:before="360" w:after="40" w:line="240" w:lineRule="auto"/>
      <w:outlineLvl w:val="9"/>
    </w:pPr>
    <w:rPr>
      <w:rFonts w:ascii="Calibri Light" w:hAnsi="Calibri Light"/>
      <w:color w:val="538135"/>
    </w:rPr>
  </w:style>
  <w:style w:type="paragraph" w:customStyle="1" w:styleId="Antecedentes">
    <w:name w:val="Antecedentes"/>
    <w:basedOn w:val="Normal"/>
    <w:rsid w:val="00A26CD3"/>
    <w:pPr>
      <w:spacing w:before="120" w:after="120" w:line="240" w:lineRule="auto"/>
      <w:jc w:val="both"/>
    </w:pPr>
    <w:rPr>
      <w:rFonts w:ascii="HelveticaNeueLT Std" w:eastAsia="Times New Roman" w:hAnsi="HelveticaNeueLT Std" w:cs="Times New Roman"/>
      <w:spacing w:val="4"/>
      <w:sz w:val="24"/>
      <w:szCs w:val="20"/>
      <w:lang w:val="x-none" w:eastAsia="es-ES"/>
    </w:rPr>
  </w:style>
  <w:style w:type="paragraph" w:customStyle="1" w:styleId="Textoindependienteprimerasangra1">
    <w:name w:val="Texto independiente primera sangría1"/>
    <w:basedOn w:val="Normal"/>
    <w:rsid w:val="00A26CD3"/>
    <w:pPr>
      <w:widowControl w:val="0"/>
      <w:autoSpaceDE w:val="0"/>
      <w:spacing w:after="120" w:line="240" w:lineRule="auto"/>
      <w:ind w:firstLine="210"/>
    </w:pPr>
    <w:rPr>
      <w:rFonts w:ascii="Lucida Sans Typewriter" w:eastAsia="Times New Roman" w:hAnsi="Lucida Sans Typewriter" w:cs="Times New Roman"/>
      <w:spacing w:val="-3"/>
      <w:sz w:val="24"/>
      <w:szCs w:val="24"/>
      <w:lang w:val="es-ES_tradnl" w:eastAsia="zh-CN"/>
    </w:rPr>
  </w:style>
  <w:style w:type="paragraph" w:customStyle="1" w:styleId="NormalArial12pts">
    <w:name w:val="Normal+Arial 12pts"/>
    <w:basedOn w:val="Normal"/>
    <w:rsid w:val="00A26CD3"/>
    <w:pPr>
      <w:spacing w:after="0" w:line="240" w:lineRule="auto"/>
      <w:ind w:left="540" w:hanging="540"/>
      <w:jc w:val="both"/>
    </w:pPr>
    <w:rPr>
      <w:rFonts w:ascii="Arial" w:eastAsia="Times New Roman" w:hAnsi="Arial" w:cs="Arial"/>
      <w:bCs/>
      <w:kern w:val="2"/>
      <w:sz w:val="20"/>
      <w:szCs w:val="24"/>
      <w:lang w:val="es-ES" w:eastAsia="es-ES"/>
    </w:rPr>
  </w:style>
  <w:style w:type="paragraph" w:customStyle="1" w:styleId="FirstParagraph">
    <w:name w:val="First Paragraph"/>
    <w:basedOn w:val="Normal"/>
    <w:next w:val="Normal"/>
    <w:qFormat/>
    <w:rsid w:val="00A26CD3"/>
    <w:pPr>
      <w:spacing w:before="180" w:after="180" w:line="240" w:lineRule="auto"/>
    </w:pPr>
    <w:rPr>
      <w:rFonts w:ascii="Calibri" w:eastAsia="Calibri" w:hAnsi="Calibri" w:cs="Times New Roman"/>
      <w:sz w:val="24"/>
      <w:szCs w:val="24"/>
      <w:lang w:val="en-US"/>
    </w:rPr>
  </w:style>
  <w:style w:type="paragraph" w:customStyle="1" w:styleId="Epgrafe11">
    <w:name w:val="Epígrafe11"/>
    <w:basedOn w:val="Normal"/>
    <w:next w:val="TextoReg"/>
    <w:uiPriority w:val="35"/>
    <w:rsid w:val="00A26CD3"/>
    <w:pPr>
      <w:tabs>
        <w:tab w:val="left" w:pos="-720"/>
      </w:tabs>
      <w:suppressAutoHyphens/>
      <w:spacing w:after="200" w:line="240" w:lineRule="auto"/>
      <w:contextualSpacing/>
    </w:pPr>
    <w:rPr>
      <w:rFonts w:ascii="Arial Narrow" w:eastAsia="Times New Roman" w:hAnsi="Arial Narrow" w:cs="Arial"/>
      <w:sz w:val="20"/>
      <w:szCs w:val="20"/>
      <w:lang w:eastAsia="es-ES"/>
    </w:rPr>
  </w:style>
  <w:style w:type="paragraph" w:customStyle="1" w:styleId="Lneadereferencia">
    <w:name w:val="Línea de referencia"/>
    <w:basedOn w:val="Normal"/>
    <w:rsid w:val="00A26CD3"/>
    <w:pPr>
      <w:spacing w:after="120" w:line="240" w:lineRule="auto"/>
    </w:pPr>
    <w:rPr>
      <w:rFonts w:ascii="Cambria" w:eastAsia="Cambria" w:hAnsi="Cambria" w:cs="Times New Roman"/>
      <w:sz w:val="24"/>
      <w:szCs w:val="24"/>
      <w:lang w:val="es-ES_tradnl"/>
    </w:rPr>
  </w:style>
  <w:style w:type="numbering" w:customStyle="1" w:styleId="WWNum31">
    <w:name w:val="WWNum31"/>
    <w:rsid w:val="00A26CD3"/>
    <w:pPr>
      <w:numPr>
        <w:numId w:val="72"/>
      </w:numPr>
    </w:pPr>
  </w:style>
  <w:style w:type="numbering" w:customStyle="1" w:styleId="Estilo8">
    <w:name w:val="Estilo8"/>
    <w:uiPriority w:val="99"/>
    <w:rsid w:val="00A26CD3"/>
    <w:pPr>
      <w:numPr>
        <w:numId w:val="73"/>
      </w:numPr>
    </w:pPr>
  </w:style>
  <w:style w:type="numbering" w:customStyle="1" w:styleId="Estiloimportado1">
    <w:name w:val="Estilo importado 1"/>
    <w:rsid w:val="00A26CD3"/>
    <w:pPr>
      <w:numPr>
        <w:numId w:val="74"/>
      </w:numPr>
    </w:pPr>
  </w:style>
  <w:style w:type="numbering" w:customStyle="1" w:styleId="Estilo5">
    <w:name w:val="Estilo5"/>
    <w:uiPriority w:val="99"/>
    <w:rsid w:val="00A26CD3"/>
    <w:pPr>
      <w:numPr>
        <w:numId w:val="75"/>
      </w:numPr>
    </w:pPr>
  </w:style>
  <w:style w:type="numbering" w:customStyle="1" w:styleId="Lista21">
    <w:name w:val="Lista 21"/>
    <w:rsid w:val="00A26CD3"/>
    <w:pPr>
      <w:numPr>
        <w:numId w:val="76"/>
      </w:numPr>
    </w:pPr>
  </w:style>
  <w:style w:type="numbering" w:customStyle="1" w:styleId="Estilo11">
    <w:name w:val="Estilo11"/>
    <w:uiPriority w:val="99"/>
    <w:rsid w:val="00A26CD3"/>
    <w:pPr>
      <w:numPr>
        <w:numId w:val="77"/>
      </w:numPr>
    </w:pPr>
  </w:style>
  <w:style w:type="numbering" w:customStyle="1" w:styleId="11111131">
    <w:name w:val="1 / 1.1 / 1.1.131"/>
    <w:rsid w:val="00A26CD3"/>
    <w:pPr>
      <w:numPr>
        <w:numId w:val="78"/>
      </w:numPr>
    </w:pPr>
  </w:style>
  <w:style w:type="numbering" w:styleId="1ai">
    <w:name w:val="Outline List 1"/>
    <w:basedOn w:val="Sinlista"/>
    <w:unhideWhenUsed/>
    <w:rsid w:val="00A26CD3"/>
    <w:pPr>
      <w:numPr>
        <w:numId w:val="79"/>
      </w:numPr>
    </w:pPr>
  </w:style>
  <w:style w:type="numbering" w:customStyle="1" w:styleId="WWNum25">
    <w:name w:val="WWNum25"/>
    <w:rsid w:val="00A26CD3"/>
    <w:pPr>
      <w:numPr>
        <w:numId w:val="80"/>
      </w:numPr>
    </w:pPr>
  </w:style>
  <w:style w:type="numbering" w:customStyle="1" w:styleId="Estilo9">
    <w:name w:val="Estilo9"/>
    <w:uiPriority w:val="99"/>
    <w:rsid w:val="00A26CD3"/>
    <w:pPr>
      <w:numPr>
        <w:numId w:val="81"/>
      </w:numPr>
    </w:pPr>
  </w:style>
  <w:style w:type="numbering" w:customStyle="1" w:styleId="Estilo12">
    <w:name w:val="Estilo12"/>
    <w:uiPriority w:val="99"/>
    <w:rsid w:val="00A26CD3"/>
    <w:pPr>
      <w:numPr>
        <w:numId w:val="82"/>
      </w:numPr>
    </w:pPr>
  </w:style>
  <w:style w:type="numbering" w:customStyle="1" w:styleId="Lista51">
    <w:name w:val="Lista 51"/>
    <w:rsid w:val="00A26CD3"/>
    <w:pPr>
      <w:numPr>
        <w:numId w:val="83"/>
      </w:numPr>
    </w:pPr>
  </w:style>
  <w:style w:type="numbering" w:customStyle="1" w:styleId="Estilo6">
    <w:name w:val="Estilo6"/>
    <w:uiPriority w:val="99"/>
    <w:rsid w:val="00A26CD3"/>
    <w:pPr>
      <w:numPr>
        <w:numId w:val="84"/>
      </w:numPr>
    </w:pPr>
  </w:style>
  <w:style w:type="numbering" w:customStyle="1" w:styleId="Listaactual1">
    <w:name w:val="Lista actual1"/>
    <w:uiPriority w:val="99"/>
    <w:rsid w:val="00A26CD3"/>
    <w:pPr>
      <w:numPr>
        <w:numId w:val="85"/>
      </w:numPr>
    </w:pPr>
  </w:style>
  <w:style w:type="numbering" w:customStyle="1" w:styleId="List0">
    <w:name w:val="List 0"/>
    <w:rsid w:val="00A26CD3"/>
    <w:pPr>
      <w:numPr>
        <w:numId w:val="86"/>
      </w:numPr>
    </w:pPr>
  </w:style>
  <w:style w:type="numbering" w:customStyle="1" w:styleId="WWNum5">
    <w:name w:val="WWNum5"/>
    <w:rsid w:val="00A26CD3"/>
    <w:pPr>
      <w:numPr>
        <w:numId w:val="87"/>
      </w:numPr>
    </w:pPr>
  </w:style>
  <w:style w:type="numbering" w:customStyle="1" w:styleId="List10">
    <w:name w:val="List 10"/>
    <w:rsid w:val="00A26CD3"/>
    <w:pPr>
      <w:numPr>
        <w:numId w:val="88"/>
      </w:numPr>
    </w:pPr>
  </w:style>
  <w:style w:type="numbering" w:styleId="111111">
    <w:name w:val="Outline List 2"/>
    <w:basedOn w:val="Sinlista"/>
    <w:unhideWhenUsed/>
    <w:rsid w:val="00A26CD3"/>
    <w:pPr>
      <w:numPr>
        <w:numId w:val="89"/>
      </w:numPr>
    </w:pPr>
  </w:style>
  <w:style w:type="numbering" w:customStyle="1" w:styleId="WWNum1">
    <w:name w:val="WWNum1"/>
    <w:rsid w:val="00A26CD3"/>
    <w:pPr>
      <w:numPr>
        <w:numId w:val="90"/>
      </w:numPr>
    </w:pPr>
  </w:style>
  <w:style w:type="numbering" w:customStyle="1" w:styleId="List8">
    <w:name w:val="List 8"/>
    <w:rsid w:val="00A26CD3"/>
    <w:pPr>
      <w:numPr>
        <w:numId w:val="91"/>
      </w:numPr>
    </w:pPr>
  </w:style>
  <w:style w:type="numbering" w:customStyle="1" w:styleId="1111113">
    <w:name w:val="1 / 1.1 / 1.1.13"/>
    <w:rsid w:val="00A26CD3"/>
    <w:pPr>
      <w:numPr>
        <w:numId w:val="92"/>
      </w:numPr>
    </w:pPr>
  </w:style>
  <w:style w:type="numbering" w:customStyle="1" w:styleId="List7">
    <w:name w:val="List 7"/>
    <w:rsid w:val="00A26CD3"/>
    <w:pPr>
      <w:numPr>
        <w:numId w:val="93"/>
      </w:numPr>
    </w:pPr>
  </w:style>
  <w:style w:type="numbering" w:customStyle="1" w:styleId="Dash">
    <w:name w:val="Dash"/>
    <w:rsid w:val="00A26CD3"/>
    <w:pPr>
      <w:numPr>
        <w:numId w:val="94"/>
      </w:numPr>
    </w:pPr>
  </w:style>
  <w:style w:type="numbering" w:customStyle="1" w:styleId="WW8Num3">
    <w:name w:val="WW8Num3"/>
    <w:rsid w:val="00A26CD3"/>
    <w:pPr>
      <w:numPr>
        <w:numId w:val="95"/>
      </w:numPr>
    </w:pPr>
  </w:style>
  <w:style w:type="numbering" w:customStyle="1" w:styleId="List11">
    <w:name w:val="List 11"/>
    <w:rsid w:val="00A26CD3"/>
    <w:pPr>
      <w:numPr>
        <w:numId w:val="96"/>
      </w:numPr>
    </w:pPr>
  </w:style>
  <w:style w:type="numbering" w:customStyle="1" w:styleId="List9">
    <w:name w:val="List 9"/>
    <w:rsid w:val="00A26CD3"/>
    <w:pPr>
      <w:numPr>
        <w:numId w:val="97"/>
      </w:numPr>
    </w:pPr>
  </w:style>
  <w:style w:type="numbering" w:customStyle="1" w:styleId="Estiloimportado2">
    <w:name w:val="Estilo importado 2"/>
    <w:rsid w:val="00A26CD3"/>
    <w:pPr>
      <w:numPr>
        <w:numId w:val="98"/>
      </w:numPr>
    </w:pPr>
  </w:style>
  <w:style w:type="numbering" w:customStyle="1" w:styleId="WW8Num2">
    <w:name w:val="WW8Num2"/>
    <w:rsid w:val="00A26CD3"/>
    <w:pPr>
      <w:numPr>
        <w:numId w:val="99"/>
      </w:numPr>
    </w:pPr>
  </w:style>
  <w:style w:type="numbering" w:customStyle="1" w:styleId="Vieta0">
    <w:name w:val="Viñeta.0"/>
    <w:rsid w:val="00A26CD3"/>
    <w:pPr>
      <w:numPr>
        <w:numId w:val="100"/>
      </w:numPr>
    </w:pPr>
  </w:style>
  <w:style w:type="numbering" w:customStyle="1" w:styleId="11111111">
    <w:name w:val="1 / 1.1 / 1.1.111"/>
    <w:rsid w:val="00A26CD3"/>
    <w:pPr>
      <w:numPr>
        <w:numId w:val="101"/>
      </w:numPr>
    </w:pPr>
  </w:style>
  <w:style w:type="numbering" w:customStyle="1" w:styleId="Lista31">
    <w:name w:val="Lista 31"/>
    <w:rsid w:val="00A26CD3"/>
    <w:pPr>
      <w:numPr>
        <w:numId w:val="102"/>
      </w:numPr>
    </w:pPr>
  </w:style>
  <w:style w:type="numbering" w:customStyle="1" w:styleId="Estilo4">
    <w:name w:val="Estilo4"/>
    <w:uiPriority w:val="99"/>
    <w:rsid w:val="00A26CD3"/>
    <w:pPr>
      <w:numPr>
        <w:numId w:val="103"/>
      </w:numPr>
    </w:pPr>
  </w:style>
  <w:style w:type="numbering" w:customStyle="1" w:styleId="1111111">
    <w:name w:val="1 / 1.1 / 1.1.11"/>
    <w:rsid w:val="00A26CD3"/>
    <w:pPr>
      <w:numPr>
        <w:numId w:val="104"/>
      </w:numPr>
    </w:pPr>
  </w:style>
  <w:style w:type="numbering" w:customStyle="1" w:styleId="Lista41">
    <w:name w:val="Lista 41"/>
    <w:rsid w:val="00A26CD3"/>
    <w:pPr>
      <w:numPr>
        <w:numId w:val="105"/>
      </w:numPr>
    </w:pPr>
  </w:style>
  <w:style w:type="numbering" w:customStyle="1" w:styleId="Estilo10">
    <w:name w:val="Estilo10"/>
    <w:uiPriority w:val="99"/>
    <w:rsid w:val="00A26CD3"/>
    <w:pPr>
      <w:numPr>
        <w:numId w:val="106"/>
      </w:numPr>
    </w:pPr>
  </w:style>
  <w:style w:type="numbering" w:customStyle="1" w:styleId="Estilo7">
    <w:name w:val="Estilo7"/>
    <w:uiPriority w:val="99"/>
    <w:rsid w:val="00A26CD3"/>
    <w:pPr>
      <w:numPr>
        <w:numId w:val="107"/>
      </w:numPr>
    </w:pPr>
  </w:style>
  <w:style w:type="numbering" w:customStyle="1" w:styleId="Listaactual11">
    <w:name w:val="Lista actual11"/>
    <w:rsid w:val="00A26CD3"/>
    <w:pPr>
      <w:numPr>
        <w:numId w:val="108"/>
      </w:numPr>
    </w:pPr>
  </w:style>
  <w:style w:type="numbering" w:customStyle="1" w:styleId="WW8Num1">
    <w:name w:val="WW8Num1"/>
    <w:rsid w:val="00A26CD3"/>
    <w:pPr>
      <w:numPr>
        <w:numId w:val="109"/>
      </w:numPr>
    </w:pPr>
  </w:style>
  <w:style w:type="numbering" w:customStyle="1" w:styleId="BIS">
    <w:name w:val="BIS"/>
    <w:uiPriority w:val="99"/>
    <w:rsid w:val="00A26CD3"/>
    <w:pPr>
      <w:numPr>
        <w:numId w:val="110"/>
      </w:numPr>
    </w:pPr>
  </w:style>
  <w:style w:type="numbering" w:customStyle="1" w:styleId="Letra">
    <w:name w:val="Letra"/>
    <w:rsid w:val="00A26CD3"/>
    <w:pPr>
      <w:numPr>
        <w:numId w:val="111"/>
      </w:numPr>
    </w:pPr>
  </w:style>
  <w:style w:type="numbering" w:customStyle="1" w:styleId="List1">
    <w:name w:val="List 1"/>
    <w:rsid w:val="00A26CD3"/>
    <w:pPr>
      <w:numPr>
        <w:numId w:val="112"/>
      </w:numPr>
    </w:pPr>
  </w:style>
  <w:style w:type="numbering" w:customStyle="1" w:styleId="List6">
    <w:name w:val="List 6"/>
    <w:rsid w:val="00A26CD3"/>
    <w:pPr>
      <w:numPr>
        <w:numId w:val="113"/>
      </w:numPr>
    </w:pPr>
  </w:style>
  <w:style w:type="numbering" w:customStyle="1" w:styleId="1111114">
    <w:name w:val="1 / 1.1 / 1.1.14"/>
    <w:rsid w:val="00A26CD3"/>
    <w:pPr>
      <w:numPr>
        <w:numId w:val="114"/>
      </w:numPr>
    </w:pPr>
  </w:style>
  <w:style w:type="numbering" w:customStyle="1" w:styleId="Estilo13">
    <w:name w:val="Estilo13"/>
    <w:uiPriority w:val="99"/>
    <w:rsid w:val="00A26CD3"/>
    <w:pPr>
      <w:numPr>
        <w:numId w:val="115"/>
      </w:numPr>
    </w:pPr>
  </w:style>
  <w:style w:type="table" w:customStyle="1" w:styleId="Tablaconcuadrcula1clara2">
    <w:name w:val="Tabla con cuadrícula 1 clara2"/>
    <w:basedOn w:val="Tablanormal"/>
    <w:uiPriority w:val="46"/>
    <w:rsid w:val="00A26CD3"/>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ablasnegrasCar">
    <w:name w:val="tablas negras Car"/>
    <w:link w:val="tablasnegras"/>
    <w:semiHidden/>
    <w:locked/>
    <w:rsid w:val="00A26CD3"/>
    <w:rPr>
      <w:rFonts w:ascii="Arial" w:eastAsia="Times New Roman" w:hAnsi="Arial" w:cs="Times New Roman"/>
      <w:b/>
      <w:color w:val="FFFFFF"/>
      <w:sz w:val="16"/>
      <w:szCs w:val="18"/>
      <w:lang w:eastAsia="es-ES"/>
    </w:rPr>
  </w:style>
  <w:style w:type="paragraph" w:customStyle="1" w:styleId="tablasnegras">
    <w:name w:val="tablas negras"/>
    <w:basedOn w:val="Normal"/>
    <w:link w:val="tablasnegrasCar"/>
    <w:semiHidden/>
    <w:qFormat/>
    <w:rsid w:val="00A26CD3"/>
    <w:pPr>
      <w:spacing w:after="0" w:line="240" w:lineRule="auto"/>
      <w:contextualSpacing/>
      <w:mirrorIndents/>
      <w:jc w:val="center"/>
      <w:outlineLvl w:val="3"/>
    </w:pPr>
    <w:rPr>
      <w:rFonts w:ascii="Arial" w:eastAsia="Times New Roman" w:hAnsi="Arial" w:cs="Times New Roman"/>
      <w:b/>
      <w:color w:val="FFFFFF"/>
      <w:sz w:val="16"/>
      <w:szCs w:val="18"/>
      <w:lang w:eastAsia="es-ES"/>
    </w:rPr>
  </w:style>
  <w:style w:type="character" w:customStyle="1" w:styleId="Hipervnculovisitado1">
    <w:name w:val="Hipervínculo visitado1"/>
    <w:basedOn w:val="Fuentedeprrafopredeter"/>
    <w:uiPriority w:val="99"/>
    <w:semiHidden/>
    <w:rsid w:val="00A26CD3"/>
    <w:rPr>
      <w:color w:val="800080"/>
      <w:u w:val="single"/>
    </w:rPr>
  </w:style>
  <w:style w:type="table" w:customStyle="1" w:styleId="Tablaconcuadrcula1clara-nfasis62">
    <w:name w:val="Tabla con cuadrícula 1 clara - Énfasis 62"/>
    <w:basedOn w:val="Tablanormal"/>
    <w:uiPriority w:val="46"/>
    <w:rsid w:val="00A26CD3"/>
    <w:pPr>
      <w:spacing w:after="0" w:line="240" w:lineRule="auto"/>
    </w:pPr>
    <w:rPr>
      <w:sz w:val="24"/>
      <w:szCs w:val="24"/>
      <w:lang w:val="es-ES_tradn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numbering" w:customStyle="1" w:styleId="Listaactual2">
    <w:name w:val="Lista actual2"/>
    <w:uiPriority w:val="99"/>
    <w:rsid w:val="00A26CD3"/>
    <w:pPr>
      <w:numPr>
        <w:numId w:val="116"/>
      </w:numPr>
    </w:pPr>
  </w:style>
  <w:style w:type="character" w:customStyle="1" w:styleId="TextosinformatoCar2">
    <w:name w:val="Texto sin formato Car2"/>
    <w:aliases w:val=" Car Car Car Car1, Car Car Car Car Car Car Car Car Car Car1,Car Car Car Car Car Car Car Car Car Car1, Car Car Car Car Car Car Car Car Car Car Car Car Car Car Car,Texto sin formato3 Car Car"/>
    <w:basedOn w:val="Fuentedeprrafopredeter"/>
    <w:rsid w:val="00A26CD3"/>
    <w:rPr>
      <w:rFonts w:ascii="Courier New" w:eastAsia="Times New Roman" w:hAnsi="Courier New" w:cs="Times New Roman"/>
      <w:kern w:val="0"/>
      <w:sz w:val="20"/>
      <w:szCs w:val="20"/>
      <w:lang w:val="es-ES" w:eastAsia="es-ES"/>
      <w14:ligatures w14:val="none"/>
    </w:rPr>
  </w:style>
  <w:style w:type="numbering" w:customStyle="1" w:styleId="Sinlista111">
    <w:name w:val="Sin lista111"/>
    <w:next w:val="Sinlista"/>
    <w:uiPriority w:val="99"/>
    <w:semiHidden/>
    <w:unhideWhenUsed/>
    <w:rsid w:val="00A26CD3"/>
  </w:style>
  <w:style w:type="character" w:customStyle="1" w:styleId="Destinatario">
    <w:name w:val="Destinatario"/>
    <w:uiPriority w:val="1"/>
    <w:rsid w:val="00A26CD3"/>
    <w:rPr>
      <w:rFonts w:ascii="Gotham Medium" w:hAnsi="Gotham Medium"/>
      <w:b/>
      <w:caps/>
      <w:smallCaps w:val="0"/>
      <w:color w:val="auto"/>
      <w:sz w:val="24"/>
    </w:rPr>
  </w:style>
  <w:style w:type="numbering" w:customStyle="1" w:styleId="Sinlista1111">
    <w:name w:val="Sin lista1111"/>
    <w:next w:val="Sinlista"/>
    <w:uiPriority w:val="99"/>
    <w:semiHidden/>
    <w:unhideWhenUsed/>
    <w:rsid w:val="00A26CD3"/>
  </w:style>
  <w:style w:type="numbering" w:customStyle="1" w:styleId="Sinlista11111">
    <w:name w:val="Sin lista11111"/>
    <w:next w:val="Sinlista"/>
    <w:uiPriority w:val="99"/>
    <w:semiHidden/>
    <w:unhideWhenUsed/>
    <w:rsid w:val="00A26CD3"/>
  </w:style>
  <w:style w:type="numbering" w:customStyle="1" w:styleId="Sinlista111111">
    <w:name w:val="Sin lista111111"/>
    <w:next w:val="Sinlista"/>
    <w:uiPriority w:val="99"/>
    <w:semiHidden/>
    <w:unhideWhenUsed/>
    <w:rsid w:val="00A26CD3"/>
  </w:style>
  <w:style w:type="paragraph" w:customStyle="1" w:styleId="Puesto1">
    <w:name w:val="Puesto1"/>
    <w:aliases w:val="Title"/>
    <w:basedOn w:val="Normal"/>
    <w:next w:val="Normal"/>
    <w:uiPriority w:val="10"/>
    <w:qFormat/>
    <w:rsid w:val="00A26CD3"/>
    <w:pPr>
      <w:spacing w:after="0" w:line="240" w:lineRule="auto"/>
      <w:contextualSpacing/>
    </w:pPr>
    <w:rPr>
      <w:rFonts w:ascii="Calibri Light" w:eastAsia="Times New Roman" w:hAnsi="Calibri Light" w:cs="Times New Roman"/>
      <w:spacing w:val="-10"/>
      <w:kern w:val="28"/>
      <w:sz w:val="56"/>
      <w:szCs w:val="56"/>
    </w:rPr>
  </w:style>
  <w:style w:type="numbering" w:customStyle="1" w:styleId="Sinlista1111111">
    <w:name w:val="Sin lista1111111"/>
    <w:next w:val="Sinlista"/>
    <w:uiPriority w:val="99"/>
    <w:semiHidden/>
    <w:unhideWhenUsed/>
    <w:rsid w:val="00A26CD3"/>
  </w:style>
  <w:style w:type="paragraph" w:customStyle="1" w:styleId="Remiteabreviado">
    <w:name w:val="Remite abreviado"/>
    <w:basedOn w:val="Normal"/>
    <w:uiPriority w:val="99"/>
    <w:rsid w:val="00A26CD3"/>
    <w:pPr>
      <w:spacing w:after="0" w:line="240" w:lineRule="auto"/>
    </w:pPr>
    <w:rPr>
      <w:rFonts w:ascii="Arial" w:eastAsia="Times New Roman" w:hAnsi="Arial" w:cs="Times New Roman"/>
      <w:sz w:val="20"/>
      <w:szCs w:val="24"/>
      <w:lang w:val="es-ES" w:eastAsia="es-ES"/>
    </w:rPr>
  </w:style>
  <w:style w:type="paragraph" w:customStyle="1" w:styleId="BankNormal">
    <w:name w:val="BankNormal"/>
    <w:basedOn w:val="Normal"/>
    <w:uiPriority w:val="99"/>
    <w:rsid w:val="00A26CD3"/>
    <w:pPr>
      <w:spacing w:after="240" w:line="240" w:lineRule="auto"/>
    </w:pPr>
    <w:rPr>
      <w:rFonts w:ascii="Times New Roman" w:eastAsia="Times New Roman" w:hAnsi="Times New Roman" w:cs="Times New Roman"/>
      <w:sz w:val="24"/>
      <w:szCs w:val="20"/>
      <w:lang w:val="en-US"/>
    </w:rPr>
  </w:style>
  <w:style w:type="character" w:customStyle="1" w:styleId="st1">
    <w:name w:val="st1"/>
    <w:basedOn w:val="Fuentedeprrafopredeter"/>
    <w:rsid w:val="00A26CD3"/>
  </w:style>
  <w:style w:type="table" w:styleId="Tablaconcolumnas4">
    <w:name w:val="Table Columns 4"/>
    <w:basedOn w:val="Tablanormal"/>
    <w:rsid w:val="00A26CD3"/>
    <w:pPr>
      <w:spacing w:after="0" w:line="240" w:lineRule="auto"/>
    </w:pPr>
    <w:rPr>
      <w:rFonts w:ascii="Times New Roman" w:eastAsia="Times New Roman" w:hAnsi="Times New Roman" w:cs="Times New Roman"/>
      <w:sz w:val="20"/>
      <w:szCs w:val="20"/>
      <w:lang w:eastAsia="es-MX"/>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customStyle="1" w:styleId="articulo-texto">
    <w:name w:val="articulo-texto"/>
    <w:rsid w:val="00A26CD3"/>
  </w:style>
  <w:style w:type="character" w:customStyle="1" w:styleId="toctoggle">
    <w:name w:val="toctoggle"/>
    <w:rsid w:val="00A26CD3"/>
  </w:style>
  <w:style w:type="character" w:customStyle="1" w:styleId="tocnumber">
    <w:name w:val="tocnumber"/>
    <w:rsid w:val="00A26CD3"/>
  </w:style>
  <w:style w:type="character" w:customStyle="1" w:styleId="toctext">
    <w:name w:val="toctext"/>
    <w:rsid w:val="00A26CD3"/>
  </w:style>
  <w:style w:type="character" w:customStyle="1" w:styleId="mw-headline">
    <w:name w:val="mw-headline"/>
    <w:rsid w:val="00A26CD3"/>
  </w:style>
  <w:style w:type="character" w:customStyle="1" w:styleId="mw-editsection">
    <w:name w:val="mw-editsection"/>
    <w:rsid w:val="00A26CD3"/>
  </w:style>
  <w:style w:type="character" w:customStyle="1" w:styleId="mw-editsection-bracket">
    <w:name w:val="mw-editsection-bracket"/>
    <w:rsid w:val="00A26CD3"/>
  </w:style>
  <w:style w:type="character" w:customStyle="1" w:styleId="mw-cite-backlink">
    <w:name w:val="mw-cite-backlink"/>
    <w:rsid w:val="00A26CD3"/>
  </w:style>
  <w:style w:type="character" w:customStyle="1" w:styleId="cite-accessibility-label">
    <w:name w:val="cite-accessibility-label"/>
    <w:rsid w:val="00A26CD3"/>
  </w:style>
  <w:style w:type="character" w:customStyle="1" w:styleId="reference-text">
    <w:name w:val="reference-text"/>
    <w:rsid w:val="00A26CD3"/>
  </w:style>
  <w:style w:type="paragraph" w:customStyle="1" w:styleId="Style6">
    <w:name w:val="Style 6"/>
    <w:basedOn w:val="Normal"/>
    <w:uiPriority w:val="99"/>
    <w:rsid w:val="00A26CD3"/>
    <w:pPr>
      <w:widowControl w:val="0"/>
      <w:autoSpaceDE w:val="0"/>
      <w:autoSpaceDN w:val="0"/>
      <w:spacing w:after="0" w:line="240" w:lineRule="auto"/>
      <w:jc w:val="center"/>
    </w:pPr>
    <w:rPr>
      <w:rFonts w:ascii="Tahoma" w:eastAsia="Times New Roman" w:hAnsi="Tahoma" w:cs="Tahoma"/>
      <w:sz w:val="19"/>
      <w:szCs w:val="19"/>
      <w:lang w:eastAsia="es-MX"/>
    </w:rPr>
  </w:style>
  <w:style w:type="paragraph" w:customStyle="1" w:styleId="Style7">
    <w:name w:val="Style 7"/>
    <w:basedOn w:val="Normal"/>
    <w:uiPriority w:val="99"/>
    <w:rsid w:val="00A26CD3"/>
    <w:pPr>
      <w:widowControl w:val="0"/>
      <w:autoSpaceDE w:val="0"/>
      <w:autoSpaceDN w:val="0"/>
      <w:adjustRightInd w:val="0"/>
      <w:spacing w:after="0" w:line="240" w:lineRule="auto"/>
    </w:pPr>
    <w:rPr>
      <w:rFonts w:ascii="Verdana" w:eastAsia="Times New Roman" w:hAnsi="Verdana" w:cs="Verdana"/>
      <w:sz w:val="15"/>
      <w:szCs w:val="15"/>
      <w:lang w:eastAsia="es-MX"/>
    </w:rPr>
  </w:style>
  <w:style w:type="paragraph" w:customStyle="1" w:styleId="Style8">
    <w:name w:val="Style 8"/>
    <w:basedOn w:val="Normal"/>
    <w:uiPriority w:val="99"/>
    <w:rsid w:val="00A26CD3"/>
    <w:pPr>
      <w:widowControl w:val="0"/>
      <w:autoSpaceDE w:val="0"/>
      <w:autoSpaceDN w:val="0"/>
      <w:spacing w:before="36" w:after="0" w:line="240" w:lineRule="auto"/>
      <w:ind w:left="144"/>
    </w:pPr>
    <w:rPr>
      <w:rFonts w:ascii="Tahoma" w:eastAsia="Times New Roman" w:hAnsi="Tahoma" w:cs="Tahoma"/>
      <w:sz w:val="19"/>
      <w:szCs w:val="19"/>
      <w:lang w:eastAsia="es-MX"/>
    </w:rPr>
  </w:style>
  <w:style w:type="paragraph" w:customStyle="1" w:styleId="Style9">
    <w:name w:val="Style 9"/>
    <w:basedOn w:val="Normal"/>
    <w:uiPriority w:val="99"/>
    <w:rsid w:val="00A26CD3"/>
    <w:pPr>
      <w:widowControl w:val="0"/>
      <w:autoSpaceDE w:val="0"/>
      <w:autoSpaceDN w:val="0"/>
      <w:spacing w:before="324" w:after="0" w:line="271" w:lineRule="auto"/>
      <w:ind w:left="864" w:hanging="648"/>
    </w:pPr>
    <w:rPr>
      <w:rFonts w:ascii="Tahoma" w:eastAsia="Times New Roman" w:hAnsi="Tahoma" w:cs="Tahoma"/>
      <w:sz w:val="19"/>
      <w:szCs w:val="19"/>
      <w:lang w:eastAsia="es-MX"/>
    </w:rPr>
  </w:style>
  <w:style w:type="paragraph" w:customStyle="1" w:styleId="Style101">
    <w:name w:val="Style 10"/>
    <w:basedOn w:val="Normal"/>
    <w:uiPriority w:val="99"/>
    <w:rsid w:val="00A26CD3"/>
    <w:pPr>
      <w:widowControl w:val="0"/>
      <w:autoSpaceDE w:val="0"/>
      <w:autoSpaceDN w:val="0"/>
      <w:adjustRightInd w:val="0"/>
      <w:spacing w:after="0" w:line="240" w:lineRule="auto"/>
    </w:pPr>
    <w:rPr>
      <w:rFonts w:ascii="Verdana" w:eastAsia="Times New Roman" w:hAnsi="Verdana" w:cs="Verdana"/>
      <w:sz w:val="17"/>
      <w:szCs w:val="17"/>
      <w:lang w:eastAsia="es-MX"/>
    </w:rPr>
  </w:style>
  <w:style w:type="paragraph" w:customStyle="1" w:styleId="Style11">
    <w:name w:val="Style 11"/>
    <w:basedOn w:val="Normal"/>
    <w:uiPriority w:val="99"/>
    <w:rsid w:val="00A26CD3"/>
    <w:pPr>
      <w:widowControl w:val="0"/>
      <w:autoSpaceDE w:val="0"/>
      <w:autoSpaceDN w:val="0"/>
      <w:spacing w:before="36" w:after="0" w:line="240" w:lineRule="auto"/>
      <w:ind w:left="1080"/>
    </w:pPr>
    <w:rPr>
      <w:rFonts w:ascii="Tahoma" w:eastAsia="Times New Roman" w:hAnsi="Tahoma" w:cs="Tahoma"/>
      <w:sz w:val="19"/>
      <w:szCs w:val="19"/>
      <w:lang w:eastAsia="es-MX"/>
    </w:rPr>
  </w:style>
  <w:style w:type="paragraph" w:customStyle="1" w:styleId="Style12">
    <w:name w:val="Style 12"/>
    <w:basedOn w:val="Normal"/>
    <w:uiPriority w:val="99"/>
    <w:rsid w:val="00A26CD3"/>
    <w:pPr>
      <w:widowControl w:val="0"/>
      <w:autoSpaceDE w:val="0"/>
      <w:autoSpaceDN w:val="0"/>
      <w:spacing w:after="0" w:line="288" w:lineRule="auto"/>
      <w:ind w:left="216" w:right="288"/>
      <w:jc w:val="both"/>
    </w:pPr>
    <w:rPr>
      <w:rFonts w:ascii="Tahoma" w:eastAsia="Times New Roman" w:hAnsi="Tahoma" w:cs="Tahoma"/>
      <w:sz w:val="19"/>
      <w:szCs w:val="19"/>
      <w:lang w:eastAsia="es-MX"/>
    </w:rPr>
  </w:style>
  <w:style w:type="paragraph" w:customStyle="1" w:styleId="Style13">
    <w:name w:val="Style 13"/>
    <w:basedOn w:val="Normal"/>
    <w:uiPriority w:val="99"/>
    <w:rsid w:val="00A26CD3"/>
    <w:pPr>
      <w:widowControl w:val="0"/>
      <w:autoSpaceDE w:val="0"/>
      <w:autoSpaceDN w:val="0"/>
      <w:spacing w:before="288" w:after="0" w:line="285" w:lineRule="auto"/>
      <w:ind w:left="144" w:right="144"/>
    </w:pPr>
    <w:rPr>
      <w:rFonts w:ascii="Tahoma" w:eastAsia="Times New Roman" w:hAnsi="Tahoma" w:cs="Tahoma"/>
      <w:sz w:val="18"/>
      <w:szCs w:val="18"/>
      <w:lang w:eastAsia="es-MX"/>
    </w:rPr>
  </w:style>
  <w:style w:type="paragraph" w:customStyle="1" w:styleId="Style14">
    <w:name w:val="Style 14"/>
    <w:basedOn w:val="Normal"/>
    <w:uiPriority w:val="99"/>
    <w:rsid w:val="00A26CD3"/>
    <w:pPr>
      <w:widowControl w:val="0"/>
      <w:autoSpaceDE w:val="0"/>
      <w:autoSpaceDN w:val="0"/>
      <w:spacing w:before="288" w:after="0" w:line="273" w:lineRule="auto"/>
      <w:ind w:left="72" w:right="72"/>
      <w:jc w:val="both"/>
    </w:pPr>
    <w:rPr>
      <w:rFonts w:ascii="Tahoma" w:eastAsia="Times New Roman" w:hAnsi="Tahoma" w:cs="Tahoma"/>
      <w:sz w:val="19"/>
      <w:szCs w:val="19"/>
      <w:lang w:eastAsia="es-MX"/>
    </w:rPr>
  </w:style>
  <w:style w:type="paragraph" w:customStyle="1" w:styleId="Style15">
    <w:name w:val="Style 15"/>
    <w:basedOn w:val="Normal"/>
    <w:uiPriority w:val="99"/>
    <w:rsid w:val="00A26CD3"/>
    <w:pPr>
      <w:widowControl w:val="0"/>
      <w:autoSpaceDE w:val="0"/>
      <w:autoSpaceDN w:val="0"/>
      <w:spacing w:before="936" w:after="0" w:line="283" w:lineRule="auto"/>
      <w:ind w:left="216" w:right="1440"/>
      <w:jc w:val="both"/>
    </w:pPr>
    <w:rPr>
      <w:rFonts w:ascii="Tahoma" w:eastAsia="Times New Roman" w:hAnsi="Tahoma" w:cs="Tahoma"/>
      <w:sz w:val="19"/>
      <w:szCs w:val="19"/>
      <w:lang w:eastAsia="es-MX"/>
    </w:rPr>
  </w:style>
  <w:style w:type="paragraph" w:customStyle="1" w:styleId="Style16">
    <w:name w:val="Style 16"/>
    <w:basedOn w:val="Normal"/>
    <w:uiPriority w:val="99"/>
    <w:rsid w:val="00A26CD3"/>
    <w:pPr>
      <w:widowControl w:val="0"/>
      <w:autoSpaceDE w:val="0"/>
      <w:autoSpaceDN w:val="0"/>
      <w:spacing w:before="252" w:after="0" w:line="278" w:lineRule="auto"/>
      <w:ind w:left="144" w:right="1440" w:firstLine="72"/>
      <w:jc w:val="both"/>
    </w:pPr>
    <w:rPr>
      <w:rFonts w:ascii="Tahoma" w:eastAsia="Times New Roman" w:hAnsi="Tahoma" w:cs="Tahoma"/>
      <w:sz w:val="19"/>
      <w:szCs w:val="19"/>
      <w:lang w:eastAsia="es-MX"/>
    </w:rPr>
  </w:style>
  <w:style w:type="paragraph" w:customStyle="1" w:styleId="Style17">
    <w:name w:val="Style 17"/>
    <w:basedOn w:val="Normal"/>
    <w:uiPriority w:val="99"/>
    <w:rsid w:val="00A26CD3"/>
    <w:pPr>
      <w:widowControl w:val="0"/>
      <w:autoSpaceDE w:val="0"/>
      <w:autoSpaceDN w:val="0"/>
      <w:spacing w:before="288" w:after="792" w:line="278" w:lineRule="auto"/>
      <w:ind w:left="72" w:right="1512"/>
      <w:jc w:val="both"/>
    </w:pPr>
    <w:rPr>
      <w:rFonts w:ascii="Tahoma" w:eastAsia="Times New Roman" w:hAnsi="Tahoma" w:cs="Tahoma"/>
      <w:sz w:val="19"/>
      <w:szCs w:val="19"/>
      <w:lang w:eastAsia="es-MX"/>
    </w:rPr>
  </w:style>
  <w:style w:type="character" w:customStyle="1" w:styleId="CharacterStyle3">
    <w:name w:val="Character Style 3"/>
    <w:uiPriority w:val="99"/>
    <w:rsid w:val="00A26CD3"/>
    <w:rPr>
      <w:rFonts w:ascii="Verdana" w:hAnsi="Verdana" w:cs="Verdana"/>
      <w:sz w:val="15"/>
      <w:szCs w:val="15"/>
    </w:rPr>
  </w:style>
  <w:style w:type="character" w:customStyle="1" w:styleId="CharacterStyle5">
    <w:name w:val="Character Style 5"/>
    <w:uiPriority w:val="99"/>
    <w:rsid w:val="00A26CD3"/>
    <w:rPr>
      <w:rFonts w:ascii="Tahoma" w:hAnsi="Tahoma" w:cs="Tahoma"/>
      <w:sz w:val="18"/>
      <w:szCs w:val="18"/>
    </w:rPr>
  </w:style>
  <w:style w:type="numbering" w:customStyle="1" w:styleId="Sinlista21">
    <w:name w:val="Sin lista21"/>
    <w:next w:val="Sinlista"/>
    <w:uiPriority w:val="99"/>
    <w:semiHidden/>
    <w:unhideWhenUsed/>
    <w:rsid w:val="00A26CD3"/>
  </w:style>
  <w:style w:type="numbering" w:customStyle="1" w:styleId="Sinlista31">
    <w:name w:val="Sin lista31"/>
    <w:next w:val="Sinlista"/>
    <w:uiPriority w:val="99"/>
    <w:semiHidden/>
    <w:unhideWhenUsed/>
    <w:rsid w:val="00A26CD3"/>
  </w:style>
  <w:style w:type="numbering" w:customStyle="1" w:styleId="Sinlista12">
    <w:name w:val="Sin lista12"/>
    <w:next w:val="Sinlista"/>
    <w:uiPriority w:val="99"/>
    <w:semiHidden/>
    <w:unhideWhenUsed/>
    <w:rsid w:val="00A26CD3"/>
  </w:style>
  <w:style w:type="character" w:customStyle="1" w:styleId="pg-1fc1">
    <w:name w:val="pg-1fc1"/>
    <w:rsid w:val="00A26CD3"/>
  </w:style>
  <w:style w:type="paragraph" w:customStyle="1" w:styleId="m-2784386232676733136msolistnumber">
    <w:name w:val="m_-2784386232676733136msolistnumber"/>
    <w:basedOn w:val="Normal"/>
    <w:uiPriority w:val="99"/>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arCar1Car">
    <w:name w:val="Car Car1 Car"/>
    <w:basedOn w:val="Normal"/>
    <w:uiPriority w:val="99"/>
    <w:rsid w:val="00A26CD3"/>
    <w:pPr>
      <w:autoSpaceDE w:val="0"/>
      <w:autoSpaceDN w:val="0"/>
      <w:adjustRightInd w:val="0"/>
      <w:spacing w:line="240" w:lineRule="exact"/>
      <w:jc w:val="right"/>
    </w:pPr>
    <w:rPr>
      <w:rFonts w:ascii="Verdana" w:eastAsia="MS Mincho" w:hAnsi="Verdana" w:cs="Arial"/>
      <w:sz w:val="20"/>
      <w:szCs w:val="20"/>
    </w:rPr>
  </w:style>
  <w:style w:type="table" w:customStyle="1" w:styleId="Listamedia11">
    <w:name w:val="Lista media 11"/>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211">
    <w:name w:val="Sin lista211"/>
    <w:next w:val="Sinlista"/>
    <w:uiPriority w:val="99"/>
    <w:semiHidden/>
    <w:rsid w:val="00A26CD3"/>
  </w:style>
  <w:style w:type="table" w:customStyle="1" w:styleId="Tablaconcuadrcula1112">
    <w:name w:val="Tabla con cuadrícula1112"/>
    <w:basedOn w:val="Tablanormal"/>
    <w:next w:val="Tablaconcuadrcula"/>
    <w:uiPriority w:val="59"/>
    <w:rsid w:val="00A26CD3"/>
    <w:pPr>
      <w:spacing w:after="0" w:line="240" w:lineRule="auto"/>
    </w:pPr>
    <w:rPr>
      <w:rFonts w:ascii="Calibri" w:eastAsia="Times New Roman" w:hAnsi="Calibri" w:cs="Times New Roman"/>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amedia111">
    <w:name w:val="Lista media 111"/>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
    <w:name w:val="Lista media 12"/>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121">
    <w:name w:val="Sin lista121"/>
    <w:next w:val="Sinlista"/>
    <w:uiPriority w:val="99"/>
    <w:semiHidden/>
    <w:rsid w:val="00A26CD3"/>
  </w:style>
  <w:style w:type="numbering" w:customStyle="1" w:styleId="Sinlista2111">
    <w:name w:val="Sin lista2111"/>
    <w:next w:val="Sinlista"/>
    <w:uiPriority w:val="99"/>
    <w:semiHidden/>
    <w:rsid w:val="00A26CD3"/>
  </w:style>
  <w:style w:type="table" w:customStyle="1" w:styleId="Listamedia121">
    <w:name w:val="Lista media 121"/>
    <w:basedOn w:val="Tablanormal"/>
    <w:next w:val="Listamedia12"/>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13">
    <w:name w:val="Sin lista13"/>
    <w:next w:val="Sinlista"/>
    <w:uiPriority w:val="99"/>
    <w:semiHidden/>
    <w:unhideWhenUsed/>
    <w:rsid w:val="00A26CD3"/>
  </w:style>
  <w:style w:type="numbering" w:customStyle="1" w:styleId="Sinlista41">
    <w:name w:val="Sin lista41"/>
    <w:next w:val="Sinlista"/>
    <w:uiPriority w:val="99"/>
    <w:semiHidden/>
    <w:unhideWhenUsed/>
    <w:rsid w:val="00A26CD3"/>
  </w:style>
  <w:style w:type="numbering" w:customStyle="1" w:styleId="Sinlista14">
    <w:name w:val="Sin lista14"/>
    <w:next w:val="Sinlista"/>
    <w:uiPriority w:val="99"/>
    <w:semiHidden/>
    <w:unhideWhenUsed/>
    <w:rsid w:val="00A26CD3"/>
  </w:style>
  <w:style w:type="numbering" w:customStyle="1" w:styleId="Sinlista51">
    <w:name w:val="Sin lista51"/>
    <w:next w:val="Sinlista"/>
    <w:uiPriority w:val="99"/>
    <w:semiHidden/>
    <w:unhideWhenUsed/>
    <w:rsid w:val="00A26CD3"/>
  </w:style>
  <w:style w:type="numbering" w:customStyle="1" w:styleId="Sinlista15">
    <w:name w:val="Sin lista15"/>
    <w:next w:val="Sinlista"/>
    <w:uiPriority w:val="99"/>
    <w:semiHidden/>
    <w:unhideWhenUsed/>
    <w:rsid w:val="00A26CD3"/>
  </w:style>
  <w:style w:type="numbering" w:customStyle="1" w:styleId="Sinlista112">
    <w:name w:val="Sin lista112"/>
    <w:next w:val="Sinlista"/>
    <w:uiPriority w:val="99"/>
    <w:semiHidden/>
    <w:unhideWhenUsed/>
    <w:rsid w:val="00A26CD3"/>
  </w:style>
  <w:style w:type="numbering" w:customStyle="1" w:styleId="Sinlista1112">
    <w:name w:val="Sin lista1112"/>
    <w:next w:val="Sinlista"/>
    <w:uiPriority w:val="99"/>
    <w:semiHidden/>
    <w:rsid w:val="00A26CD3"/>
  </w:style>
  <w:style w:type="numbering" w:customStyle="1" w:styleId="Sinlista22">
    <w:name w:val="Sin lista22"/>
    <w:next w:val="Sinlista"/>
    <w:uiPriority w:val="99"/>
    <w:semiHidden/>
    <w:unhideWhenUsed/>
    <w:rsid w:val="00A26CD3"/>
  </w:style>
  <w:style w:type="numbering" w:customStyle="1" w:styleId="Sinlista1211">
    <w:name w:val="Sin lista1211"/>
    <w:next w:val="Sinlista"/>
    <w:semiHidden/>
    <w:rsid w:val="00A26CD3"/>
  </w:style>
  <w:style w:type="numbering" w:customStyle="1" w:styleId="Sinlista21111">
    <w:name w:val="Sin lista21111"/>
    <w:next w:val="Sinlista"/>
    <w:uiPriority w:val="99"/>
    <w:semiHidden/>
    <w:rsid w:val="00A26CD3"/>
  </w:style>
  <w:style w:type="numbering" w:customStyle="1" w:styleId="Sinlista11111111">
    <w:name w:val="Sin lista11111111"/>
    <w:next w:val="Sinlista"/>
    <w:uiPriority w:val="99"/>
    <w:semiHidden/>
    <w:unhideWhenUsed/>
    <w:rsid w:val="00A26CD3"/>
  </w:style>
  <w:style w:type="numbering" w:customStyle="1" w:styleId="Sinlista311">
    <w:name w:val="Sin lista311"/>
    <w:next w:val="Sinlista"/>
    <w:uiPriority w:val="99"/>
    <w:semiHidden/>
    <w:unhideWhenUsed/>
    <w:rsid w:val="00A26CD3"/>
  </w:style>
  <w:style w:type="numbering" w:customStyle="1" w:styleId="Sinlista131">
    <w:name w:val="Sin lista131"/>
    <w:next w:val="Sinlista"/>
    <w:uiPriority w:val="99"/>
    <w:semiHidden/>
    <w:unhideWhenUsed/>
    <w:rsid w:val="00A26CD3"/>
  </w:style>
  <w:style w:type="numbering" w:customStyle="1" w:styleId="Sinlista411">
    <w:name w:val="Sin lista411"/>
    <w:next w:val="Sinlista"/>
    <w:uiPriority w:val="99"/>
    <w:semiHidden/>
    <w:unhideWhenUsed/>
    <w:rsid w:val="00A26CD3"/>
  </w:style>
  <w:style w:type="numbering" w:customStyle="1" w:styleId="Sinlista141">
    <w:name w:val="Sin lista141"/>
    <w:next w:val="Sinlista"/>
    <w:uiPriority w:val="99"/>
    <w:semiHidden/>
    <w:unhideWhenUsed/>
    <w:rsid w:val="00A26CD3"/>
  </w:style>
  <w:style w:type="table" w:customStyle="1" w:styleId="Tabladecuadrcula21">
    <w:name w:val="Tabla de cuadrícula 21"/>
    <w:basedOn w:val="Tablanormal"/>
    <w:uiPriority w:val="47"/>
    <w:rsid w:val="00A26CD3"/>
    <w:pPr>
      <w:spacing w:after="0" w:line="240" w:lineRule="auto"/>
    </w:pPr>
    <w:rPr>
      <w:rFonts w:ascii="Calibri" w:eastAsia="Calibri" w:hAnsi="Calibri" w:cs="Ari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6concolores-nfasis21">
    <w:name w:val="Tabla de cuadrícula 6 con colores - Énfasis 21"/>
    <w:basedOn w:val="Tablanormal"/>
    <w:uiPriority w:val="51"/>
    <w:rsid w:val="00A26CD3"/>
    <w:pPr>
      <w:spacing w:after="0" w:line="240" w:lineRule="auto"/>
    </w:pPr>
    <w:rPr>
      <w:rFonts w:ascii="Calibri" w:eastAsia="Calibri" w:hAnsi="Calibri" w:cs="Arial"/>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decuadrcula5oscura-nfasis21">
    <w:name w:val="Tabla de cuadrícula 5 oscura - Énfasis 21"/>
    <w:basedOn w:val="Tablanormal"/>
    <w:uiPriority w:val="50"/>
    <w:rsid w:val="00A26CD3"/>
    <w:pPr>
      <w:spacing w:after="0" w:line="240" w:lineRule="auto"/>
    </w:pPr>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Tabladecuadrcula6concolores-nfasis61">
    <w:name w:val="Tabla de cuadrícula 6 con colores - Énfasis 61"/>
    <w:basedOn w:val="Tablanormal"/>
    <w:uiPriority w:val="51"/>
    <w:rsid w:val="00A26CD3"/>
    <w:pPr>
      <w:spacing w:after="0" w:line="240" w:lineRule="auto"/>
    </w:pPr>
    <w:rPr>
      <w:rFonts w:ascii="Calibri" w:eastAsia="Calibri" w:hAnsi="Calibri" w:cs="Arial"/>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adecuadrcula211">
    <w:name w:val="Tabla de cuadrícula 211"/>
    <w:basedOn w:val="Tablanormal"/>
    <w:uiPriority w:val="47"/>
    <w:rsid w:val="00A26CD3"/>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1">
    <w:name w:val="Tabla de cuadrícula 411"/>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6concolores-nfasis211">
    <w:name w:val="Tabla de cuadrícula 6 con colores - Énfasis 211"/>
    <w:basedOn w:val="Tablanormal"/>
    <w:uiPriority w:val="51"/>
    <w:rsid w:val="00A26CD3"/>
    <w:pPr>
      <w:spacing w:after="0" w:line="240" w:lineRule="auto"/>
    </w:pPr>
    <w:rPr>
      <w:rFonts w:ascii="Calibri" w:eastAsia="Calibri" w:hAnsi="Calibri" w:cs="Times New Roman"/>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decuadrcula5oscura-nfasis211">
    <w:name w:val="Tabla de cuadrícula 5 oscura - Énfasis 211"/>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Cuadrculadetablaclara11">
    <w:name w:val="Cuadrícula de tabla clara11"/>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6concolores-nfasis611">
    <w:name w:val="Tabla de cuadrícula 6 con colores - Énfasis 611"/>
    <w:basedOn w:val="Tablanormal"/>
    <w:uiPriority w:val="51"/>
    <w:rsid w:val="00A26CD3"/>
    <w:pPr>
      <w:spacing w:after="0" w:line="240" w:lineRule="auto"/>
    </w:pPr>
    <w:rPr>
      <w:rFonts w:ascii="Calibri" w:eastAsia="Calibri" w:hAnsi="Calibri" w:cs="Times New Roman"/>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Normal4">
    <w:name w:val="Table Normal4"/>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DC11">
    <w:name w:val="TDC 11"/>
    <w:basedOn w:val="Normal"/>
    <w:next w:val="Normal"/>
    <w:autoRedefine/>
    <w:uiPriority w:val="39"/>
    <w:unhideWhenUsed/>
    <w:rsid w:val="00A26CD3"/>
    <w:pPr>
      <w:spacing w:after="100" w:line="240" w:lineRule="auto"/>
      <w:jc w:val="both"/>
    </w:pPr>
    <w:rPr>
      <w:rFonts w:ascii="HelveticaNeueLT Std Ext" w:eastAsia="Calibri" w:hAnsi="HelveticaNeueLT Std Ext" w:cs="Arial"/>
      <w:sz w:val="24"/>
    </w:rPr>
  </w:style>
  <w:style w:type="paragraph" w:customStyle="1" w:styleId="TDC21">
    <w:name w:val="TDC 21"/>
    <w:basedOn w:val="Normal"/>
    <w:next w:val="Normal"/>
    <w:autoRedefine/>
    <w:uiPriority w:val="39"/>
    <w:unhideWhenUsed/>
    <w:rsid w:val="00A26CD3"/>
    <w:pPr>
      <w:spacing w:after="100" w:line="240" w:lineRule="auto"/>
      <w:ind w:left="240"/>
      <w:jc w:val="both"/>
    </w:pPr>
    <w:rPr>
      <w:rFonts w:ascii="HelveticaNeueLT Std Ext" w:eastAsia="Calibri" w:hAnsi="HelveticaNeueLT Std Ext" w:cs="Arial"/>
      <w:sz w:val="24"/>
    </w:rPr>
  </w:style>
  <w:style w:type="table" w:customStyle="1" w:styleId="TableGrid1">
    <w:name w:val="TableGrid1"/>
    <w:rsid w:val="00A26CD3"/>
    <w:pPr>
      <w:spacing w:after="0" w:line="240" w:lineRule="auto"/>
    </w:pPr>
    <w:rPr>
      <w:rFonts w:ascii="Calibri" w:eastAsia="Times New Roman" w:hAnsi="Calibri" w:cs="Arial"/>
      <w:lang w:eastAsia="es-MX"/>
    </w:rPr>
    <w:tblPr>
      <w:tblCellMar>
        <w:top w:w="0" w:type="dxa"/>
        <w:left w:w="0" w:type="dxa"/>
        <w:bottom w:w="0" w:type="dxa"/>
        <w:right w:w="0" w:type="dxa"/>
      </w:tblCellMar>
    </w:tblPr>
  </w:style>
  <w:style w:type="table" w:customStyle="1" w:styleId="Tablaconcuadrcula110">
    <w:name w:val="Tabla con cuadrícula110"/>
    <w:basedOn w:val="Tablanormal"/>
    <w:next w:val="Tablaconcuadrcula"/>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3">
    <w:name w:val="Sombreado claro3"/>
    <w:basedOn w:val="Tablanormal"/>
    <w:next w:val="Sombreadoclaro"/>
    <w:uiPriority w:val="60"/>
    <w:unhideWhenUsed/>
    <w:rsid w:val="00A26CD3"/>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5">
    <w:name w:val="Table Normal5"/>
    <w:uiPriority w:val="2"/>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Sinlista6">
    <w:name w:val="Sin lista6"/>
    <w:next w:val="Sinlista"/>
    <w:uiPriority w:val="99"/>
    <w:semiHidden/>
    <w:unhideWhenUsed/>
    <w:rsid w:val="00A26CD3"/>
  </w:style>
  <w:style w:type="numbering" w:customStyle="1" w:styleId="Sinlista7">
    <w:name w:val="Sin lista7"/>
    <w:next w:val="Sinlista"/>
    <w:uiPriority w:val="99"/>
    <w:semiHidden/>
    <w:unhideWhenUsed/>
    <w:rsid w:val="00A26CD3"/>
  </w:style>
  <w:style w:type="numbering" w:customStyle="1" w:styleId="Sinlista16">
    <w:name w:val="Sin lista16"/>
    <w:next w:val="Sinlista"/>
    <w:uiPriority w:val="99"/>
    <w:semiHidden/>
    <w:unhideWhenUsed/>
    <w:rsid w:val="00A26CD3"/>
  </w:style>
  <w:style w:type="numbering" w:customStyle="1" w:styleId="Sinlista8">
    <w:name w:val="Sin lista8"/>
    <w:next w:val="Sinlista"/>
    <w:uiPriority w:val="99"/>
    <w:semiHidden/>
    <w:unhideWhenUsed/>
    <w:rsid w:val="00A26CD3"/>
  </w:style>
  <w:style w:type="numbering" w:customStyle="1" w:styleId="Sinlista9">
    <w:name w:val="Sin lista9"/>
    <w:next w:val="Sinlista"/>
    <w:uiPriority w:val="99"/>
    <w:semiHidden/>
    <w:unhideWhenUsed/>
    <w:rsid w:val="00A26CD3"/>
  </w:style>
  <w:style w:type="numbering" w:customStyle="1" w:styleId="Sinlista10">
    <w:name w:val="Sin lista10"/>
    <w:next w:val="Sinlista"/>
    <w:uiPriority w:val="99"/>
    <w:semiHidden/>
    <w:unhideWhenUsed/>
    <w:rsid w:val="00A26CD3"/>
  </w:style>
  <w:style w:type="numbering" w:customStyle="1" w:styleId="Sinlista17">
    <w:name w:val="Sin lista17"/>
    <w:next w:val="Sinlista"/>
    <w:uiPriority w:val="99"/>
    <w:semiHidden/>
    <w:unhideWhenUsed/>
    <w:rsid w:val="00A26CD3"/>
  </w:style>
  <w:style w:type="numbering" w:customStyle="1" w:styleId="Sinlista18">
    <w:name w:val="Sin lista18"/>
    <w:next w:val="Sinlista"/>
    <w:uiPriority w:val="99"/>
    <w:semiHidden/>
    <w:unhideWhenUsed/>
    <w:rsid w:val="00A26CD3"/>
  </w:style>
  <w:style w:type="numbering" w:customStyle="1" w:styleId="Sinlista19">
    <w:name w:val="Sin lista19"/>
    <w:next w:val="Sinlista"/>
    <w:uiPriority w:val="99"/>
    <w:semiHidden/>
    <w:unhideWhenUsed/>
    <w:rsid w:val="00A26CD3"/>
  </w:style>
  <w:style w:type="numbering" w:customStyle="1" w:styleId="Sinlista20">
    <w:name w:val="Sin lista20"/>
    <w:next w:val="Sinlista"/>
    <w:uiPriority w:val="99"/>
    <w:semiHidden/>
    <w:unhideWhenUsed/>
    <w:rsid w:val="00A26CD3"/>
  </w:style>
  <w:style w:type="numbering" w:customStyle="1" w:styleId="Sinlista110">
    <w:name w:val="Sin lista110"/>
    <w:next w:val="Sinlista"/>
    <w:uiPriority w:val="99"/>
    <w:semiHidden/>
    <w:unhideWhenUsed/>
    <w:rsid w:val="00A26CD3"/>
  </w:style>
  <w:style w:type="numbering" w:customStyle="1" w:styleId="Sinlista113">
    <w:name w:val="Sin lista113"/>
    <w:next w:val="Sinlista"/>
    <w:uiPriority w:val="99"/>
    <w:semiHidden/>
    <w:unhideWhenUsed/>
    <w:rsid w:val="00A26CD3"/>
  </w:style>
  <w:style w:type="numbering" w:customStyle="1" w:styleId="Sinlista1113">
    <w:name w:val="Sin lista1113"/>
    <w:next w:val="Sinlista"/>
    <w:uiPriority w:val="99"/>
    <w:semiHidden/>
    <w:unhideWhenUsed/>
    <w:rsid w:val="00A26CD3"/>
  </w:style>
  <w:style w:type="numbering" w:customStyle="1" w:styleId="Sinlista11112">
    <w:name w:val="Sin lista11112"/>
    <w:next w:val="Sinlista"/>
    <w:uiPriority w:val="99"/>
    <w:semiHidden/>
    <w:unhideWhenUsed/>
    <w:rsid w:val="00A26CD3"/>
  </w:style>
  <w:style w:type="numbering" w:customStyle="1" w:styleId="Sinlista111112">
    <w:name w:val="Sin lista111112"/>
    <w:next w:val="Sinlista"/>
    <w:uiPriority w:val="99"/>
    <w:semiHidden/>
    <w:unhideWhenUsed/>
    <w:rsid w:val="00A26CD3"/>
  </w:style>
  <w:style w:type="numbering" w:customStyle="1" w:styleId="Sinlista1111112">
    <w:name w:val="Sin lista1111112"/>
    <w:next w:val="Sinlista"/>
    <w:semiHidden/>
    <w:unhideWhenUsed/>
    <w:rsid w:val="00A26CD3"/>
  </w:style>
  <w:style w:type="numbering" w:customStyle="1" w:styleId="Sinlista23">
    <w:name w:val="Sin lista23"/>
    <w:next w:val="Sinlista"/>
    <w:uiPriority w:val="99"/>
    <w:semiHidden/>
    <w:unhideWhenUsed/>
    <w:rsid w:val="00A26CD3"/>
  </w:style>
  <w:style w:type="numbering" w:customStyle="1" w:styleId="Sinlista24">
    <w:name w:val="Sin lista24"/>
    <w:next w:val="Sinlista"/>
    <w:uiPriority w:val="99"/>
    <w:semiHidden/>
    <w:unhideWhenUsed/>
    <w:rsid w:val="00A26CD3"/>
  </w:style>
  <w:style w:type="numbering" w:customStyle="1" w:styleId="Sinlista25">
    <w:name w:val="Sin lista25"/>
    <w:next w:val="Sinlista"/>
    <w:uiPriority w:val="99"/>
    <w:semiHidden/>
    <w:unhideWhenUsed/>
    <w:rsid w:val="00A26CD3"/>
  </w:style>
  <w:style w:type="table" w:customStyle="1" w:styleId="TableNormal6">
    <w:name w:val="Table Normal6"/>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Listamedia112">
    <w:name w:val="Lista media 112"/>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3">
    <w:name w:val="Lista media 13"/>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111">
    <w:name w:val="Lista media 1111"/>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2">
    <w:name w:val="Lista media 122"/>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11">
    <w:name w:val="Lista media 1211"/>
    <w:basedOn w:val="Tablanormal"/>
    <w:next w:val="Listamedia12"/>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ill Sans" w:eastAsia="Times New Roman" w:hAnsi="Gill San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aconcuadrcula191">
    <w:name w:val="Tabla con cuadrícula191"/>
    <w:basedOn w:val="Tablanormal"/>
    <w:next w:val="Tablaconcuadrcula"/>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111">
    <w:name w:val="Tabla de cuadrícula 2111"/>
    <w:basedOn w:val="Tablanormal"/>
    <w:uiPriority w:val="47"/>
    <w:rsid w:val="00A26CD3"/>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11">
    <w:name w:val="Tabla de cuadrícula 4111"/>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6concolores-nfasis2111">
    <w:name w:val="Tabla de cuadrícula 6 con colores - Énfasis 2111"/>
    <w:basedOn w:val="Tablanormal"/>
    <w:uiPriority w:val="51"/>
    <w:rsid w:val="00A26CD3"/>
    <w:pPr>
      <w:spacing w:after="0" w:line="240" w:lineRule="auto"/>
    </w:pPr>
    <w:rPr>
      <w:rFonts w:ascii="Calibri" w:eastAsia="Calibri" w:hAnsi="Calibri" w:cs="Times New Roman"/>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decuadrcula5oscura-nfasis2111">
    <w:name w:val="Tabla de cuadrícula 5 oscura - Énfasis 2111"/>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Cuadrculadetablaclara111">
    <w:name w:val="Cuadrícula de tabla clara111"/>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6concolores-nfasis6111">
    <w:name w:val="Tabla de cuadrícula 6 con colores - Énfasis 6111"/>
    <w:basedOn w:val="Tablanormal"/>
    <w:uiPriority w:val="51"/>
    <w:rsid w:val="00A26CD3"/>
    <w:pPr>
      <w:spacing w:after="0" w:line="240" w:lineRule="auto"/>
    </w:pPr>
    <w:rPr>
      <w:rFonts w:ascii="Calibri" w:eastAsia="Calibri" w:hAnsi="Calibri" w:cs="Times New Roman"/>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Normal41">
    <w:name w:val="Table Normal41"/>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Listamedia113">
    <w:name w:val="Lista media 113"/>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4">
    <w:name w:val="Lista media 14"/>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112">
    <w:name w:val="Lista media 1112"/>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3">
    <w:name w:val="Lista media 123"/>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12">
    <w:name w:val="Lista media 1212"/>
    <w:basedOn w:val="Tablanormal"/>
    <w:next w:val="Listamedia12"/>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ill Sans" w:eastAsia="Times New Roman" w:hAnsi="Gill San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aconcuadrcula192">
    <w:name w:val="Tabla con cuadrícula192"/>
    <w:basedOn w:val="Tablanormal"/>
    <w:next w:val="Tablaconcuadrcula"/>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112">
    <w:name w:val="Tabla de cuadrícula 2112"/>
    <w:basedOn w:val="Tablanormal"/>
    <w:uiPriority w:val="47"/>
    <w:rsid w:val="00A26CD3"/>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12">
    <w:name w:val="Tabla de cuadrícula 4112"/>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6concolores-nfasis2112">
    <w:name w:val="Tabla de cuadrícula 6 con colores - Énfasis 2112"/>
    <w:basedOn w:val="Tablanormal"/>
    <w:uiPriority w:val="51"/>
    <w:rsid w:val="00A26CD3"/>
    <w:pPr>
      <w:spacing w:after="0" w:line="240" w:lineRule="auto"/>
    </w:pPr>
    <w:rPr>
      <w:rFonts w:ascii="Calibri" w:eastAsia="Calibri" w:hAnsi="Calibri" w:cs="Times New Roman"/>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decuadrcula5oscura-nfasis2112">
    <w:name w:val="Tabla de cuadrícula 5 oscura - Énfasis 2112"/>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Cuadrculadetablaclara112">
    <w:name w:val="Cuadrícula de tabla clara112"/>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6concolores-nfasis6112">
    <w:name w:val="Tabla de cuadrícula 6 con colores - Énfasis 6112"/>
    <w:basedOn w:val="Tablanormal"/>
    <w:uiPriority w:val="51"/>
    <w:rsid w:val="00A26CD3"/>
    <w:pPr>
      <w:spacing w:after="0" w:line="240" w:lineRule="auto"/>
    </w:pPr>
    <w:rPr>
      <w:rFonts w:ascii="Calibri" w:eastAsia="Calibri" w:hAnsi="Calibri" w:cs="Times New Roman"/>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Normal42">
    <w:name w:val="Table Normal42"/>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Listamedia114">
    <w:name w:val="Lista media 114"/>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5">
    <w:name w:val="Lista media 15"/>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113">
    <w:name w:val="Lista media 1113"/>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4">
    <w:name w:val="Lista media 124"/>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13">
    <w:name w:val="Lista media 1213"/>
    <w:basedOn w:val="Tablanormal"/>
    <w:next w:val="Listamedia12"/>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ill Sans" w:eastAsia="Times New Roman" w:hAnsi="Gill San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aconcuadrcula193">
    <w:name w:val="Tabla con cuadrícula193"/>
    <w:basedOn w:val="Tablanormal"/>
    <w:next w:val="Tablaconcuadrcula"/>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113">
    <w:name w:val="Tabla de cuadrícula 2113"/>
    <w:basedOn w:val="Tablanormal"/>
    <w:uiPriority w:val="47"/>
    <w:rsid w:val="00A26CD3"/>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13">
    <w:name w:val="Tabla de cuadrícula 4113"/>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6concolores-nfasis2113">
    <w:name w:val="Tabla de cuadrícula 6 con colores - Énfasis 2113"/>
    <w:basedOn w:val="Tablanormal"/>
    <w:uiPriority w:val="51"/>
    <w:rsid w:val="00A26CD3"/>
    <w:pPr>
      <w:spacing w:after="0" w:line="240" w:lineRule="auto"/>
    </w:pPr>
    <w:rPr>
      <w:rFonts w:ascii="Calibri" w:eastAsia="Calibri" w:hAnsi="Calibri" w:cs="Times New Roman"/>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decuadrcula5oscura-nfasis2113">
    <w:name w:val="Tabla de cuadrícula 5 oscura - Énfasis 2113"/>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Cuadrculadetablaclara113">
    <w:name w:val="Cuadrícula de tabla clara113"/>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6concolores-nfasis6113">
    <w:name w:val="Tabla de cuadrícula 6 con colores - Énfasis 6113"/>
    <w:basedOn w:val="Tablanormal"/>
    <w:uiPriority w:val="51"/>
    <w:rsid w:val="00A26CD3"/>
    <w:pPr>
      <w:spacing w:after="0" w:line="240" w:lineRule="auto"/>
    </w:pPr>
    <w:rPr>
      <w:rFonts w:ascii="Calibri" w:eastAsia="Calibri" w:hAnsi="Calibri" w:cs="Times New Roman"/>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Normal43">
    <w:name w:val="Table Normal43"/>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Listamedia115">
    <w:name w:val="Lista media 115"/>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6">
    <w:name w:val="Lista media 16"/>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114">
    <w:name w:val="Lista media 1114"/>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5">
    <w:name w:val="Lista media 125"/>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14">
    <w:name w:val="Lista media 1214"/>
    <w:basedOn w:val="Tablanormal"/>
    <w:next w:val="Listamedia12"/>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ill Sans" w:eastAsia="Times New Roman" w:hAnsi="Gill San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aconcuadrcula194">
    <w:name w:val="Tabla con cuadrícula194"/>
    <w:basedOn w:val="Tablanormal"/>
    <w:next w:val="Tablaconcuadrcula"/>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114">
    <w:name w:val="Tabla de cuadrícula 2114"/>
    <w:basedOn w:val="Tablanormal"/>
    <w:uiPriority w:val="47"/>
    <w:rsid w:val="00A26CD3"/>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14">
    <w:name w:val="Tabla de cuadrícula 4114"/>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6concolores-nfasis2114">
    <w:name w:val="Tabla de cuadrícula 6 con colores - Énfasis 2114"/>
    <w:basedOn w:val="Tablanormal"/>
    <w:uiPriority w:val="51"/>
    <w:rsid w:val="00A26CD3"/>
    <w:pPr>
      <w:spacing w:after="0" w:line="240" w:lineRule="auto"/>
    </w:pPr>
    <w:rPr>
      <w:rFonts w:ascii="Calibri" w:eastAsia="Calibri" w:hAnsi="Calibri" w:cs="Times New Roman"/>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decuadrcula5oscura-nfasis2114">
    <w:name w:val="Tabla de cuadrícula 5 oscura - Énfasis 2114"/>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Cuadrculadetablaclara114">
    <w:name w:val="Cuadrícula de tabla clara114"/>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6concolores-nfasis6114">
    <w:name w:val="Tabla de cuadrícula 6 con colores - Énfasis 6114"/>
    <w:basedOn w:val="Tablanormal"/>
    <w:uiPriority w:val="51"/>
    <w:rsid w:val="00A26CD3"/>
    <w:pPr>
      <w:spacing w:after="0" w:line="240" w:lineRule="auto"/>
    </w:pPr>
    <w:rPr>
      <w:rFonts w:ascii="Calibri" w:eastAsia="Calibri" w:hAnsi="Calibri" w:cs="Times New Roman"/>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Normal44">
    <w:name w:val="Table Normal44"/>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Sinlista26">
    <w:name w:val="Sin lista26"/>
    <w:next w:val="Sinlista"/>
    <w:uiPriority w:val="99"/>
    <w:semiHidden/>
    <w:unhideWhenUsed/>
    <w:rsid w:val="00A26CD3"/>
  </w:style>
  <w:style w:type="table" w:customStyle="1" w:styleId="Tablaconcuadrcula25">
    <w:name w:val="Tabla con cuadrícula25"/>
    <w:basedOn w:val="Tablanormal"/>
    <w:next w:val="Tablaconcuadrcula"/>
    <w:uiPriority w:val="5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bs-padding-1-1">
    <w:name w:val="bs-padding-1-1"/>
    <w:basedOn w:val="Normal"/>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Listamedia116">
    <w:name w:val="Lista media 116"/>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7">
    <w:name w:val="Lista media 17"/>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115">
    <w:name w:val="Lista media 1115"/>
    <w:basedOn w:val="Tablanormal"/>
    <w:next w:val="Listamedia1"/>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6">
    <w:name w:val="Lista media 126"/>
    <w:basedOn w:val="Tablanormal"/>
    <w:next w:val="Listamedia1"/>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aramond" w:eastAsia="Times New Roman" w:hAnsi="Garamond"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15">
    <w:name w:val="Lista media 1215"/>
    <w:basedOn w:val="Tablanormal"/>
    <w:next w:val="Listamedia12"/>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ill Sans" w:eastAsia="Times New Roman" w:hAnsi="Gill San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aconcuadrcula195">
    <w:name w:val="Tabla con cuadrícula195"/>
    <w:basedOn w:val="Tablanormal"/>
    <w:next w:val="Tablaconcuadrcula"/>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115">
    <w:name w:val="Tabla de cuadrícula 2115"/>
    <w:basedOn w:val="Tablanormal"/>
    <w:uiPriority w:val="47"/>
    <w:rsid w:val="00A26CD3"/>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15">
    <w:name w:val="Tabla de cuadrícula 4115"/>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6concolores-nfasis2115">
    <w:name w:val="Tabla de cuadrícula 6 con colores - Énfasis 2115"/>
    <w:basedOn w:val="Tablanormal"/>
    <w:uiPriority w:val="51"/>
    <w:rsid w:val="00A26CD3"/>
    <w:pPr>
      <w:spacing w:after="0" w:line="240" w:lineRule="auto"/>
    </w:pPr>
    <w:rPr>
      <w:rFonts w:ascii="Calibri" w:eastAsia="Calibri" w:hAnsi="Calibri" w:cs="Times New Roman"/>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Tabladecuadrcula5oscura-nfasis2115">
    <w:name w:val="Tabla de cuadrícula 5 oscura - Énfasis 2115"/>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Cuadrculadetablaclara115">
    <w:name w:val="Cuadrícula de tabla clara115"/>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6concolores-nfasis6115">
    <w:name w:val="Tabla de cuadrícula 6 con colores - Énfasis 6115"/>
    <w:basedOn w:val="Tablanormal"/>
    <w:uiPriority w:val="51"/>
    <w:rsid w:val="00A26CD3"/>
    <w:pPr>
      <w:spacing w:after="0" w:line="240" w:lineRule="auto"/>
    </w:pPr>
    <w:rPr>
      <w:rFonts w:ascii="Calibri" w:eastAsia="Calibri" w:hAnsi="Calibri" w:cs="Times New Roman"/>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Normal45">
    <w:name w:val="Table Normal45"/>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Sinlista27">
    <w:name w:val="Sin lista27"/>
    <w:next w:val="Sinlista"/>
    <w:uiPriority w:val="99"/>
    <w:semiHidden/>
    <w:unhideWhenUsed/>
    <w:rsid w:val="00A26CD3"/>
  </w:style>
  <w:style w:type="table" w:customStyle="1" w:styleId="Tablaconcuadrcula26">
    <w:name w:val="Tabla con cuadrícula26"/>
    <w:basedOn w:val="Tablanormal"/>
    <w:next w:val="Tablaconcuadrcula"/>
    <w:uiPriority w:val="59"/>
    <w:rsid w:val="00A26CD3"/>
    <w:pPr>
      <w:spacing w:after="0" w:line="240" w:lineRule="auto"/>
    </w:pPr>
    <w:rPr>
      <w:rFonts w:ascii="Calibri" w:eastAsia="Times New Roman" w:hAnsi="Calibri" w:cs="Times New Roman"/>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9977242149msonormal">
    <w:name w:val="yiv9977242149msonormal"/>
    <w:basedOn w:val="Normal"/>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numbering" w:customStyle="1" w:styleId="Sinlista114">
    <w:name w:val="Sin lista114"/>
    <w:next w:val="Sinlista"/>
    <w:uiPriority w:val="99"/>
    <w:semiHidden/>
    <w:unhideWhenUsed/>
    <w:rsid w:val="00A26CD3"/>
  </w:style>
  <w:style w:type="numbering" w:customStyle="1" w:styleId="Sinlista115">
    <w:name w:val="Sin lista115"/>
    <w:next w:val="Sinlista"/>
    <w:uiPriority w:val="99"/>
    <w:semiHidden/>
    <w:unhideWhenUsed/>
    <w:rsid w:val="00A26CD3"/>
  </w:style>
  <w:style w:type="table" w:customStyle="1" w:styleId="Tablaconcuadrcula112">
    <w:name w:val="Tabla con cuadrícula112"/>
    <w:basedOn w:val="Tablanormal"/>
    <w:next w:val="Tablaconcuadrcula"/>
    <w:uiPriority w:val="59"/>
    <w:rsid w:val="00A26CD3"/>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4">
    <w:name w:val="Sin lista1114"/>
    <w:next w:val="Sinlista"/>
    <w:uiPriority w:val="99"/>
    <w:semiHidden/>
    <w:rsid w:val="00A26CD3"/>
  </w:style>
  <w:style w:type="table" w:customStyle="1" w:styleId="Tablaconcuadrcula27">
    <w:name w:val="Tabla con cuadrícula27"/>
    <w:basedOn w:val="Tablanormal"/>
    <w:next w:val="Tablaconcuadrcula"/>
    <w:uiPriority w:val="59"/>
    <w:rsid w:val="00A26CD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3">
    <w:name w:val="Sin lista11113"/>
    <w:next w:val="Sinlista"/>
    <w:uiPriority w:val="99"/>
    <w:semiHidden/>
    <w:unhideWhenUsed/>
    <w:rsid w:val="00A26CD3"/>
  </w:style>
  <w:style w:type="table" w:customStyle="1" w:styleId="Tablaconcuadrcula113">
    <w:name w:val="Tabla con cuadrícula113"/>
    <w:basedOn w:val="Tablanormal"/>
    <w:next w:val="Tablaconcuadrcula"/>
    <w:uiPriority w:val="59"/>
    <w:rsid w:val="00A26CD3"/>
    <w:pPr>
      <w:spacing w:after="0" w:line="240" w:lineRule="auto"/>
    </w:pPr>
    <w:rPr>
      <w:rFonts w:ascii="Calibri" w:eastAsia="Times New Roman" w:hAnsi="Calibri" w:cs="Times New Roman"/>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amedia117">
    <w:name w:val="Lista media 117"/>
    <w:basedOn w:val="Tablanormal"/>
    <w:next w:val="Listamedia12"/>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Helvetica Neue" w:eastAsia="Times New Roman" w:hAnsi="Helvetica Neue"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7">
    <w:name w:val="Lista media 127"/>
    <w:basedOn w:val="Tablanormal"/>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Helvetica Neue" w:eastAsia="Times New Roman" w:hAnsi="Helvetica Neue"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28">
    <w:name w:val="Sin lista28"/>
    <w:next w:val="Sinlista"/>
    <w:uiPriority w:val="99"/>
    <w:semiHidden/>
    <w:unhideWhenUsed/>
    <w:rsid w:val="00A26CD3"/>
  </w:style>
  <w:style w:type="numbering" w:customStyle="1" w:styleId="Sinlista122">
    <w:name w:val="Sin lista122"/>
    <w:next w:val="Sinlista"/>
    <w:uiPriority w:val="99"/>
    <w:semiHidden/>
    <w:rsid w:val="00A26CD3"/>
  </w:style>
  <w:style w:type="numbering" w:customStyle="1" w:styleId="Sinlista212">
    <w:name w:val="Sin lista212"/>
    <w:next w:val="Sinlista"/>
    <w:uiPriority w:val="99"/>
    <w:semiHidden/>
    <w:rsid w:val="00A26CD3"/>
  </w:style>
  <w:style w:type="table" w:customStyle="1" w:styleId="Tablaconcuadrcula1211">
    <w:name w:val="Tabla con cuadrícula1211"/>
    <w:basedOn w:val="Tablanormal"/>
    <w:next w:val="Tablaconcuadrcula"/>
    <w:uiPriority w:val="59"/>
    <w:rsid w:val="00A26CD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13">
    <w:name w:val="Sin lista111113"/>
    <w:next w:val="Sinlista"/>
    <w:uiPriority w:val="99"/>
    <w:semiHidden/>
    <w:unhideWhenUsed/>
    <w:rsid w:val="00A26CD3"/>
  </w:style>
  <w:style w:type="table" w:customStyle="1" w:styleId="Listamedia1116">
    <w:name w:val="Lista media 1116"/>
    <w:basedOn w:val="Tablanormal"/>
    <w:next w:val="Listamedia12"/>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Helvetica Neue" w:eastAsia="Times New Roman" w:hAnsi="Helvetica Neue"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1111113">
    <w:name w:val="Sin lista1111113"/>
    <w:next w:val="Sinlista"/>
    <w:uiPriority w:val="99"/>
    <w:semiHidden/>
    <w:unhideWhenUsed/>
    <w:rsid w:val="00A26CD3"/>
  </w:style>
  <w:style w:type="table" w:customStyle="1" w:styleId="Listamedia1216">
    <w:name w:val="Lista media 1216"/>
    <w:basedOn w:val="Tablanormal"/>
    <w:next w:val="Listamedia12"/>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OpenSymbol" w:eastAsia="Times New Roman" w:hAnsi="OpenSymbo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32">
    <w:name w:val="Sin lista32"/>
    <w:next w:val="Sinlista"/>
    <w:uiPriority w:val="99"/>
    <w:semiHidden/>
    <w:unhideWhenUsed/>
    <w:rsid w:val="00A26CD3"/>
  </w:style>
  <w:style w:type="numbering" w:customStyle="1" w:styleId="Sinlista132">
    <w:name w:val="Sin lista132"/>
    <w:next w:val="Sinlista"/>
    <w:uiPriority w:val="99"/>
    <w:semiHidden/>
    <w:unhideWhenUsed/>
    <w:rsid w:val="00A26CD3"/>
  </w:style>
  <w:style w:type="numbering" w:customStyle="1" w:styleId="Sinlista42">
    <w:name w:val="Sin lista42"/>
    <w:next w:val="Sinlista"/>
    <w:uiPriority w:val="99"/>
    <w:semiHidden/>
    <w:unhideWhenUsed/>
    <w:rsid w:val="00A26CD3"/>
  </w:style>
  <w:style w:type="numbering" w:customStyle="1" w:styleId="Sinlista142">
    <w:name w:val="Sin lista142"/>
    <w:next w:val="Sinlista"/>
    <w:uiPriority w:val="99"/>
    <w:semiHidden/>
    <w:unhideWhenUsed/>
    <w:rsid w:val="00A26CD3"/>
  </w:style>
  <w:style w:type="numbering" w:customStyle="1" w:styleId="Sinlista511">
    <w:name w:val="Sin lista511"/>
    <w:next w:val="Sinlista"/>
    <w:uiPriority w:val="99"/>
    <w:semiHidden/>
    <w:unhideWhenUsed/>
    <w:rsid w:val="00A26CD3"/>
  </w:style>
  <w:style w:type="numbering" w:customStyle="1" w:styleId="Sinlista151">
    <w:name w:val="Sin lista151"/>
    <w:next w:val="Sinlista"/>
    <w:uiPriority w:val="99"/>
    <w:semiHidden/>
    <w:unhideWhenUsed/>
    <w:rsid w:val="00A26CD3"/>
  </w:style>
  <w:style w:type="numbering" w:customStyle="1" w:styleId="Sinlista1121">
    <w:name w:val="Sin lista1121"/>
    <w:next w:val="Sinlista"/>
    <w:uiPriority w:val="99"/>
    <w:semiHidden/>
    <w:unhideWhenUsed/>
    <w:rsid w:val="00A26CD3"/>
  </w:style>
  <w:style w:type="numbering" w:customStyle="1" w:styleId="Sinlista11121">
    <w:name w:val="Sin lista11121"/>
    <w:next w:val="Sinlista"/>
    <w:uiPriority w:val="99"/>
    <w:semiHidden/>
    <w:rsid w:val="00A26CD3"/>
  </w:style>
  <w:style w:type="numbering" w:customStyle="1" w:styleId="Sinlista111111111">
    <w:name w:val="Sin lista111111111"/>
    <w:next w:val="Sinlista"/>
    <w:uiPriority w:val="99"/>
    <w:semiHidden/>
    <w:unhideWhenUsed/>
    <w:rsid w:val="00A26CD3"/>
  </w:style>
  <w:style w:type="numbering" w:customStyle="1" w:styleId="Sinlista221">
    <w:name w:val="Sin lista221"/>
    <w:next w:val="Sinlista"/>
    <w:uiPriority w:val="99"/>
    <w:semiHidden/>
    <w:unhideWhenUsed/>
    <w:rsid w:val="00A26CD3"/>
  </w:style>
  <w:style w:type="numbering" w:customStyle="1" w:styleId="Sinlista1212">
    <w:name w:val="Sin lista1212"/>
    <w:next w:val="Sinlista"/>
    <w:semiHidden/>
    <w:rsid w:val="00A26CD3"/>
  </w:style>
  <w:style w:type="numbering" w:customStyle="1" w:styleId="Sinlista2112">
    <w:name w:val="Sin lista2112"/>
    <w:next w:val="Sinlista"/>
    <w:semiHidden/>
    <w:rsid w:val="00A26CD3"/>
  </w:style>
  <w:style w:type="numbering" w:customStyle="1" w:styleId="Sinlista1111111111">
    <w:name w:val="Sin lista1111111111"/>
    <w:next w:val="Sinlista"/>
    <w:uiPriority w:val="99"/>
    <w:semiHidden/>
    <w:unhideWhenUsed/>
    <w:rsid w:val="00A26CD3"/>
  </w:style>
  <w:style w:type="numbering" w:customStyle="1" w:styleId="Sinlista3111">
    <w:name w:val="Sin lista3111"/>
    <w:next w:val="Sinlista"/>
    <w:uiPriority w:val="99"/>
    <w:semiHidden/>
    <w:unhideWhenUsed/>
    <w:rsid w:val="00A26CD3"/>
  </w:style>
  <w:style w:type="numbering" w:customStyle="1" w:styleId="Sinlista1311">
    <w:name w:val="Sin lista1311"/>
    <w:next w:val="Sinlista"/>
    <w:uiPriority w:val="99"/>
    <w:semiHidden/>
    <w:unhideWhenUsed/>
    <w:rsid w:val="00A26CD3"/>
  </w:style>
  <w:style w:type="numbering" w:customStyle="1" w:styleId="Sinlista4111">
    <w:name w:val="Sin lista4111"/>
    <w:next w:val="Sinlista"/>
    <w:uiPriority w:val="99"/>
    <w:semiHidden/>
    <w:unhideWhenUsed/>
    <w:rsid w:val="00A26CD3"/>
  </w:style>
  <w:style w:type="numbering" w:customStyle="1" w:styleId="Sinlista1411">
    <w:name w:val="Sin lista1411"/>
    <w:next w:val="Sinlista"/>
    <w:uiPriority w:val="99"/>
    <w:semiHidden/>
    <w:unhideWhenUsed/>
    <w:rsid w:val="00A26CD3"/>
  </w:style>
  <w:style w:type="table" w:customStyle="1" w:styleId="Tablaconcuadrcula1511">
    <w:name w:val="Tabla con cuadrícula1511"/>
    <w:basedOn w:val="Tablanormal"/>
    <w:next w:val="Tablaconcuadrcula"/>
    <w:uiPriority w:val="59"/>
    <w:rsid w:val="00A26CD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111">
    <w:name w:val="Sin lista12111"/>
    <w:next w:val="Sinlista"/>
    <w:semiHidden/>
    <w:rsid w:val="00A26CD3"/>
  </w:style>
  <w:style w:type="numbering" w:customStyle="1" w:styleId="Sinlista211111">
    <w:name w:val="Sin lista211111"/>
    <w:next w:val="Sinlista"/>
    <w:semiHidden/>
    <w:rsid w:val="00A26CD3"/>
  </w:style>
  <w:style w:type="numbering" w:customStyle="1" w:styleId="Sinlista11111111111">
    <w:name w:val="Sin lista11111111111"/>
    <w:next w:val="Sinlista"/>
    <w:uiPriority w:val="99"/>
    <w:semiHidden/>
    <w:unhideWhenUsed/>
    <w:rsid w:val="00A26CD3"/>
  </w:style>
  <w:style w:type="character" w:customStyle="1" w:styleId="w8qarf">
    <w:name w:val="w8qarf"/>
    <w:rsid w:val="00A26CD3"/>
  </w:style>
  <w:style w:type="character" w:customStyle="1" w:styleId="lrzxr">
    <w:name w:val="lrzxr"/>
    <w:rsid w:val="00A26CD3"/>
  </w:style>
  <w:style w:type="numbering" w:customStyle="1" w:styleId="Sinlista61">
    <w:name w:val="Sin lista61"/>
    <w:next w:val="Sinlista"/>
    <w:uiPriority w:val="99"/>
    <w:semiHidden/>
    <w:unhideWhenUsed/>
    <w:rsid w:val="00A26CD3"/>
  </w:style>
  <w:style w:type="numbering" w:customStyle="1" w:styleId="Sinlista161">
    <w:name w:val="Sin lista161"/>
    <w:next w:val="Sinlista"/>
    <w:uiPriority w:val="99"/>
    <w:semiHidden/>
    <w:unhideWhenUsed/>
    <w:rsid w:val="00A26CD3"/>
  </w:style>
  <w:style w:type="table" w:customStyle="1" w:styleId="Tablaconcuadrcula161">
    <w:name w:val="Tabla con cuadrícula161"/>
    <w:basedOn w:val="Tablanormal"/>
    <w:next w:val="Tablaconcuadrcula"/>
    <w:uiPriority w:val="59"/>
    <w:rsid w:val="00A26CD3"/>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1">
    <w:name w:val="Sin lista1131"/>
    <w:next w:val="Sinlista"/>
    <w:uiPriority w:val="99"/>
    <w:semiHidden/>
    <w:rsid w:val="00A26CD3"/>
  </w:style>
  <w:style w:type="table" w:customStyle="1" w:styleId="Tablaconcuadrcula221">
    <w:name w:val="Tabla con cuadrícula221"/>
    <w:basedOn w:val="Tablanormal"/>
    <w:next w:val="Tablaconcuadrcula"/>
    <w:uiPriority w:val="59"/>
    <w:rsid w:val="00A26CD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31">
    <w:name w:val="Sin lista11131"/>
    <w:next w:val="Sinlista"/>
    <w:uiPriority w:val="99"/>
    <w:semiHidden/>
    <w:unhideWhenUsed/>
    <w:rsid w:val="00A26CD3"/>
  </w:style>
  <w:style w:type="table" w:customStyle="1" w:styleId="Tablaconcuadrcula1121">
    <w:name w:val="Tabla con cuadrícula1121"/>
    <w:basedOn w:val="Tablanormal"/>
    <w:next w:val="Tablaconcuadrcula"/>
    <w:uiPriority w:val="59"/>
    <w:rsid w:val="00A26CD3"/>
    <w:pPr>
      <w:spacing w:after="0" w:line="240" w:lineRule="auto"/>
    </w:pPr>
    <w:rPr>
      <w:rFonts w:ascii="Calibri" w:eastAsia="Times New Roman" w:hAnsi="Calibri" w:cs="Times New Roman"/>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amedia1121">
    <w:name w:val="Lista media 1121"/>
    <w:basedOn w:val="Tablanormal"/>
    <w:next w:val="Listamedia12"/>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Helvetica Neue" w:eastAsia="Times New Roman" w:hAnsi="Helvetica Neue"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21">
    <w:name w:val="Lista media 1221"/>
    <w:basedOn w:val="Tablanormal"/>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Helvetica Neue" w:eastAsia="Times New Roman" w:hAnsi="Helvetica Neue"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231">
    <w:name w:val="Sin lista231"/>
    <w:next w:val="Sinlista"/>
    <w:uiPriority w:val="99"/>
    <w:semiHidden/>
    <w:unhideWhenUsed/>
    <w:rsid w:val="00A26CD3"/>
  </w:style>
  <w:style w:type="numbering" w:customStyle="1" w:styleId="Sinlista1221">
    <w:name w:val="Sin lista1221"/>
    <w:next w:val="Sinlista"/>
    <w:uiPriority w:val="99"/>
    <w:semiHidden/>
    <w:rsid w:val="00A26CD3"/>
  </w:style>
  <w:style w:type="numbering" w:customStyle="1" w:styleId="Sinlista2121">
    <w:name w:val="Sin lista2121"/>
    <w:next w:val="Sinlista"/>
    <w:uiPriority w:val="99"/>
    <w:semiHidden/>
    <w:rsid w:val="00A26CD3"/>
  </w:style>
  <w:style w:type="numbering" w:customStyle="1" w:styleId="Sinlista111121">
    <w:name w:val="Sin lista111121"/>
    <w:next w:val="Sinlista"/>
    <w:uiPriority w:val="99"/>
    <w:semiHidden/>
    <w:unhideWhenUsed/>
    <w:rsid w:val="00A26CD3"/>
  </w:style>
  <w:style w:type="table" w:customStyle="1" w:styleId="Listamedia11111">
    <w:name w:val="Lista media 11111"/>
    <w:basedOn w:val="Tablanormal"/>
    <w:next w:val="Listamedia12"/>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Helvetica Neue" w:eastAsia="Times New Roman" w:hAnsi="Helvetica Neue"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1111121">
    <w:name w:val="Sin lista1111121"/>
    <w:next w:val="Sinlista"/>
    <w:uiPriority w:val="99"/>
    <w:semiHidden/>
    <w:unhideWhenUsed/>
    <w:rsid w:val="00A26CD3"/>
  </w:style>
  <w:style w:type="table" w:customStyle="1" w:styleId="Listamedia12111">
    <w:name w:val="Lista media 12111"/>
    <w:basedOn w:val="Tablanormal"/>
    <w:next w:val="Listamedia12"/>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OpenSymbol" w:eastAsia="Times New Roman" w:hAnsi="OpenSymbo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Sinlista321">
    <w:name w:val="Sin lista321"/>
    <w:next w:val="Sinlista"/>
    <w:uiPriority w:val="99"/>
    <w:semiHidden/>
    <w:unhideWhenUsed/>
    <w:rsid w:val="00A26CD3"/>
  </w:style>
  <w:style w:type="numbering" w:customStyle="1" w:styleId="Sinlista1321">
    <w:name w:val="Sin lista1321"/>
    <w:next w:val="Sinlista"/>
    <w:uiPriority w:val="99"/>
    <w:semiHidden/>
    <w:unhideWhenUsed/>
    <w:rsid w:val="00A26CD3"/>
  </w:style>
  <w:style w:type="numbering" w:customStyle="1" w:styleId="Sinlista421">
    <w:name w:val="Sin lista421"/>
    <w:next w:val="Sinlista"/>
    <w:uiPriority w:val="99"/>
    <w:semiHidden/>
    <w:unhideWhenUsed/>
    <w:rsid w:val="00A26CD3"/>
  </w:style>
  <w:style w:type="table" w:customStyle="1" w:styleId="Tablaconcuadrcula62">
    <w:name w:val="Tabla con cuadrícula62"/>
    <w:basedOn w:val="Tablanormal"/>
    <w:next w:val="Tablaconcuadrcula"/>
    <w:uiPriority w:val="39"/>
    <w:rsid w:val="00A26CD3"/>
    <w:pPr>
      <w:spacing w:after="0" w:line="240" w:lineRule="auto"/>
    </w:pPr>
    <w:rPr>
      <w:rFonts w:ascii="Cambria" w:eastAsia="MS Minngs" w:hAnsi="Cambria" w:cs="Cambria"/>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21">
    <w:name w:val="Sin lista1421"/>
    <w:next w:val="Sinlista"/>
    <w:uiPriority w:val="99"/>
    <w:semiHidden/>
    <w:unhideWhenUsed/>
    <w:rsid w:val="00A26CD3"/>
  </w:style>
  <w:style w:type="numbering" w:customStyle="1" w:styleId="Sinlista5111">
    <w:name w:val="Sin lista5111"/>
    <w:next w:val="Sinlista"/>
    <w:uiPriority w:val="99"/>
    <w:semiHidden/>
    <w:unhideWhenUsed/>
    <w:rsid w:val="00A26CD3"/>
  </w:style>
  <w:style w:type="numbering" w:customStyle="1" w:styleId="Sinlista1511">
    <w:name w:val="Sin lista1511"/>
    <w:next w:val="Sinlista"/>
    <w:uiPriority w:val="99"/>
    <w:semiHidden/>
    <w:unhideWhenUsed/>
    <w:rsid w:val="00A26CD3"/>
  </w:style>
  <w:style w:type="numbering" w:customStyle="1" w:styleId="Sinlista11211">
    <w:name w:val="Sin lista11211"/>
    <w:next w:val="Sinlista"/>
    <w:uiPriority w:val="99"/>
    <w:semiHidden/>
    <w:unhideWhenUsed/>
    <w:rsid w:val="00A26CD3"/>
  </w:style>
  <w:style w:type="numbering" w:customStyle="1" w:styleId="Sinlista111211">
    <w:name w:val="Sin lista111211"/>
    <w:next w:val="Sinlista"/>
    <w:uiPriority w:val="99"/>
    <w:semiHidden/>
    <w:rsid w:val="00A26CD3"/>
  </w:style>
  <w:style w:type="numbering" w:customStyle="1" w:styleId="Sinlista11111121">
    <w:name w:val="Sin lista11111121"/>
    <w:next w:val="Sinlista"/>
    <w:uiPriority w:val="99"/>
    <w:semiHidden/>
    <w:unhideWhenUsed/>
    <w:rsid w:val="00A26CD3"/>
  </w:style>
  <w:style w:type="numbering" w:customStyle="1" w:styleId="Sinlista2211">
    <w:name w:val="Sin lista2211"/>
    <w:next w:val="Sinlista"/>
    <w:semiHidden/>
    <w:unhideWhenUsed/>
    <w:rsid w:val="00A26CD3"/>
  </w:style>
  <w:style w:type="numbering" w:customStyle="1" w:styleId="Sinlista12121">
    <w:name w:val="Sin lista12121"/>
    <w:next w:val="Sinlista"/>
    <w:semiHidden/>
    <w:rsid w:val="00A26CD3"/>
  </w:style>
  <w:style w:type="numbering" w:customStyle="1" w:styleId="Sinlista21121">
    <w:name w:val="Sin lista21121"/>
    <w:next w:val="Sinlista"/>
    <w:semiHidden/>
    <w:rsid w:val="00A26CD3"/>
  </w:style>
  <w:style w:type="numbering" w:customStyle="1" w:styleId="Sinlista11111112">
    <w:name w:val="Sin lista11111112"/>
    <w:next w:val="Sinlista"/>
    <w:uiPriority w:val="99"/>
    <w:semiHidden/>
    <w:unhideWhenUsed/>
    <w:rsid w:val="00A26CD3"/>
  </w:style>
  <w:style w:type="numbering" w:customStyle="1" w:styleId="Sinlista31111">
    <w:name w:val="Sin lista31111"/>
    <w:next w:val="Sinlista"/>
    <w:uiPriority w:val="99"/>
    <w:semiHidden/>
    <w:unhideWhenUsed/>
    <w:rsid w:val="00A26CD3"/>
  </w:style>
  <w:style w:type="numbering" w:customStyle="1" w:styleId="Sinlista13111">
    <w:name w:val="Sin lista13111"/>
    <w:next w:val="Sinlista"/>
    <w:uiPriority w:val="99"/>
    <w:semiHidden/>
    <w:unhideWhenUsed/>
    <w:rsid w:val="00A26CD3"/>
  </w:style>
  <w:style w:type="numbering" w:customStyle="1" w:styleId="Sinlista41111">
    <w:name w:val="Sin lista41111"/>
    <w:next w:val="Sinlista"/>
    <w:uiPriority w:val="99"/>
    <w:semiHidden/>
    <w:unhideWhenUsed/>
    <w:rsid w:val="00A26CD3"/>
  </w:style>
  <w:style w:type="numbering" w:customStyle="1" w:styleId="Sinlista14111">
    <w:name w:val="Sin lista14111"/>
    <w:next w:val="Sinlista"/>
    <w:uiPriority w:val="99"/>
    <w:semiHidden/>
    <w:unhideWhenUsed/>
    <w:rsid w:val="00A26CD3"/>
  </w:style>
  <w:style w:type="table" w:customStyle="1" w:styleId="Tablaconcuadrcula611">
    <w:name w:val="Tabla con cuadrícula611"/>
    <w:basedOn w:val="Tablanormal"/>
    <w:next w:val="Tablaconcuadrcula"/>
    <w:uiPriority w:val="39"/>
    <w:rsid w:val="00A26CD3"/>
    <w:pPr>
      <w:spacing w:after="0" w:line="240" w:lineRule="auto"/>
    </w:pPr>
    <w:rPr>
      <w:rFonts w:ascii="Cambria" w:eastAsia="MS Minngs" w:hAnsi="Cambria" w:cs="Cambria"/>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uiPriority w:val="59"/>
    <w:rsid w:val="00A26CD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11">
    <w:name w:val="Sin lista121111"/>
    <w:next w:val="Sinlista"/>
    <w:semiHidden/>
    <w:rsid w:val="00A26CD3"/>
  </w:style>
  <w:style w:type="numbering" w:customStyle="1" w:styleId="Sinlista2111111">
    <w:name w:val="Sin lista2111111"/>
    <w:next w:val="Sinlista"/>
    <w:semiHidden/>
    <w:rsid w:val="00A26CD3"/>
  </w:style>
  <w:style w:type="numbering" w:customStyle="1" w:styleId="Sinlista111111112">
    <w:name w:val="Sin lista111111112"/>
    <w:next w:val="Sinlista"/>
    <w:uiPriority w:val="99"/>
    <w:semiHidden/>
    <w:unhideWhenUsed/>
    <w:rsid w:val="00A26CD3"/>
  </w:style>
  <w:style w:type="table" w:customStyle="1" w:styleId="Tablaconcuadrcula28">
    <w:name w:val="Tabla con cuadrícula28"/>
    <w:basedOn w:val="Tablanormal"/>
    <w:next w:val="Tablaconcuadrcula"/>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4">
    <w:name w:val="Sombreado claro4"/>
    <w:basedOn w:val="Tablanormal"/>
    <w:next w:val="Sombreadoclaro"/>
    <w:uiPriority w:val="60"/>
    <w:semiHidden/>
    <w:unhideWhenUsed/>
    <w:rsid w:val="00A26CD3"/>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media18">
    <w:name w:val="Lista media 18"/>
    <w:basedOn w:val="Tablanormal"/>
    <w:next w:val="Listamedia1"/>
    <w:uiPriority w:val="65"/>
    <w:semiHidden/>
    <w:unhideWhenUsed/>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otham Book" w:eastAsia="Times New Roman" w:hAnsi="Gotham Book"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Sombreadoclaro12">
    <w:name w:val="Sombreado claro12"/>
    <w:basedOn w:val="Tablanormal"/>
    <w:uiPriority w:val="60"/>
    <w:rsid w:val="00A26CD3"/>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2">
    <w:name w:val="Sombreado claro22"/>
    <w:basedOn w:val="Tablanormal"/>
    <w:uiPriority w:val="60"/>
    <w:semiHidden/>
    <w:rsid w:val="00A26CD3"/>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media118">
    <w:name w:val="Lista media 118"/>
    <w:basedOn w:val="Tablanormal"/>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otham Book" w:eastAsia="Times New Roman" w:hAnsi="Gotham Book"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117">
    <w:name w:val="Lista media 1117"/>
    <w:basedOn w:val="Tablanormal"/>
    <w:uiPriority w:val="65"/>
    <w:rsid w:val="00A26CD3"/>
    <w:pPr>
      <w:spacing w:after="0" w:line="240" w:lineRule="auto"/>
    </w:pPr>
    <w:rPr>
      <w:rFonts w:ascii="Calibri" w:eastAsia="Times New Roman" w:hAnsi="Calibri" w:cs="Times New Roman"/>
      <w:color w:val="000000"/>
      <w:lang w:eastAsia="es-MX"/>
    </w:rPr>
    <w:tblPr>
      <w:tblStyleRowBandSize w:val="1"/>
      <w:tblStyleColBandSize w:val="1"/>
      <w:tblBorders>
        <w:top w:val="single" w:sz="8" w:space="0" w:color="000000"/>
        <w:bottom w:val="single" w:sz="8" w:space="0" w:color="000000"/>
      </w:tblBorders>
    </w:tblPr>
    <w:tblStylePr w:type="firstRow">
      <w:rPr>
        <w:rFonts w:ascii="Gotham Book" w:eastAsia="Times New Roman" w:hAnsi="Gotham Book"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8">
    <w:name w:val="Lista media 128"/>
    <w:basedOn w:val="Tablanormal"/>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Gotham Book" w:eastAsia="Times New Roman" w:hAnsi="Gotham Book"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amedia1217">
    <w:name w:val="Lista media 1217"/>
    <w:basedOn w:val="Tablanormal"/>
    <w:uiPriority w:val="65"/>
    <w:rsid w:val="00A26CD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MS Sans Serif" w:eastAsia="Times New Roman" w:hAnsi="MS Sans Serif"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aconcuadrcula152">
    <w:name w:val="Tabla con cuadrícula152"/>
    <w:basedOn w:val="Tablanormal"/>
    <w:uiPriority w:val="39"/>
    <w:rsid w:val="00A26CD3"/>
    <w:pPr>
      <w:spacing w:after="0" w:line="240" w:lineRule="auto"/>
    </w:pPr>
    <w:rPr>
      <w:rFonts w:ascii="Cambria" w:eastAsia="Calibri" w:hAnsi="Cambria"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6">
    <w:name w:val="Tabla con cuadrícula196"/>
    <w:basedOn w:val="Tablanormal"/>
    <w:uiPriority w:val="39"/>
    <w:rsid w:val="00A2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116">
    <w:name w:val="Tabla de cuadrícula 2116"/>
    <w:basedOn w:val="Tablanormal"/>
    <w:uiPriority w:val="47"/>
    <w:rsid w:val="00A26CD3"/>
    <w:pPr>
      <w:spacing w:after="0" w:line="240" w:lineRule="auto"/>
    </w:pPr>
    <w:rPr>
      <w:rFonts w:ascii="Calibri" w:eastAsia="Calibri" w:hAnsi="Calibri"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16">
    <w:name w:val="Tabla de cuadrícula 4116"/>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6concolores-nfasis2116">
    <w:name w:val="Tabla de cuadrícula 6 con colores - Énfasis 2116"/>
    <w:basedOn w:val="Tablanormal"/>
    <w:uiPriority w:val="51"/>
    <w:rsid w:val="00A26CD3"/>
    <w:pPr>
      <w:spacing w:after="0" w:line="240" w:lineRule="auto"/>
    </w:pPr>
    <w:rPr>
      <w:rFonts w:ascii="Calibri" w:eastAsia="Calibri" w:hAnsi="Calibri" w:cs="Times New Roman"/>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adecuadrcula5oscura-nfasis2116">
    <w:name w:val="Tabla de cuadrícula 5 oscura - Énfasis 2116"/>
    <w:basedOn w:val="Tablanormal"/>
    <w:uiPriority w:val="50"/>
    <w:rsid w:val="00A26CD3"/>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Cuadrculadetablaclara116">
    <w:name w:val="Cuadrícula de tabla clara116"/>
    <w:basedOn w:val="Tablanormal"/>
    <w:uiPriority w:val="40"/>
    <w:rsid w:val="00A26CD3"/>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6concolores-nfasis6116">
    <w:name w:val="Tabla de cuadrícula 6 con colores - Énfasis 6116"/>
    <w:basedOn w:val="Tablanormal"/>
    <w:uiPriority w:val="51"/>
    <w:rsid w:val="00A26CD3"/>
    <w:pPr>
      <w:spacing w:after="0" w:line="240" w:lineRule="auto"/>
    </w:pPr>
    <w:rPr>
      <w:rFonts w:ascii="Calibri" w:eastAsia="Calibri" w:hAnsi="Calibri" w:cs="Times New Roman"/>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Normal46">
    <w:name w:val="Table Normal46"/>
    <w:uiPriority w:val="2"/>
    <w:semiHidden/>
    <w:qFormat/>
    <w:rsid w:val="00A26CD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Sombreadoclaro111">
    <w:name w:val="Sombreado claro111"/>
    <w:basedOn w:val="Tablanormal"/>
    <w:uiPriority w:val="60"/>
    <w:rsid w:val="00A26CD3"/>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211">
    <w:name w:val="Sombreado claro211"/>
    <w:basedOn w:val="Tablanormal"/>
    <w:uiPriority w:val="60"/>
    <w:semiHidden/>
    <w:rsid w:val="00A26CD3"/>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31">
    <w:name w:val="Sombreado claro31"/>
    <w:basedOn w:val="Tablanormal"/>
    <w:uiPriority w:val="60"/>
    <w:rsid w:val="00A26CD3"/>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29">
    <w:name w:val="Tabla con cuadrícula29"/>
    <w:basedOn w:val="Tablanormal"/>
    <w:next w:val="Tablaconcuadrcula"/>
    <w:uiPriority w:val="59"/>
    <w:rsid w:val="00A26CD3"/>
    <w:pPr>
      <w:spacing w:after="0" w:line="240" w:lineRule="auto"/>
      <w:jc w:val="center"/>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9">
    <w:name w:val="Sin lista29"/>
    <w:next w:val="Sinlista"/>
    <w:uiPriority w:val="99"/>
    <w:semiHidden/>
    <w:unhideWhenUsed/>
    <w:rsid w:val="00A26CD3"/>
  </w:style>
  <w:style w:type="table" w:customStyle="1" w:styleId="TableNormal8">
    <w:name w:val="Table Normal8"/>
    <w:rsid w:val="00A26CD3"/>
    <w:rPr>
      <w:rFonts w:ascii="Calibri" w:eastAsia="Calibri" w:hAnsi="Calibri" w:cs="Calibri"/>
      <w:lang w:eastAsia="es-MX"/>
    </w:rPr>
    <w:tblPr>
      <w:tblCellMar>
        <w:top w:w="0" w:type="dxa"/>
        <w:left w:w="0" w:type="dxa"/>
        <w:bottom w:w="0" w:type="dxa"/>
        <w:right w:w="0" w:type="dxa"/>
      </w:tblCellMar>
    </w:tblPr>
  </w:style>
  <w:style w:type="table" w:customStyle="1" w:styleId="TableNormal9">
    <w:name w:val="Table Normal9"/>
    <w:uiPriority w:val="2"/>
    <w:semiHidden/>
    <w:unhideWhenUsed/>
    <w:qFormat/>
    <w:rsid w:val="00A26C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yiv2094378465msonormal">
    <w:name w:val="yiv2094378465msonormal"/>
    <w:basedOn w:val="Normal"/>
    <w:rsid w:val="00A26CD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SECCIONCar">
    <w:name w:val="SECCION Car"/>
    <w:link w:val="SECCION"/>
    <w:locked/>
    <w:rsid w:val="00A26CD3"/>
    <w:rPr>
      <w:rFonts w:ascii="Century Gothic" w:eastAsia="MS Gothic" w:hAnsi="Century Gothic"/>
      <w:b/>
      <w:iCs/>
      <w:shd w:val="clear" w:color="auto" w:fill="FFFFFF"/>
    </w:rPr>
  </w:style>
  <w:style w:type="paragraph" w:customStyle="1" w:styleId="SECCION">
    <w:name w:val="SECCION"/>
    <w:basedOn w:val="Ttulo4"/>
    <w:next w:val="Ttulo4"/>
    <w:link w:val="SECCIONCar"/>
    <w:qFormat/>
    <w:rsid w:val="00A26CD3"/>
    <w:pPr>
      <w:shd w:val="clear" w:color="auto" w:fill="FFFFFF"/>
      <w:spacing w:before="0" w:line="360" w:lineRule="auto"/>
    </w:pPr>
    <w:rPr>
      <w:rFonts w:ascii="Century Gothic" w:eastAsia="MS Gothic" w:hAnsi="Century Gothic" w:cstheme="minorBidi"/>
      <w:b/>
      <w:i w:val="0"/>
      <w:color w:val="auto"/>
    </w:rPr>
  </w:style>
  <w:style w:type="character" w:customStyle="1" w:styleId="SUBSECCIONCar">
    <w:name w:val="SUBSECCION Car"/>
    <w:link w:val="SUBSECCION"/>
    <w:locked/>
    <w:rsid w:val="00A26CD3"/>
    <w:rPr>
      <w:rFonts w:ascii="Century Gothic" w:hAnsi="Century Gothic" w:cs="Arial"/>
      <w:b/>
      <w:bCs/>
      <w:color w:val="FF0000"/>
      <w:kern w:val="28"/>
    </w:rPr>
  </w:style>
  <w:style w:type="paragraph" w:customStyle="1" w:styleId="SUBSECCION">
    <w:name w:val="SUBSECCION"/>
    <w:basedOn w:val="Ttulo5"/>
    <w:link w:val="SUBSECCIONCar"/>
    <w:autoRedefine/>
    <w:qFormat/>
    <w:rsid w:val="00A26CD3"/>
    <w:pPr>
      <w:keepLines w:val="0"/>
      <w:spacing w:before="0" w:line="276" w:lineRule="auto"/>
    </w:pPr>
    <w:rPr>
      <w:rFonts w:ascii="Century Gothic" w:eastAsiaTheme="minorHAnsi" w:hAnsi="Century Gothic" w:cs="Arial"/>
      <w:b/>
      <w:bCs/>
      <w:color w:val="FF0000"/>
      <w:kern w:val="28"/>
    </w:rPr>
  </w:style>
  <w:style w:type="paragraph" w:customStyle="1" w:styleId="Listavistosa-nfasis11">
    <w:name w:val="Lista vistosa - Énfasis 11"/>
    <w:basedOn w:val="Normal"/>
    <w:uiPriority w:val="34"/>
    <w:qFormat/>
    <w:rsid w:val="00A26CD3"/>
    <w:pPr>
      <w:suppressAutoHyphens/>
      <w:spacing w:after="200" w:line="276" w:lineRule="auto"/>
      <w:ind w:left="720"/>
      <w:contextualSpacing/>
    </w:pPr>
    <w:rPr>
      <w:rFonts w:ascii="Calibri" w:eastAsia="Calibri" w:hAnsi="Calibri" w:cs="Calibri"/>
      <w:lang w:val="es-ES" w:eastAsia="zh-CN"/>
    </w:rPr>
  </w:style>
  <w:style w:type="table" w:customStyle="1" w:styleId="Tabladecuadrcula2-nfasis31">
    <w:name w:val="Tabla de cuadrícula 2 - Énfasis 31"/>
    <w:basedOn w:val="Tablanormal"/>
    <w:uiPriority w:val="47"/>
    <w:rsid w:val="00A26CD3"/>
    <w:pPr>
      <w:spacing w:after="0" w:line="240" w:lineRule="auto"/>
    </w:pPr>
    <w:rPr>
      <w:rFonts w:ascii="Calibri" w:eastAsia="Calibri" w:hAnsi="Calibri" w:cs="Times New Roman"/>
      <w:lang w:val="es-E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lista1clara11">
    <w:name w:val="Tabla de lista 1 clara11"/>
    <w:basedOn w:val="Tablanormal"/>
    <w:uiPriority w:val="46"/>
    <w:rsid w:val="00A26CD3"/>
    <w:pPr>
      <w:spacing w:after="0" w:line="240" w:lineRule="auto"/>
    </w:pPr>
    <w:rPr>
      <w:rFonts w:ascii="Calibri" w:eastAsia="Calibri" w:hAnsi="Calibri" w:cs="Times New Roman"/>
      <w:lang w:val="es-E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211">
    <w:name w:val="Tabla de lista 211"/>
    <w:basedOn w:val="Tablanormal"/>
    <w:uiPriority w:val="47"/>
    <w:rsid w:val="00A26CD3"/>
    <w:pPr>
      <w:spacing w:after="0" w:line="240" w:lineRule="auto"/>
    </w:pPr>
    <w:rPr>
      <w:rFonts w:ascii="Calibri" w:eastAsia="Calibri" w:hAnsi="Calibri" w:cs="Times New Roman"/>
      <w:lang w:val="es-E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ctr">
    <w:name w:val="ctr"/>
    <w:basedOn w:val="Fuentedeprrafopredeter"/>
    <w:rsid w:val="00A26CD3"/>
  </w:style>
  <w:style w:type="paragraph" w:customStyle="1" w:styleId="titulo5">
    <w:name w:val="titulo5"/>
    <w:basedOn w:val="Normal"/>
    <w:rsid w:val="00A26CD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paragraph" w:customStyle="1" w:styleId="bullets">
    <w:name w:val="bullets"/>
    <w:basedOn w:val="Normal"/>
    <w:rsid w:val="00A26CD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MSGENFONTSTYLENAMETEMPLATEROLEMSGENFONTSTYLENAMEBYROLETEXT">
    <w:name w:val="MSG_EN_FONT_STYLE_NAME_TEMPLATE_ROLE MSG_EN_FONT_STYLE_NAME_BY_ROLE_TEXT_"/>
    <w:link w:val="MSGENFONTSTYLENAMETEMPLATEROLEMSGENFONTSTYLENAMEBYROLETEXT0"/>
    <w:rsid w:val="00A26CD3"/>
    <w:rPr>
      <w:rFonts w:ascii="Arial" w:eastAsia="Arial" w:hAnsi="Arial" w:cs="Arial"/>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A26CD3"/>
    <w:pPr>
      <w:widowControl w:val="0"/>
      <w:shd w:val="clear" w:color="auto" w:fill="FFFFFF"/>
      <w:spacing w:before="600" w:after="60" w:line="0" w:lineRule="atLeast"/>
      <w:ind w:hanging="860"/>
      <w:jc w:val="center"/>
    </w:pPr>
    <w:rPr>
      <w:rFonts w:ascii="Arial" w:eastAsia="Arial" w:hAnsi="Arial" w:cs="Arial"/>
    </w:rPr>
  </w:style>
  <w:style w:type="character" w:customStyle="1" w:styleId="MSGENFONTSTYLENAMETEMPLATEROLEMSGENFONTSTYLENAMEBYROLETEXTMSGENFONTSTYLEMODIFERSIZE105">
    <w:name w:val="MSG_EN_FONT_STYLE_NAME_TEMPLATE_ROLE MSG_EN_FONT_STYLE_NAME_BY_ROLE_TEXT + MSG_EN_FONT_STYLE_MODIFER_SIZE 10.5"/>
    <w:aliases w:val="MSG_EN_FONT_STYLE_MODIFER_BOLD"/>
    <w:rsid w:val="00A26CD3"/>
    <w:rPr>
      <w:rFonts w:ascii="Arial" w:eastAsia="Arial" w:hAnsi="Arial" w:cs="Arial"/>
      <w:b/>
      <w:bCs/>
      <w:i w:val="0"/>
      <w:iCs w:val="0"/>
      <w:smallCaps w:val="0"/>
      <w:strike w:val="0"/>
      <w:color w:val="000000"/>
      <w:spacing w:val="0"/>
      <w:w w:val="100"/>
      <w:position w:val="0"/>
      <w:sz w:val="21"/>
      <w:szCs w:val="21"/>
      <w:u w:val="none"/>
      <w:shd w:val="clear" w:color="auto" w:fill="FFFFFF"/>
      <w:lang w:val="en-US"/>
    </w:rPr>
  </w:style>
  <w:style w:type="paragraph" w:customStyle="1" w:styleId="UNI-ADMVA">
    <w:name w:val="UNI-ADMVA"/>
    <w:basedOn w:val="Normal"/>
    <w:link w:val="UNI-ADMVACar"/>
    <w:qFormat/>
    <w:rsid w:val="00A26CD3"/>
    <w:pPr>
      <w:spacing w:after="0" w:line="240" w:lineRule="auto"/>
      <w:ind w:left="2410" w:hanging="2410"/>
      <w:jc w:val="both"/>
    </w:pPr>
    <w:rPr>
      <w:rFonts w:ascii="HelveticaNeueLT Std" w:eastAsia="Times New Roman" w:hAnsi="HelveticaNeueLT Std" w:cs="Calibri"/>
      <w:b/>
      <w:bCs/>
      <w:color w:val="000000"/>
      <w:sz w:val="24"/>
      <w:szCs w:val="24"/>
      <w:lang w:eastAsia="es-MX"/>
    </w:rPr>
  </w:style>
  <w:style w:type="character" w:customStyle="1" w:styleId="UNI-ADMVACar">
    <w:name w:val="UNI-ADMVA Car"/>
    <w:link w:val="UNI-ADMVA"/>
    <w:rsid w:val="00A26CD3"/>
    <w:rPr>
      <w:rFonts w:ascii="HelveticaNeueLT Std" w:eastAsia="Times New Roman" w:hAnsi="HelveticaNeueLT Std" w:cs="Calibri"/>
      <w:b/>
      <w:bCs/>
      <w:color w:val="000000"/>
      <w:sz w:val="24"/>
      <w:szCs w:val="24"/>
      <w:lang w:eastAsia="es-MX"/>
    </w:rPr>
  </w:style>
  <w:style w:type="table" w:customStyle="1" w:styleId="Tabladecuadrcula4-nfasis51">
    <w:name w:val="Tabla de cuadrícula 4 - Énfasis 51"/>
    <w:basedOn w:val="Tablanormal"/>
    <w:uiPriority w:val="49"/>
    <w:rsid w:val="00A26CD3"/>
    <w:pPr>
      <w:spacing w:after="0" w:line="240" w:lineRule="auto"/>
    </w:pPr>
    <w:rPr>
      <w:rFonts w:ascii="Calibri" w:eastAsia="Calibri" w:hAnsi="Calibri" w:cs="Times New Roman"/>
      <w:lang w:val="es-E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CitaHTML">
    <w:name w:val="HTML Cite"/>
    <w:uiPriority w:val="99"/>
    <w:unhideWhenUsed/>
    <w:rsid w:val="00A26CD3"/>
    <w:rPr>
      <w:i/>
      <w:iCs/>
    </w:rPr>
  </w:style>
  <w:style w:type="paragraph" w:customStyle="1" w:styleId="OmniPage5122">
    <w:name w:val="OmniPage #5122"/>
    <w:rsid w:val="00A26CD3"/>
    <w:pPr>
      <w:widowControl w:val="0"/>
      <w:tabs>
        <w:tab w:val="left" w:pos="100"/>
        <w:tab w:val="right" w:pos="4687"/>
      </w:tabs>
      <w:snapToGrid w:val="0"/>
      <w:spacing w:after="0" w:line="240" w:lineRule="auto"/>
      <w:jc w:val="both"/>
    </w:pPr>
    <w:rPr>
      <w:rFonts w:ascii="CG Times" w:eastAsia="Times New Roman" w:hAnsi="CG Times" w:cs="Times New Roman"/>
      <w:sz w:val="16"/>
      <w:szCs w:val="20"/>
      <w:lang w:val="en-US" w:eastAsia="es-ES"/>
    </w:rPr>
  </w:style>
  <w:style w:type="paragraph" w:customStyle="1" w:styleId="xl487">
    <w:name w:val="xl487"/>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488">
    <w:name w:val="xl488"/>
    <w:basedOn w:val="Normal"/>
    <w:rsid w:val="00A26CD3"/>
    <w:pPr>
      <w:pBdr>
        <w:left w:val="single" w:sz="4" w:space="0" w:color="006600"/>
        <w:right w:val="single" w:sz="4" w:space="0" w:color="006600"/>
      </w:pBdr>
      <w:shd w:val="clear" w:color="auto" w:fill="EBF1DE"/>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489">
    <w:name w:val="xl489"/>
    <w:basedOn w:val="Normal"/>
    <w:rsid w:val="00A26CD3"/>
    <w:pPr>
      <w:pBdr>
        <w:left w:val="single" w:sz="4" w:space="0" w:color="008000"/>
        <w:right w:val="single" w:sz="4" w:space="0" w:color="008000"/>
      </w:pBdr>
      <w:shd w:val="clear" w:color="auto" w:fill="EBF1DE"/>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490">
    <w:name w:val="xl490"/>
    <w:basedOn w:val="Normal"/>
    <w:rsid w:val="00A26CD3"/>
    <w:pPr>
      <w:pBdr>
        <w:left w:val="single" w:sz="4" w:space="0" w:color="006600"/>
        <w:right w:val="single" w:sz="4" w:space="0" w:color="006600"/>
      </w:pBdr>
      <w:shd w:val="clear" w:color="auto" w:fill="FFFFFF"/>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513">
    <w:name w:val="xl513"/>
    <w:basedOn w:val="Normal"/>
    <w:rsid w:val="00A26CD3"/>
    <w:pPr>
      <w:pBdr>
        <w:top w:val="single" w:sz="8" w:space="0" w:color="006600"/>
        <w:left w:val="single" w:sz="4" w:space="0" w:color="006600"/>
        <w:bottom w:val="single" w:sz="4" w:space="0" w:color="006600"/>
        <w:right w:val="single" w:sz="4" w:space="0" w:color="006600"/>
      </w:pBdr>
      <w:shd w:val="clear" w:color="auto" w:fill="00660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514">
    <w:name w:val="xl514"/>
    <w:basedOn w:val="Normal"/>
    <w:rsid w:val="00A26CD3"/>
    <w:pPr>
      <w:pBdr>
        <w:top w:val="single" w:sz="8" w:space="0" w:color="006600"/>
        <w:left w:val="single" w:sz="4" w:space="0" w:color="006600"/>
        <w:bottom w:val="single" w:sz="4" w:space="0" w:color="006600"/>
        <w:right w:val="single" w:sz="8" w:space="0" w:color="006600"/>
      </w:pBdr>
      <w:shd w:val="clear" w:color="auto" w:fill="00660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515">
    <w:name w:val="xl515"/>
    <w:basedOn w:val="Normal"/>
    <w:rsid w:val="00A26CD3"/>
    <w:pPr>
      <w:pBdr>
        <w:top w:val="single" w:sz="4" w:space="0" w:color="006600"/>
        <w:left w:val="single" w:sz="4" w:space="0" w:color="006600"/>
        <w:bottom w:val="single" w:sz="4" w:space="0" w:color="006600"/>
        <w:right w:val="single" w:sz="8" w:space="0" w:color="006600"/>
      </w:pBdr>
      <w:shd w:val="clear" w:color="auto" w:fill="00660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516">
    <w:name w:val="xl516"/>
    <w:basedOn w:val="Normal"/>
    <w:rsid w:val="00A26CD3"/>
    <w:pPr>
      <w:pBdr>
        <w:top w:val="single" w:sz="4" w:space="0" w:color="006600"/>
        <w:left w:val="single" w:sz="4" w:space="0" w:color="006600"/>
        <w:bottom w:val="single" w:sz="8" w:space="0" w:color="006600"/>
        <w:right w:val="single" w:sz="8" w:space="0" w:color="006600"/>
      </w:pBdr>
      <w:shd w:val="clear" w:color="auto" w:fill="00660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528">
    <w:name w:val="xl528"/>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529">
    <w:name w:val="xl529"/>
    <w:basedOn w:val="Normal"/>
    <w:rsid w:val="00A26CD3"/>
    <w:pPr>
      <w:pBdr>
        <w:top w:val="single" w:sz="4" w:space="0" w:color="C00000"/>
        <w:left w:val="single" w:sz="8" w:space="0" w:color="C00000"/>
        <w:bottom w:val="single" w:sz="4" w:space="0" w:color="C00000"/>
        <w:right w:val="single" w:sz="4" w:space="0" w:color="C00000"/>
      </w:pBdr>
      <w:shd w:val="clear" w:color="auto" w:fill="F2DCDB"/>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530">
    <w:name w:val="xl530"/>
    <w:basedOn w:val="Normal"/>
    <w:rsid w:val="00A26CD3"/>
    <w:pPr>
      <w:pBdr>
        <w:top w:val="single" w:sz="4" w:space="0" w:color="C00000"/>
        <w:left w:val="single" w:sz="4" w:space="0" w:color="C00000"/>
        <w:bottom w:val="single" w:sz="4" w:space="0" w:color="C00000"/>
        <w:right w:val="single" w:sz="4" w:space="0" w:color="C00000"/>
      </w:pBdr>
      <w:shd w:val="clear" w:color="auto" w:fill="F2DCDB"/>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531">
    <w:name w:val="xl531"/>
    <w:basedOn w:val="Normal"/>
    <w:rsid w:val="00A26CD3"/>
    <w:pPr>
      <w:pBdr>
        <w:top w:val="single" w:sz="4" w:space="0" w:color="C00000"/>
        <w:left w:val="single" w:sz="4" w:space="0" w:color="C00000"/>
        <w:bottom w:val="single" w:sz="4" w:space="0" w:color="C00000"/>
        <w:right w:val="single" w:sz="8" w:space="0" w:color="C00000"/>
      </w:pBdr>
      <w:shd w:val="clear" w:color="auto" w:fill="F2DCDB"/>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35">
    <w:name w:val="xl635"/>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636">
    <w:name w:val="xl636"/>
    <w:basedOn w:val="Normal"/>
    <w:rsid w:val="00A26CD3"/>
    <w:pPr>
      <w:pBdr>
        <w:top w:val="single" w:sz="4" w:space="0" w:color="808080"/>
        <w:left w:val="single" w:sz="8" w:space="7" w:color="808080"/>
        <w:bottom w:val="single" w:sz="4" w:space="0" w:color="808080"/>
        <w:right w:val="single" w:sz="4" w:space="0" w:color="808080"/>
      </w:pBdr>
      <w:shd w:val="clear" w:color="auto" w:fill="F2F2F2"/>
      <w:spacing w:before="100" w:beforeAutospacing="1" w:after="100" w:afterAutospacing="1" w:line="240" w:lineRule="auto"/>
      <w:ind w:firstLineChars="100" w:firstLine="100"/>
    </w:pPr>
    <w:rPr>
      <w:rFonts w:ascii="Gotham Book" w:eastAsia="Times New Roman" w:hAnsi="Gotham Book" w:cs="Times New Roman"/>
      <w:color w:val="000000"/>
      <w:sz w:val="18"/>
      <w:szCs w:val="18"/>
      <w:lang w:eastAsia="es-MX"/>
    </w:rPr>
  </w:style>
  <w:style w:type="paragraph" w:customStyle="1" w:styleId="xl637">
    <w:name w:val="xl637"/>
    <w:basedOn w:val="Normal"/>
    <w:rsid w:val="00A26CD3"/>
    <w:pPr>
      <w:pBdr>
        <w:top w:val="single" w:sz="4" w:space="0" w:color="808080"/>
        <w:left w:val="single" w:sz="4" w:space="0" w:color="808080"/>
        <w:bottom w:val="single" w:sz="4" w:space="0" w:color="808080"/>
        <w:right w:val="single" w:sz="4" w:space="0" w:color="808080"/>
      </w:pBdr>
      <w:shd w:val="clear" w:color="auto" w:fill="F2F2F2"/>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38">
    <w:name w:val="xl638"/>
    <w:basedOn w:val="Normal"/>
    <w:rsid w:val="00A26CD3"/>
    <w:pPr>
      <w:pBdr>
        <w:top w:val="single" w:sz="4" w:space="0" w:color="808080"/>
        <w:left w:val="single" w:sz="4" w:space="0" w:color="808080"/>
        <w:bottom w:val="single" w:sz="4" w:space="0" w:color="808080"/>
        <w:right w:val="single" w:sz="8" w:space="0" w:color="808080"/>
      </w:pBdr>
      <w:shd w:val="clear" w:color="auto" w:fill="F2F2F2"/>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39">
    <w:name w:val="xl639"/>
    <w:basedOn w:val="Normal"/>
    <w:rsid w:val="00A26CD3"/>
    <w:pPr>
      <w:pBdr>
        <w:top w:val="single" w:sz="4" w:space="0" w:color="808080"/>
        <w:left w:val="single" w:sz="8" w:space="7" w:color="808080"/>
        <w:bottom w:val="single" w:sz="4" w:space="0" w:color="808080"/>
        <w:right w:val="single" w:sz="4" w:space="0" w:color="808080"/>
      </w:pBdr>
      <w:shd w:val="clear" w:color="auto" w:fill="FFFFFF"/>
      <w:spacing w:before="100" w:beforeAutospacing="1" w:after="100" w:afterAutospacing="1" w:line="240" w:lineRule="auto"/>
      <w:ind w:firstLineChars="100" w:firstLine="100"/>
    </w:pPr>
    <w:rPr>
      <w:rFonts w:ascii="Gotham Book" w:eastAsia="Times New Roman" w:hAnsi="Gotham Book" w:cs="Times New Roman"/>
      <w:color w:val="000000"/>
      <w:sz w:val="18"/>
      <w:szCs w:val="18"/>
      <w:lang w:eastAsia="es-MX"/>
    </w:rPr>
  </w:style>
  <w:style w:type="paragraph" w:customStyle="1" w:styleId="xl640">
    <w:name w:val="xl640"/>
    <w:basedOn w:val="Normal"/>
    <w:rsid w:val="00A26CD3"/>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41">
    <w:name w:val="xl641"/>
    <w:basedOn w:val="Normal"/>
    <w:rsid w:val="00A26CD3"/>
    <w:pPr>
      <w:pBdr>
        <w:top w:val="single" w:sz="4" w:space="0" w:color="808080"/>
        <w:left w:val="single" w:sz="4" w:space="0" w:color="808080"/>
        <w:bottom w:val="single" w:sz="4" w:space="0" w:color="808080"/>
        <w:right w:val="single" w:sz="8" w:space="0" w:color="808080"/>
      </w:pBdr>
      <w:shd w:val="clear" w:color="auto" w:fill="FFFFFF"/>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42">
    <w:name w:val="xl642"/>
    <w:basedOn w:val="Normal"/>
    <w:rsid w:val="00A26CD3"/>
    <w:pPr>
      <w:pBdr>
        <w:top w:val="single" w:sz="4" w:space="0" w:color="808080"/>
        <w:left w:val="single" w:sz="8" w:space="7" w:color="808080"/>
        <w:bottom w:val="single" w:sz="4" w:space="0" w:color="808080"/>
        <w:right w:val="single" w:sz="4" w:space="0" w:color="808080"/>
      </w:pBdr>
      <w:shd w:val="clear" w:color="auto" w:fill="F2F2F2"/>
      <w:spacing w:before="100" w:beforeAutospacing="1" w:after="100" w:afterAutospacing="1" w:line="240" w:lineRule="auto"/>
      <w:ind w:firstLineChars="100" w:firstLine="100"/>
    </w:pPr>
    <w:rPr>
      <w:rFonts w:ascii="Gotham Book" w:eastAsia="Times New Roman" w:hAnsi="Gotham Book" w:cs="Times New Roman"/>
      <w:color w:val="000000"/>
      <w:sz w:val="18"/>
      <w:szCs w:val="18"/>
      <w:lang w:eastAsia="es-MX"/>
    </w:rPr>
  </w:style>
  <w:style w:type="paragraph" w:customStyle="1" w:styleId="xl643">
    <w:name w:val="xl643"/>
    <w:basedOn w:val="Normal"/>
    <w:rsid w:val="00A26CD3"/>
    <w:pPr>
      <w:pBdr>
        <w:top w:val="single" w:sz="4" w:space="0" w:color="808080"/>
        <w:left w:val="single" w:sz="4" w:space="0" w:color="808080"/>
        <w:bottom w:val="single" w:sz="4" w:space="0" w:color="808080"/>
        <w:right w:val="single" w:sz="4" w:space="0" w:color="808080"/>
      </w:pBdr>
      <w:shd w:val="clear" w:color="auto" w:fill="F2F2F2"/>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44">
    <w:name w:val="xl644"/>
    <w:basedOn w:val="Normal"/>
    <w:rsid w:val="00A26CD3"/>
    <w:pPr>
      <w:pBdr>
        <w:top w:val="single" w:sz="4" w:space="0" w:color="808080"/>
        <w:left w:val="single" w:sz="4" w:space="0" w:color="808080"/>
        <w:bottom w:val="single" w:sz="4" w:space="0" w:color="808080"/>
        <w:right w:val="single" w:sz="8" w:space="0" w:color="808080"/>
      </w:pBdr>
      <w:shd w:val="clear" w:color="auto" w:fill="F2F2F2"/>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45">
    <w:name w:val="xl645"/>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646">
    <w:name w:val="xl646"/>
    <w:basedOn w:val="Normal"/>
    <w:rsid w:val="00A26CD3"/>
    <w:pPr>
      <w:pBdr>
        <w:left w:val="single" w:sz="8" w:space="7" w:color="808080"/>
      </w:pBdr>
      <w:shd w:val="clear" w:color="auto" w:fill="FFFFFF"/>
      <w:spacing w:before="100" w:beforeAutospacing="1" w:after="100" w:afterAutospacing="1" w:line="240" w:lineRule="auto"/>
      <w:ind w:firstLineChars="100" w:firstLine="100"/>
    </w:pPr>
    <w:rPr>
      <w:rFonts w:ascii="Gotham Book" w:eastAsia="Times New Roman" w:hAnsi="Gotham Book" w:cs="Times New Roman"/>
      <w:color w:val="000000"/>
      <w:sz w:val="18"/>
      <w:szCs w:val="18"/>
      <w:lang w:eastAsia="es-MX"/>
    </w:rPr>
  </w:style>
  <w:style w:type="paragraph" w:customStyle="1" w:styleId="xl647">
    <w:name w:val="xl647"/>
    <w:basedOn w:val="Normal"/>
    <w:rsid w:val="00A26CD3"/>
    <w:pPr>
      <w:shd w:val="clear" w:color="auto" w:fill="FFFFFF"/>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48">
    <w:name w:val="xl648"/>
    <w:basedOn w:val="Normal"/>
    <w:rsid w:val="00A26CD3"/>
    <w:pPr>
      <w:pBdr>
        <w:right w:val="single" w:sz="8" w:space="0" w:color="808080"/>
      </w:pBdr>
      <w:shd w:val="clear" w:color="auto" w:fill="FFFFFF"/>
      <w:spacing w:before="100" w:beforeAutospacing="1" w:after="100" w:afterAutospacing="1" w:line="240" w:lineRule="auto"/>
    </w:pPr>
    <w:rPr>
      <w:rFonts w:ascii="Gotham Book" w:eastAsia="Times New Roman" w:hAnsi="Gotham Book" w:cs="Times New Roman"/>
      <w:color w:val="000000"/>
      <w:sz w:val="18"/>
      <w:szCs w:val="18"/>
      <w:lang w:eastAsia="es-MX"/>
    </w:rPr>
  </w:style>
  <w:style w:type="paragraph" w:customStyle="1" w:styleId="xl649">
    <w:name w:val="xl649"/>
    <w:basedOn w:val="Normal"/>
    <w:rsid w:val="00A26CD3"/>
    <w:pPr>
      <w:pBdr>
        <w:top w:val="single" w:sz="4" w:space="0" w:color="808080"/>
        <w:left w:val="single" w:sz="8" w:space="0" w:color="808080"/>
        <w:bottom w:val="single" w:sz="8" w:space="0" w:color="808080"/>
        <w:right w:val="single" w:sz="4" w:space="0" w:color="808080"/>
      </w:pBdr>
      <w:shd w:val="clear" w:color="auto" w:fill="808080"/>
      <w:spacing w:before="100" w:beforeAutospacing="1" w:after="100" w:afterAutospacing="1" w:line="240" w:lineRule="auto"/>
    </w:pPr>
    <w:rPr>
      <w:rFonts w:ascii="Gotham Book" w:eastAsia="Times New Roman" w:hAnsi="Gotham Book" w:cs="Times New Roman"/>
      <w:b/>
      <w:bCs/>
      <w:color w:val="FFFFFF"/>
      <w:sz w:val="18"/>
      <w:szCs w:val="18"/>
      <w:lang w:eastAsia="es-MX"/>
    </w:rPr>
  </w:style>
  <w:style w:type="paragraph" w:customStyle="1" w:styleId="xl650">
    <w:name w:val="xl650"/>
    <w:basedOn w:val="Normal"/>
    <w:rsid w:val="00A26CD3"/>
    <w:pPr>
      <w:pBdr>
        <w:top w:val="single" w:sz="4" w:space="0" w:color="808080"/>
        <w:left w:val="single" w:sz="4" w:space="0" w:color="808080"/>
        <w:bottom w:val="single" w:sz="8" w:space="0" w:color="808080"/>
        <w:right w:val="single" w:sz="4" w:space="0" w:color="808080"/>
      </w:pBdr>
      <w:shd w:val="clear" w:color="auto" w:fill="808080"/>
      <w:spacing w:before="100" w:beforeAutospacing="1" w:after="100" w:afterAutospacing="1" w:line="240" w:lineRule="auto"/>
    </w:pPr>
    <w:rPr>
      <w:rFonts w:ascii="Gotham Book" w:eastAsia="Times New Roman" w:hAnsi="Gotham Book" w:cs="Times New Roman"/>
      <w:b/>
      <w:bCs/>
      <w:color w:val="FFFFFF"/>
      <w:sz w:val="18"/>
      <w:szCs w:val="18"/>
      <w:lang w:eastAsia="es-MX"/>
    </w:rPr>
  </w:style>
  <w:style w:type="paragraph" w:customStyle="1" w:styleId="xl651">
    <w:name w:val="xl651"/>
    <w:basedOn w:val="Normal"/>
    <w:rsid w:val="00A26CD3"/>
    <w:pPr>
      <w:pBdr>
        <w:top w:val="single" w:sz="4" w:space="0" w:color="808080"/>
        <w:left w:val="single" w:sz="4" w:space="0" w:color="808080"/>
        <w:bottom w:val="single" w:sz="8" w:space="0" w:color="808080"/>
        <w:right w:val="single" w:sz="8" w:space="0" w:color="808080"/>
      </w:pBdr>
      <w:shd w:val="clear" w:color="auto" w:fill="808080"/>
      <w:spacing w:before="100" w:beforeAutospacing="1" w:after="100" w:afterAutospacing="1" w:line="240" w:lineRule="auto"/>
    </w:pPr>
    <w:rPr>
      <w:rFonts w:ascii="Gotham Book" w:eastAsia="Times New Roman" w:hAnsi="Gotham Book" w:cs="Times New Roman"/>
      <w:b/>
      <w:bCs/>
      <w:color w:val="FFFFFF"/>
      <w:sz w:val="18"/>
      <w:szCs w:val="18"/>
      <w:lang w:eastAsia="es-MX"/>
    </w:rPr>
  </w:style>
  <w:style w:type="paragraph" w:customStyle="1" w:styleId="xl652">
    <w:name w:val="xl652"/>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653">
    <w:name w:val="xl653"/>
    <w:basedOn w:val="Normal"/>
    <w:rsid w:val="00A26CD3"/>
    <w:pPr>
      <w:shd w:val="clear" w:color="auto" w:fill="FFFFFF"/>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654">
    <w:name w:val="xl654"/>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655">
    <w:name w:val="xl655"/>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656">
    <w:name w:val="xl656"/>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customStyle="1" w:styleId="xl657">
    <w:name w:val="xl657"/>
    <w:basedOn w:val="Normal"/>
    <w:rsid w:val="00A26CD3"/>
    <w:pPr>
      <w:pBdr>
        <w:top w:val="single" w:sz="4" w:space="0" w:color="808080"/>
        <w:left w:val="single" w:sz="4" w:space="0" w:color="808080"/>
        <w:bottom w:val="single" w:sz="4" w:space="0" w:color="808080"/>
        <w:right w:val="single" w:sz="4" w:space="0" w:color="808080"/>
      </w:pBdr>
      <w:shd w:val="clear" w:color="auto" w:fill="80808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658">
    <w:name w:val="xl658"/>
    <w:basedOn w:val="Normal"/>
    <w:rsid w:val="00A26CD3"/>
    <w:pPr>
      <w:pBdr>
        <w:top w:val="single" w:sz="8" w:space="0" w:color="808080"/>
        <w:left w:val="single" w:sz="8" w:space="0" w:color="808080"/>
        <w:bottom w:val="single" w:sz="4" w:space="0" w:color="808080"/>
        <w:right w:val="single" w:sz="4" w:space="0" w:color="808080"/>
      </w:pBdr>
      <w:shd w:val="clear" w:color="auto" w:fill="80808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659">
    <w:name w:val="xl659"/>
    <w:basedOn w:val="Normal"/>
    <w:rsid w:val="00A26CD3"/>
    <w:pPr>
      <w:pBdr>
        <w:top w:val="single" w:sz="4" w:space="0" w:color="808080"/>
        <w:left w:val="single" w:sz="8" w:space="0" w:color="808080"/>
        <w:bottom w:val="single" w:sz="4" w:space="0" w:color="808080"/>
        <w:right w:val="single" w:sz="4" w:space="0" w:color="808080"/>
      </w:pBdr>
      <w:shd w:val="clear" w:color="auto" w:fill="80808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660">
    <w:name w:val="xl660"/>
    <w:basedOn w:val="Normal"/>
    <w:rsid w:val="00A26CD3"/>
    <w:pPr>
      <w:pBdr>
        <w:top w:val="single" w:sz="8" w:space="0" w:color="808080"/>
        <w:left w:val="single" w:sz="4" w:space="0" w:color="808080"/>
        <w:bottom w:val="single" w:sz="4" w:space="0" w:color="808080"/>
        <w:right w:val="single" w:sz="4" w:space="0" w:color="808080"/>
      </w:pBdr>
      <w:shd w:val="clear" w:color="auto" w:fill="80808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661">
    <w:name w:val="xl661"/>
    <w:basedOn w:val="Normal"/>
    <w:rsid w:val="00A26CD3"/>
    <w:pPr>
      <w:pBdr>
        <w:top w:val="single" w:sz="8" w:space="0" w:color="808080"/>
        <w:left w:val="single" w:sz="4" w:space="0" w:color="808080"/>
        <w:bottom w:val="single" w:sz="4" w:space="0" w:color="808080"/>
        <w:right w:val="single" w:sz="8" w:space="0" w:color="808080"/>
      </w:pBdr>
      <w:shd w:val="clear" w:color="auto" w:fill="80808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662">
    <w:name w:val="xl662"/>
    <w:basedOn w:val="Normal"/>
    <w:rsid w:val="00A26CD3"/>
    <w:pPr>
      <w:pBdr>
        <w:top w:val="single" w:sz="4" w:space="0" w:color="808080"/>
        <w:left w:val="single" w:sz="4" w:space="0" w:color="808080"/>
        <w:bottom w:val="single" w:sz="4" w:space="0" w:color="808080"/>
        <w:right w:val="single" w:sz="8" w:space="0" w:color="808080"/>
      </w:pBdr>
      <w:shd w:val="clear" w:color="auto" w:fill="808080"/>
      <w:spacing w:before="100" w:beforeAutospacing="1" w:after="100" w:afterAutospacing="1" w:line="240" w:lineRule="auto"/>
      <w:jc w:val="center"/>
    </w:pPr>
    <w:rPr>
      <w:rFonts w:ascii="Gotham Book" w:eastAsia="Times New Roman" w:hAnsi="Gotham Book" w:cs="Times New Roman"/>
      <w:b/>
      <w:bCs/>
      <w:color w:val="FFFFFF"/>
      <w:sz w:val="18"/>
      <w:szCs w:val="18"/>
      <w:lang w:eastAsia="es-MX"/>
    </w:rPr>
  </w:style>
  <w:style w:type="paragraph" w:customStyle="1" w:styleId="xl634">
    <w:name w:val="xl634"/>
    <w:basedOn w:val="Normal"/>
    <w:rsid w:val="00A26CD3"/>
    <w:pPr>
      <w:spacing w:before="100" w:beforeAutospacing="1" w:after="100" w:afterAutospacing="1" w:line="240" w:lineRule="auto"/>
    </w:pPr>
    <w:rPr>
      <w:rFonts w:ascii="Gotham Book" w:eastAsia="Times New Roman" w:hAnsi="Gotham Book" w:cs="Times New Roman"/>
      <w:sz w:val="18"/>
      <w:szCs w:val="18"/>
      <w:lang w:eastAsia="es-MX"/>
    </w:rPr>
  </w:style>
  <w:style w:type="paragraph" w:styleId="z-Principiodelformulario">
    <w:name w:val="HTML Top of Form"/>
    <w:basedOn w:val="Normal"/>
    <w:next w:val="Normal"/>
    <w:link w:val="z-PrincipiodelformularioCar"/>
    <w:uiPriority w:val="99"/>
    <w:unhideWhenUsed/>
    <w:rsid w:val="00A26CD3"/>
    <w:pPr>
      <w:pBdr>
        <w:bottom w:val="single" w:sz="6" w:space="1" w:color="auto"/>
      </w:pBdr>
      <w:spacing w:after="0" w:line="276" w:lineRule="auto"/>
      <w:jc w:val="center"/>
    </w:pPr>
    <w:rPr>
      <w:rFonts w:ascii="Arial" w:eastAsia="Calibri" w:hAnsi="Arial" w:cs="Arial"/>
      <w:vanish/>
      <w:sz w:val="16"/>
      <w:szCs w:val="16"/>
    </w:rPr>
  </w:style>
  <w:style w:type="character" w:customStyle="1" w:styleId="z-PrincipiodelformularioCar">
    <w:name w:val="z-Principio del formulario Car"/>
    <w:basedOn w:val="Fuentedeprrafopredeter"/>
    <w:link w:val="z-Principiodelformulario"/>
    <w:uiPriority w:val="99"/>
    <w:rsid w:val="00A26CD3"/>
    <w:rPr>
      <w:rFonts w:ascii="Arial" w:eastAsia="Calibri" w:hAnsi="Arial" w:cs="Arial"/>
      <w:vanish/>
      <w:sz w:val="16"/>
      <w:szCs w:val="16"/>
    </w:rPr>
  </w:style>
  <w:style w:type="paragraph" w:styleId="z-Finaldelformulario">
    <w:name w:val="HTML Bottom of Form"/>
    <w:basedOn w:val="Normal"/>
    <w:next w:val="Normal"/>
    <w:link w:val="z-FinaldelformularioCar"/>
    <w:uiPriority w:val="99"/>
    <w:unhideWhenUsed/>
    <w:rsid w:val="00A26CD3"/>
    <w:pPr>
      <w:pBdr>
        <w:top w:val="single" w:sz="6" w:space="1" w:color="auto"/>
      </w:pBdr>
      <w:spacing w:after="0" w:line="276" w:lineRule="auto"/>
      <w:jc w:val="center"/>
    </w:pPr>
    <w:rPr>
      <w:rFonts w:ascii="Arial" w:eastAsia="Calibri" w:hAnsi="Arial" w:cs="Arial"/>
      <w:vanish/>
      <w:sz w:val="16"/>
      <w:szCs w:val="16"/>
    </w:rPr>
  </w:style>
  <w:style w:type="character" w:customStyle="1" w:styleId="z-FinaldelformularioCar">
    <w:name w:val="z-Final del formulario Car"/>
    <w:basedOn w:val="Fuentedeprrafopredeter"/>
    <w:link w:val="z-Finaldelformulario"/>
    <w:uiPriority w:val="99"/>
    <w:rsid w:val="00A26CD3"/>
    <w:rPr>
      <w:rFonts w:ascii="Arial" w:eastAsia="Calibri" w:hAnsi="Arial" w:cs="Arial"/>
      <w:vanish/>
      <w:sz w:val="16"/>
      <w:szCs w:val="16"/>
    </w:rPr>
  </w:style>
  <w:style w:type="character" w:customStyle="1" w:styleId="PiedepginaCar1">
    <w:name w:val="Pie de página Car1"/>
    <w:uiPriority w:val="99"/>
    <w:rsid w:val="00A26CD3"/>
  </w:style>
  <w:style w:type="character" w:customStyle="1" w:styleId="e24kjd">
    <w:name w:val="e24kjd"/>
    <w:rsid w:val="00A26CD3"/>
  </w:style>
  <w:style w:type="table" w:customStyle="1" w:styleId="Tablaconcuadrcula32">
    <w:name w:val="Tabla con cuadrícula32"/>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uiPriority w:val="59"/>
    <w:rsid w:val="00A26CD3"/>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2">
    <w:name w:val="Tabla con cuadrícula212"/>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2">
    <w:name w:val="Tabla con cuadrícula312"/>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2">
    <w:name w:val="Tabla con cuadrícula412"/>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
    <w:name w:val="Tabla con cuadrícula44"/>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uiPriority w:val="59"/>
    <w:rsid w:val="00A26CD3"/>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3">
    <w:name w:val="Tabla con cuadrícula213"/>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3">
    <w:name w:val="Tabla con cuadrícula313"/>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3">
    <w:name w:val="Tabla con cuadrícula413"/>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uiPriority w:val="39"/>
    <w:rsid w:val="00A26CD3"/>
    <w:pPr>
      <w:spacing w:after="0" w:line="240" w:lineRule="auto"/>
    </w:pPr>
    <w:rPr>
      <w:rFonts w:ascii="Calibri" w:eastAsia="Calibri" w:hAnsi="Calibri" w:cs="Arial"/>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
    <w:name w:val="Tabla con cuadrícula35"/>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
    <w:name w:val="Tabla con cuadrícula45"/>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
    <w:name w:val="Tabla con cuadrícula54"/>
    <w:basedOn w:val="Tablanormal"/>
    <w:uiPriority w:val="59"/>
    <w:rsid w:val="00A26CD3"/>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4">
    <w:name w:val="Tabla con cuadrícula114"/>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4">
    <w:name w:val="Tabla con cuadrícula214"/>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4">
    <w:name w:val="Tabla con cuadrícula314"/>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4">
    <w:name w:val="Tabla con cuadrícula414"/>
    <w:basedOn w:val="Tablanormal"/>
    <w:uiPriority w:val="59"/>
    <w:rsid w:val="00A26CD3"/>
    <w:pPr>
      <w:spacing w:after="0" w:line="240" w:lineRule="auto"/>
    </w:pPr>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
    <w:name w:val="Tabla con cuadrícula64"/>
    <w:basedOn w:val="Tablanormal"/>
    <w:uiPriority w:val="39"/>
    <w:rsid w:val="00A26CD3"/>
    <w:pPr>
      <w:spacing w:after="0" w:line="240" w:lineRule="auto"/>
    </w:pPr>
    <w:rPr>
      <w:rFonts w:ascii="Calibri" w:eastAsia="Calibri" w:hAnsi="Calibri" w:cs="Arial"/>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rsid w:val="00A26CD3"/>
  </w:style>
  <w:style w:type="numbering" w:customStyle="1" w:styleId="Sinlista71">
    <w:name w:val="Sin lista71"/>
    <w:next w:val="Sinlista"/>
    <w:uiPriority w:val="99"/>
    <w:semiHidden/>
    <w:unhideWhenUsed/>
    <w:rsid w:val="00A26CD3"/>
  </w:style>
  <w:style w:type="numbering" w:customStyle="1" w:styleId="Sinlista81">
    <w:name w:val="Sin lista81"/>
    <w:next w:val="Sinlista"/>
    <w:uiPriority w:val="99"/>
    <w:semiHidden/>
    <w:unhideWhenUsed/>
    <w:rsid w:val="00A26CD3"/>
  </w:style>
  <w:style w:type="numbering" w:customStyle="1" w:styleId="Sinlista52">
    <w:name w:val="Sin lista52"/>
    <w:next w:val="Sinlista"/>
    <w:uiPriority w:val="99"/>
    <w:semiHidden/>
    <w:unhideWhenUsed/>
    <w:rsid w:val="00A26CD3"/>
  </w:style>
  <w:style w:type="numbering" w:customStyle="1" w:styleId="Sinlista62">
    <w:name w:val="Sin lista62"/>
    <w:next w:val="Sinlista"/>
    <w:uiPriority w:val="99"/>
    <w:semiHidden/>
    <w:unhideWhenUsed/>
    <w:rsid w:val="00A26CD3"/>
  </w:style>
  <w:style w:type="numbering" w:customStyle="1" w:styleId="Sinlista72">
    <w:name w:val="Sin lista72"/>
    <w:next w:val="Sinlista"/>
    <w:uiPriority w:val="99"/>
    <w:semiHidden/>
    <w:unhideWhenUsed/>
    <w:rsid w:val="00A26CD3"/>
  </w:style>
  <w:style w:type="numbering" w:customStyle="1" w:styleId="Sinlista82">
    <w:name w:val="Sin lista82"/>
    <w:next w:val="Sinlista"/>
    <w:uiPriority w:val="99"/>
    <w:semiHidden/>
    <w:unhideWhenUsed/>
    <w:rsid w:val="00A26CD3"/>
  </w:style>
  <w:style w:type="numbering" w:customStyle="1" w:styleId="Sinlista91">
    <w:name w:val="Sin lista91"/>
    <w:next w:val="Sinlista"/>
    <w:uiPriority w:val="99"/>
    <w:semiHidden/>
    <w:unhideWhenUsed/>
    <w:rsid w:val="00A26CD3"/>
  </w:style>
  <w:style w:type="numbering" w:customStyle="1" w:styleId="Sinlista611">
    <w:name w:val="Sin lista611"/>
    <w:next w:val="Sinlista"/>
    <w:uiPriority w:val="99"/>
    <w:semiHidden/>
    <w:unhideWhenUsed/>
    <w:rsid w:val="00A26CD3"/>
  </w:style>
  <w:style w:type="numbering" w:customStyle="1" w:styleId="Sinlista711">
    <w:name w:val="Sin lista711"/>
    <w:next w:val="Sinlista"/>
    <w:uiPriority w:val="99"/>
    <w:semiHidden/>
    <w:unhideWhenUsed/>
    <w:rsid w:val="00A26CD3"/>
  </w:style>
  <w:style w:type="numbering" w:customStyle="1" w:styleId="Sinlista811">
    <w:name w:val="Sin lista811"/>
    <w:next w:val="Sinlista"/>
    <w:uiPriority w:val="99"/>
    <w:semiHidden/>
    <w:unhideWhenUsed/>
    <w:rsid w:val="00A26CD3"/>
  </w:style>
  <w:style w:type="numbering" w:customStyle="1" w:styleId="Sinlista33">
    <w:name w:val="Sin lista33"/>
    <w:next w:val="Sinlista"/>
    <w:uiPriority w:val="99"/>
    <w:semiHidden/>
    <w:unhideWhenUsed/>
    <w:rsid w:val="00A26CD3"/>
  </w:style>
  <w:style w:type="numbering" w:customStyle="1" w:styleId="Sinlista43">
    <w:name w:val="Sin lista43"/>
    <w:next w:val="Sinlista"/>
    <w:uiPriority w:val="99"/>
    <w:semiHidden/>
    <w:unhideWhenUsed/>
    <w:rsid w:val="00A26CD3"/>
  </w:style>
  <w:style w:type="numbering" w:customStyle="1" w:styleId="Sinlista53">
    <w:name w:val="Sin lista53"/>
    <w:next w:val="Sinlista"/>
    <w:uiPriority w:val="99"/>
    <w:semiHidden/>
    <w:unhideWhenUsed/>
    <w:rsid w:val="00A26CD3"/>
  </w:style>
  <w:style w:type="numbering" w:customStyle="1" w:styleId="Sinlista63">
    <w:name w:val="Sin lista63"/>
    <w:next w:val="Sinlista"/>
    <w:uiPriority w:val="99"/>
    <w:semiHidden/>
    <w:unhideWhenUsed/>
    <w:rsid w:val="00A26CD3"/>
  </w:style>
  <w:style w:type="numbering" w:customStyle="1" w:styleId="Sinlista73">
    <w:name w:val="Sin lista73"/>
    <w:next w:val="Sinlista"/>
    <w:uiPriority w:val="99"/>
    <w:semiHidden/>
    <w:unhideWhenUsed/>
    <w:rsid w:val="00A26CD3"/>
  </w:style>
  <w:style w:type="numbering" w:customStyle="1" w:styleId="Sinlista83">
    <w:name w:val="Sin lista83"/>
    <w:next w:val="Sinlista"/>
    <w:uiPriority w:val="99"/>
    <w:semiHidden/>
    <w:unhideWhenUsed/>
    <w:rsid w:val="00A26CD3"/>
  </w:style>
  <w:style w:type="numbering" w:customStyle="1" w:styleId="Sinlista92">
    <w:name w:val="Sin lista92"/>
    <w:next w:val="Sinlista"/>
    <w:uiPriority w:val="99"/>
    <w:semiHidden/>
    <w:unhideWhenUsed/>
    <w:rsid w:val="00A26CD3"/>
  </w:style>
  <w:style w:type="numbering" w:customStyle="1" w:styleId="Sinlista312">
    <w:name w:val="Sin lista312"/>
    <w:next w:val="Sinlista"/>
    <w:uiPriority w:val="99"/>
    <w:semiHidden/>
    <w:unhideWhenUsed/>
    <w:rsid w:val="00A26CD3"/>
  </w:style>
  <w:style w:type="numbering" w:customStyle="1" w:styleId="Sinlista412">
    <w:name w:val="Sin lista412"/>
    <w:next w:val="Sinlista"/>
    <w:uiPriority w:val="99"/>
    <w:semiHidden/>
    <w:unhideWhenUsed/>
    <w:rsid w:val="00A26CD3"/>
  </w:style>
  <w:style w:type="numbering" w:customStyle="1" w:styleId="Sinlista512">
    <w:name w:val="Sin lista512"/>
    <w:next w:val="Sinlista"/>
    <w:uiPriority w:val="99"/>
    <w:semiHidden/>
    <w:unhideWhenUsed/>
    <w:rsid w:val="00A26CD3"/>
  </w:style>
  <w:style w:type="numbering" w:customStyle="1" w:styleId="Sinlista612">
    <w:name w:val="Sin lista612"/>
    <w:next w:val="Sinlista"/>
    <w:uiPriority w:val="99"/>
    <w:semiHidden/>
    <w:unhideWhenUsed/>
    <w:rsid w:val="00A26CD3"/>
  </w:style>
  <w:style w:type="numbering" w:customStyle="1" w:styleId="Sinlista712">
    <w:name w:val="Sin lista712"/>
    <w:next w:val="Sinlista"/>
    <w:uiPriority w:val="99"/>
    <w:semiHidden/>
    <w:unhideWhenUsed/>
    <w:rsid w:val="00A26CD3"/>
  </w:style>
  <w:style w:type="numbering" w:customStyle="1" w:styleId="Sinlista812">
    <w:name w:val="Sin lista812"/>
    <w:next w:val="Sinlista"/>
    <w:uiPriority w:val="99"/>
    <w:semiHidden/>
    <w:unhideWhenUsed/>
    <w:rsid w:val="00A26CD3"/>
  </w:style>
  <w:style w:type="numbering" w:customStyle="1" w:styleId="Sinlista34">
    <w:name w:val="Sin lista34"/>
    <w:next w:val="Sinlista"/>
    <w:uiPriority w:val="99"/>
    <w:semiHidden/>
    <w:unhideWhenUsed/>
    <w:rsid w:val="00A26CD3"/>
  </w:style>
  <w:style w:type="numbering" w:customStyle="1" w:styleId="Sinlista44">
    <w:name w:val="Sin lista44"/>
    <w:next w:val="Sinlista"/>
    <w:uiPriority w:val="99"/>
    <w:semiHidden/>
    <w:unhideWhenUsed/>
    <w:rsid w:val="00A26CD3"/>
  </w:style>
  <w:style w:type="numbering" w:customStyle="1" w:styleId="Sinlista54">
    <w:name w:val="Sin lista54"/>
    <w:next w:val="Sinlista"/>
    <w:uiPriority w:val="99"/>
    <w:semiHidden/>
    <w:unhideWhenUsed/>
    <w:rsid w:val="00A26CD3"/>
  </w:style>
  <w:style w:type="numbering" w:customStyle="1" w:styleId="Sinlista64">
    <w:name w:val="Sin lista64"/>
    <w:next w:val="Sinlista"/>
    <w:uiPriority w:val="99"/>
    <w:semiHidden/>
    <w:unhideWhenUsed/>
    <w:rsid w:val="00A26CD3"/>
  </w:style>
  <w:style w:type="numbering" w:customStyle="1" w:styleId="Sinlista74">
    <w:name w:val="Sin lista74"/>
    <w:next w:val="Sinlista"/>
    <w:uiPriority w:val="99"/>
    <w:semiHidden/>
    <w:unhideWhenUsed/>
    <w:rsid w:val="00A26CD3"/>
  </w:style>
  <w:style w:type="numbering" w:customStyle="1" w:styleId="Sinlista84">
    <w:name w:val="Sin lista84"/>
    <w:next w:val="Sinlista"/>
    <w:uiPriority w:val="99"/>
    <w:semiHidden/>
    <w:unhideWhenUsed/>
    <w:rsid w:val="00A26CD3"/>
  </w:style>
  <w:style w:type="numbering" w:customStyle="1" w:styleId="Sinlista93">
    <w:name w:val="Sin lista93"/>
    <w:next w:val="Sinlista"/>
    <w:uiPriority w:val="99"/>
    <w:semiHidden/>
    <w:unhideWhenUsed/>
    <w:rsid w:val="00A26CD3"/>
  </w:style>
  <w:style w:type="numbering" w:customStyle="1" w:styleId="Sinlista213">
    <w:name w:val="Sin lista213"/>
    <w:next w:val="Sinlista"/>
    <w:uiPriority w:val="99"/>
    <w:semiHidden/>
    <w:unhideWhenUsed/>
    <w:rsid w:val="00A26CD3"/>
  </w:style>
  <w:style w:type="numbering" w:customStyle="1" w:styleId="Sinlista313">
    <w:name w:val="Sin lista313"/>
    <w:next w:val="Sinlista"/>
    <w:uiPriority w:val="99"/>
    <w:semiHidden/>
    <w:unhideWhenUsed/>
    <w:rsid w:val="00A26CD3"/>
  </w:style>
  <w:style w:type="numbering" w:customStyle="1" w:styleId="Sinlista413">
    <w:name w:val="Sin lista413"/>
    <w:next w:val="Sinlista"/>
    <w:uiPriority w:val="99"/>
    <w:semiHidden/>
    <w:unhideWhenUsed/>
    <w:rsid w:val="00A26CD3"/>
  </w:style>
  <w:style w:type="numbering" w:customStyle="1" w:styleId="Sinlista513">
    <w:name w:val="Sin lista513"/>
    <w:next w:val="Sinlista"/>
    <w:uiPriority w:val="99"/>
    <w:semiHidden/>
    <w:unhideWhenUsed/>
    <w:rsid w:val="00A26CD3"/>
  </w:style>
  <w:style w:type="numbering" w:customStyle="1" w:styleId="Sinlista613">
    <w:name w:val="Sin lista613"/>
    <w:next w:val="Sinlista"/>
    <w:uiPriority w:val="99"/>
    <w:semiHidden/>
    <w:unhideWhenUsed/>
    <w:rsid w:val="00A26CD3"/>
  </w:style>
  <w:style w:type="numbering" w:customStyle="1" w:styleId="Sinlista713">
    <w:name w:val="Sin lista713"/>
    <w:next w:val="Sinlista"/>
    <w:uiPriority w:val="99"/>
    <w:semiHidden/>
    <w:unhideWhenUsed/>
    <w:rsid w:val="00A26CD3"/>
  </w:style>
  <w:style w:type="numbering" w:customStyle="1" w:styleId="Sinlista813">
    <w:name w:val="Sin lista813"/>
    <w:next w:val="Sinlista"/>
    <w:uiPriority w:val="99"/>
    <w:semiHidden/>
    <w:unhideWhenUsed/>
    <w:rsid w:val="00A26CD3"/>
  </w:style>
  <w:style w:type="numbering" w:customStyle="1" w:styleId="Sinlista35">
    <w:name w:val="Sin lista35"/>
    <w:next w:val="Sinlista"/>
    <w:uiPriority w:val="99"/>
    <w:semiHidden/>
    <w:unhideWhenUsed/>
    <w:rsid w:val="00A26CD3"/>
  </w:style>
  <w:style w:type="numbering" w:customStyle="1" w:styleId="Sinlista45">
    <w:name w:val="Sin lista45"/>
    <w:next w:val="Sinlista"/>
    <w:uiPriority w:val="99"/>
    <w:semiHidden/>
    <w:unhideWhenUsed/>
    <w:rsid w:val="00A26CD3"/>
  </w:style>
  <w:style w:type="numbering" w:customStyle="1" w:styleId="Sinlista55">
    <w:name w:val="Sin lista55"/>
    <w:next w:val="Sinlista"/>
    <w:uiPriority w:val="99"/>
    <w:semiHidden/>
    <w:unhideWhenUsed/>
    <w:rsid w:val="00A26CD3"/>
  </w:style>
  <w:style w:type="numbering" w:customStyle="1" w:styleId="Sinlista65">
    <w:name w:val="Sin lista65"/>
    <w:next w:val="Sinlista"/>
    <w:uiPriority w:val="99"/>
    <w:semiHidden/>
    <w:unhideWhenUsed/>
    <w:rsid w:val="00A26CD3"/>
  </w:style>
  <w:style w:type="numbering" w:customStyle="1" w:styleId="Sinlista75">
    <w:name w:val="Sin lista75"/>
    <w:next w:val="Sinlista"/>
    <w:uiPriority w:val="99"/>
    <w:semiHidden/>
    <w:unhideWhenUsed/>
    <w:rsid w:val="00A26CD3"/>
  </w:style>
  <w:style w:type="numbering" w:customStyle="1" w:styleId="Sinlista85">
    <w:name w:val="Sin lista85"/>
    <w:next w:val="Sinlista"/>
    <w:uiPriority w:val="99"/>
    <w:semiHidden/>
    <w:unhideWhenUsed/>
    <w:rsid w:val="00A26CD3"/>
  </w:style>
  <w:style w:type="numbering" w:customStyle="1" w:styleId="Sinlista94">
    <w:name w:val="Sin lista94"/>
    <w:next w:val="Sinlista"/>
    <w:uiPriority w:val="99"/>
    <w:semiHidden/>
    <w:unhideWhenUsed/>
    <w:rsid w:val="00A26CD3"/>
  </w:style>
  <w:style w:type="numbering" w:customStyle="1" w:styleId="Sinlista214">
    <w:name w:val="Sin lista214"/>
    <w:next w:val="Sinlista"/>
    <w:uiPriority w:val="99"/>
    <w:semiHidden/>
    <w:unhideWhenUsed/>
    <w:rsid w:val="00A26CD3"/>
  </w:style>
  <w:style w:type="numbering" w:customStyle="1" w:styleId="Sinlista314">
    <w:name w:val="Sin lista314"/>
    <w:next w:val="Sinlista"/>
    <w:uiPriority w:val="99"/>
    <w:semiHidden/>
    <w:unhideWhenUsed/>
    <w:rsid w:val="00A26CD3"/>
  </w:style>
  <w:style w:type="numbering" w:customStyle="1" w:styleId="Sinlista414">
    <w:name w:val="Sin lista414"/>
    <w:next w:val="Sinlista"/>
    <w:uiPriority w:val="99"/>
    <w:semiHidden/>
    <w:unhideWhenUsed/>
    <w:rsid w:val="00A26CD3"/>
  </w:style>
  <w:style w:type="numbering" w:customStyle="1" w:styleId="Sinlista514">
    <w:name w:val="Sin lista514"/>
    <w:next w:val="Sinlista"/>
    <w:uiPriority w:val="99"/>
    <w:semiHidden/>
    <w:unhideWhenUsed/>
    <w:rsid w:val="00A26CD3"/>
  </w:style>
  <w:style w:type="numbering" w:customStyle="1" w:styleId="Sinlista614">
    <w:name w:val="Sin lista614"/>
    <w:next w:val="Sinlista"/>
    <w:uiPriority w:val="99"/>
    <w:semiHidden/>
    <w:unhideWhenUsed/>
    <w:rsid w:val="00A26CD3"/>
  </w:style>
  <w:style w:type="numbering" w:customStyle="1" w:styleId="Sinlista714">
    <w:name w:val="Sin lista714"/>
    <w:next w:val="Sinlista"/>
    <w:uiPriority w:val="99"/>
    <w:semiHidden/>
    <w:unhideWhenUsed/>
    <w:rsid w:val="00A26CD3"/>
  </w:style>
  <w:style w:type="numbering" w:customStyle="1" w:styleId="Sinlista814">
    <w:name w:val="Sin lista814"/>
    <w:next w:val="Sinlista"/>
    <w:uiPriority w:val="99"/>
    <w:semiHidden/>
    <w:unhideWhenUsed/>
    <w:rsid w:val="00A26CD3"/>
  </w:style>
  <w:style w:type="paragraph" w:customStyle="1" w:styleId="OmniPage7">
    <w:name w:val="OmniPage #7"/>
    <w:rsid w:val="00A26CD3"/>
    <w:pPr>
      <w:widowControl w:val="0"/>
      <w:tabs>
        <w:tab w:val="left" w:pos="100"/>
        <w:tab w:val="right" w:pos="4376"/>
      </w:tabs>
      <w:snapToGrid w:val="0"/>
      <w:spacing w:after="0" w:line="240" w:lineRule="auto"/>
      <w:jc w:val="both"/>
    </w:pPr>
    <w:rPr>
      <w:rFonts w:ascii="CG Times" w:eastAsia="Times New Roman" w:hAnsi="CG Times" w:cs="Times New Roman"/>
      <w:sz w:val="20"/>
      <w:szCs w:val="20"/>
      <w:lang w:val="en-US" w:eastAsia="es-ES"/>
    </w:rPr>
  </w:style>
  <w:style w:type="character" w:customStyle="1" w:styleId="WW8Num7z1">
    <w:name w:val="WW8Num7z1"/>
    <w:rsid w:val="00A26CD3"/>
    <w:rPr>
      <w:rFonts w:hint="default"/>
      <w:lang w:val="es-ES" w:bidi="ar-SA"/>
    </w:rPr>
  </w:style>
  <w:style w:type="character" w:customStyle="1" w:styleId="WW8Num8z1">
    <w:name w:val="WW8Num8z1"/>
    <w:rsid w:val="00A26CD3"/>
    <w:rPr>
      <w:rFonts w:hint="default"/>
      <w:lang w:val="es-ES" w:bidi="ar-SA"/>
    </w:rPr>
  </w:style>
  <w:style w:type="character" w:customStyle="1" w:styleId="WW8Num9z1">
    <w:name w:val="WW8Num9z1"/>
    <w:rsid w:val="00A26CD3"/>
  </w:style>
  <w:style w:type="character" w:customStyle="1" w:styleId="WW8Num9z2">
    <w:name w:val="WW8Num9z2"/>
    <w:rsid w:val="00A26CD3"/>
  </w:style>
  <w:style w:type="character" w:customStyle="1" w:styleId="WW8Num9z3">
    <w:name w:val="WW8Num9z3"/>
    <w:rsid w:val="00A26CD3"/>
  </w:style>
  <w:style w:type="character" w:customStyle="1" w:styleId="WW8Num9z4">
    <w:name w:val="WW8Num9z4"/>
    <w:rsid w:val="00A26CD3"/>
  </w:style>
  <w:style w:type="character" w:customStyle="1" w:styleId="WW8Num9z5">
    <w:name w:val="WW8Num9z5"/>
    <w:rsid w:val="00A26CD3"/>
  </w:style>
  <w:style w:type="character" w:customStyle="1" w:styleId="WW8Num9z6">
    <w:name w:val="WW8Num9z6"/>
    <w:rsid w:val="00A26CD3"/>
  </w:style>
  <w:style w:type="character" w:customStyle="1" w:styleId="WW8Num9z7">
    <w:name w:val="WW8Num9z7"/>
    <w:rsid w:val="00A26CD3"/>
  </w:style>
  <w:style w:type="character" w:customStyle="1" w:styleId="WW8Num9z8">
    <w:name w:val="WW8Num9z8"/>
    <w:rsid w:val="00A26CD3"/>
  </w:style>
  <w:style w:type="character" w:customStyle="1" w:styleId="WW8Num10z0">
    <w:name w:val="WW8Num10z0"/>
    <w:rsid w:val="00A26CD3"/>
    <w:rPr>
      <w:rFonts w:ascii="Arial MT" w:eastAsia="Arial MT" w:hAnsi="Arial MT" w:cs="Arial MT" w:hint="default"/>
      <w:spacing w:val="-2"/>
      <w:w w:val="100"/>
      <w:sz w:val="24"/>
      <w:szCs w:val="24"/>
      <w:lang w:val="es-ES" w:bidi="ar-SA"/>
    </w:rPr>
  </w:style>
  <w:style w:type="character" w:customStyle="1" w:styleId="WW8Num10z1">
    <w:name w:val="WW8Num10z1"/>
    <w:rsid w:val="00A26CD3"/>
    <w:rPr>
      <w:rFonts w:hint="default"/>
      <w:lang w:val="es-ES" w:bidi="ar-SA"/>
    </w:rPr>
  </w:style>
  <w:style w:type="character" w:customStyle="1" w:styleId="WW8Num11z0">
    <w:name w:val="WW8Num11z0"/>
    <w:rsid w:val="00A26CD3"/>
    <w:rPr>
      <w:b/>
      <w:bCs/>
    </w:rPr>
  </w:style>
  <w:style w:type="character" w:customStyle="1" w:styleId="WW8Num11z1">
    <w:name w:val="WW8Num11z1"/>
    <w:rsid w:val="00A26CD3"/>
    <w:rPr>
      <w:rFonts w:cs="Times New Roman"/>
    </w:rPr>
  </w:style>
  <w:style w:type="character" w:customStyle="1" w:styleId="WW8Num12z0">
    <w:name w:val="WW8Num12z0"/>
    <w:rsid w:val="00A26CD3"/>
    <w:rPr>
      <w:bCs/>
      <w:spacing w:val="-4"/>
      <w:sz w:val="24"/>
    </w:rPr>
  </w:style>
  <w:style w:type="character" w:customStyle="1" w:styleId="WW8Num12z1">
    <w:name w:val="WW8Num12z1"/>
    <w:rsid w:val="00A26CD3"/>
  </w:style>
  <w:style w:type="character" w:customStyle="1" w:styleId="WW8Num12z2">
    <w:name w:val="WW8Num12z2"/>
    <w:rsid w:val="00A26CD3"/>
  </w:style>
  <w:style w:type="character" w:customStyle="1" w:styleId="WW8Num12z3">
    <w:name w:val="WW8Num12z3"/>
    <w:rsid w:val="00A26CD3"/>
  </w:style>
  <w:style w:type="character" w:customStyle="1" w:styleId="WW8Num12z4">
    <w:name w:val="WW8Num12z4"/>
    <w:rsid w:val="00A26CD3"/>
  </w:style>
  <w:style w:type="character" w:customStyle="1" w:styleId="WW8Num12z5">
    <w:name w:val="WW8Num12z5"/>
    <w:rsid w:val="00A26CD3"/>
  </w:style>
  <w:style w:type="character" w:customStyle="1" w:styleId="WW8Num12z6">
    <w:name w:val="WW8Num12z6"/>
    <w:rsid w:val="00A26CD3"/>
  </w:style>
  <w:style w:type="character" w:customStyle="1" w:styleId="WW8Num12z7">
    <w:name w:val="WW8Num12z7"/>
    <w:rsid w:val="00A26CD3"/>
  </w:style>
  <w:style w:type="character" w:customStyle="1" w:styleId="WW8Num12z8">
    <w:name w:val="WW8Num12z8"/>
    <w:rsid w:val="00A26CD3"/>
  </w:style>
  <w:style w:type="character" w:customStyle="1" w:styleId="WW8Num13z0">
    <w:name w:val="WW8Num13z0"/>
    <w:rsid w:val="00A26CD3"/>
    <w:rPr>
      <w:rFonts w:ascii="Arial MT" w:eastAsia="Arial MT" w:hAnsi="Arial MT" w:cs="Arial MT" w:hint="default"/>
      <w:b/>
      <w:bCs/>
      <w:spacing w:val="-2"/>
      <w:w w:val="100"/>
      <w:sz w:val="24"/>
      <w:szCs w:val="24"/>
      <w:lang w:val="es-ES" w:bidi="ar-SA"/>
    </w:rPr>
  </w:style>
  <w:style w:type="character" w:customStyle="1" w:styleId="WW8Num13z1">
    <w:name w:val="WW8Num13z1"/>
    <w:rsid w:val="00A26CD3"/>
    <w:rPr>
      <w:rFonts w:hint="default"/>
      <w:lang w:val="es-ES" w:bidi="ar-SA"/>
    </w:rPr>
  </w:style>
  <w:style w:type="character" w:customStyle="1" w:styleId="WW8Num14z0">
    <w:name w:val="WW8Num14z0"/>
    <w:rsid w:val="00A26CD3"/>
    <w:rPr>
      <w:rFonts w:ascii="Arial" w:hAnsi="Arial" w:cs="Arial"/>
      <w:bCs/>
      <w:spacing w:val="-4"/>
      <w:sz w:val="24"/>
    </w:rPr>
  </w:style>
  <w:style w:type="character" w:customStyle="1" w:styleId="WW8Num14z1">
    <w:name w:val="WW8Num14z1"/>
    <w:rsid w:val="00A26CD3"/>
  </w:style>
  <w:style w:type="character" w:customStyle="1" w:styleId="WW8Num14z2">
    <w:name w:val="WW8Num14z2"/>
    <w:rsid w:val="00A26CD3"/>
  </w:style>
  <w:style w:type="character" w:customStyle="1" w:styleId="WW8Num14z3">
    <w:name w:val="WW8Num14z3"/>
    <w:rsid w:val="00A26CD3"/>
  </w:style>
  <w:style w:type="character" w:customStyle="1" w:styleId="WW8Num14z4">
    <w:name w:val="WW8Num14z4"/>
    <w:rsid w:val="00A26CD3"/>
  </w:style>
  <w:style w:type="character" w:customStyle="1" w:styleId="WW8Num14z5">
    <w:name w:val="WW8Num14z5"/>
    <w:rsid w:val="00A26CD3"/>
  </w:style>
  <w:style w:type="character" w:customStyle="1" w:styleId="WW8Num14z6">
    <w:name w:val="WW8Num14z6"/>
    <w:rsid w:val="00A26CD3"/>
  </w:style>
  <w:style w:type="character" w:customStyle="1" w:styleId="WW8Num14z7">
    <w:name w:val="WW8Num14z7"/>
    <w:rsid w:val="00A26CD3"/>
  </w:style>
  <w:style w:type="character" w:customStyle="1" w:styleId="WW8Num14z8">
    <w:name w:val="WW8Num14z8"/>
    <w:rsid w:val="00A26CD3"/>
  </w:style>
  <w:style w:type="character" w:customStyle="1" w:styleId="WW8Num15z0">
    <w:name w:val="WW8Num15z0"/>
    <w:rsid w:val="00A26CD3"/>
    <w:rPr>
      <w:rFonts w:ascii="Arial MT" w:eastAsia="Arial MT" w:hAnsi="Arial MT" w:cs="Arial MT" w:hint="default"/>
      <w:spacing w:val="-2"/>
      <w:w w:val="100"/>
      <w:sz w:val="24"/>
      <w:szCs w:val="24"/>
      <w:lang w:val="es-ES" w:bidi="ar-SA"/>
    </w:rPr>
  </w:style>
  <w:style w:type="character" w:customStyle="1" w:styleId="WW8Num15z1">
    <w:name w:val="WW8Num15z1"/>
    <w:rsid w:val="00A26CD3"/>
    <w:rPr>
      <w:rFonts w:hint="default"/>
      <w:lang w:val="es-ES" w:bidi="ar-SA"/>
    </w:rPr>
  </w:style>
  <w:style w:type="character" w:customStyle="1" w:styleId="WW8Num16z0">
    <w:name w:val="WW8Num16z0"/>
    <w:rsid w:val="00A26CD3"/>
    <w:rPr>
      <w:rFonts w:ascii="Arial" w:hAnsi="Arial" w:cs="Times New Roman"/>
      <w:sz w:val="24"/>
      <w:szCs w:val="24"/>
      <w:lang w:val="es"/>
    </w:rPr>
  </w:style>
  <w:style w:type="character" w:customStyle="1" w:styleId="WW8Num17z0">
    <w:name w:val="WW8Num17z0"/>
    <w:rsid w:val="00A26CD3"/>
    <w:rPr>
      <w:rFonts w:ascii="Arial" w:hAnsi="Arial" w:cs="Arial"/>
      <w:b/>
      <w:bCs/>
      <w:sz w:val="24"/>
      <w:szCs w:val="24"/>
      <w:highlight w:val="cyan"/>
    </w:rPr>
  </w:style>
  <w:style w:type="character" w:customStyle="1" w:styleId="WW8Num17z1">
    <w:name w:val="WW8Num17z1"/>
    <w:rsid w:val="00A26CD3"/>
  </w:style>
  <w:style w:type="character" w:customStyle="1" w:styleId="WW8Num17z2">
    <w:name w:val="WW8Num17z2"/>
    <w:rsid w:val="00A26CD3"/>
  </w:style>
  <w:style w:type="character" w:customStyle="1" w:styleId="WW8Num17z3">
    <w:name w:val="WW8Num17z3"/>
    <w:rsid w:val="00A26CD3"/>
  </w:style>
  <w:style w:type="character" w:customStyle="1" w:styleId="WW8Num17z4">
    <w:name w:val="WW8Num17z4"/>
    <w:rsid w:val="00A26CD3"/>
  </w:style>
  <w:style w:type="character" w:customStyle="1" w:styleId="WW8Num17z5">
    <w:name w:val="WW8Num17z5"/>
    <w:rsid w:val="00A26CD3"/>
  </w:style>
  <w:style w:type="character" w:customStyle="1" w:styleId="WW8Num17z6">
    <w:name w:val="WW8Num17z6"/>
    <w:rsid w:val="00A26CD3"/>
  </w:style>
  <w:style w:type="character" w:customStyle="1" w:styleId="WW8Num17z7">
    <w:name w:val="WW8Num17z7"/>
    <w:rsid w:val="00A26CD3"/>
  </w:style>
  <w:style w:type="character" w:customStyle="1" w:styleId="WW8Num17z8">
    <w:name w:val="WW8Num17z8"/>
    <w:rsid w:val="00A26CD3"/>
  </w:style>
  <w:style w:type="character" w:customStyle="1" w:styleId="WW8Num18z0">
    <w:name w:val="WW8Num18z0"/>
    <w:rsid w:val="00A26CD3"/>
    <w:rPr>
      <w:rFonts w:hint="default"/>
    </w:rPr>
  </w:style>
  <w:style w:type="character" w:customStyle="1" w:styleId="WW8Num18z1">
    <w:name w:val="WW8Num18z1"/>
    <w:rsid w:val="00A26CD3"/>
  </w:style>
  <w:style w:type="character" w:customStyle="1" w:styleId="WW8Num18z2">
    <w:name w:val="WW8Num18z2"/>
    <w:rsid w:val="00A26CD3"/>
  </w:style>
  <w:style w:type="character" w:customStyle="1" w:styleId="WW8Num18z3">
    <w:name w:val="WW8Num18z3"/>
    <w:rsid w:val="00A26CD3"/>
  </w:style>
  <w:style w:type="character" w:customStyle="1" w:styleId="WW8Num18z4">
    <w:name w:val="WW8Num18z4"/>
    <w:rsid w:val="00A26CD3"/>
  </w:style>
  <w:style w:type="character" w:customStyle="1" w:styleId="WW8Num18z5">
    <w:name w:val="WW8Num18z5"/>
    <w:rsid w:val="00A26CD3"/>
  </w:style>
  <w:style w:type="character" w:customStyle="1" w:styleId="WW8Num18z6">
    <w:name w:val="WW8Num18z6"/>
    <w:rsid w:val="00A26CD3"/>
  </w:style>
  <w:style w:type="character" w:customStyle="1" w:styleId="WW8Num18z7">
    <w:name w:val="WW8Num18z7"/>
    <w:rsid w:val="00A26CD3"/>
  </w:style>
  <w:style w:type="character" w:customStyle="1" w:styleId="WW8Num18z8">
    <w:name w:val="WW8Num18z8"/>
    <w:rsid w:val="00A26CD3"/>
  </w:style>
  <w:style w:type="character" w:customStyle="1" w:styleId="WW8Num19z0">
    <w:name w:val="WW8Num19z0"/>
    <w:rsid w:val="00A26CD3"/>
    <w:rPr>
      <w:rFonts w:ascii="Arial" w:hAnsi="Arial" w:cs="Arial"/>
      <w:sz w:val="24"/>
      <w:szCs w:val="24"/>
    </w:rPr>
  </w:style>
  <w:style w:type="character" w:customStyle="1" w:styleId="WW8Num19z1">
    <w:name w:val="WW8Num19z1"/>
    <w:rsid w:val="00A26CD3"/>
  </w:style>
  <w:style w:type="character" w:customStyle="1" w:styleId="WW8Num19z2">
    <w:name w:val="WW8Num19z2"/>
    <w:rsid w:val="00A26CD3"/>
  </w:style>
  <w:style w:type="character" w:customStyle="1" w:styleId="WW8Num19z3">
    <w:name w:val="WW8Num19z3"/>
    <w:rsid w:val="00A26CD3"/>
  </w:style>
  <w:style w:type="character" w:customStyle="1" w:styleId="WW8Num19z4">
    <w:name w:val="WW8Num19z4"/>
    <w:rsid w:val="00A26CD3"/>
  </w:style>
  <w:style w:type="character" w:customStyle="1" w:styleId="WW8Num19z5">
    <w:name w:val="WW8Num19z5"/>
    <w:rsid w:val="00A26CD3"/>
  </w:style>
  <w:style w:type="character" w:customStyle="1" w:styleId="WW8Num19z6">
    <w:name w:val="WW8Num19z6"/>
    <w:rsid w:val="00A26CD3"/>
  </w:style>
  <w:style w:type="character" w:customStyle="1" w:styleId="WW8Num19z7">
    <w:name w:val="WW8Num19z7"/>
    <w:rsid w:val="00A26CD3"/>
  </w:style>
  <w:style w:type="character" w:customStyle="1" w:styleId="WW8Num19z8">
    <w:name w:val="WW8Num19z8"/>
    <w:rsid w:val="00A26CD3"/>
  </w:style>
  <w:style w:type="character" w:customStyle="1" w:styleId="WW8Num20z0">
    <w:name w:val="WW8Num20z0"/>
    <w:rsid w:val="00A26CD3"/>
    <w:rPr>
      <w:rFonts w:ascii="Arial MT" w:eastAsia="Arial MT" w:hAnsi="Arial MT" w:cs="Arial MT" w:hint="default"/>
      <w:spacing w:val="-2"/>
      <w:w w:val="100"/>
      <w:sz w:val="24"/>
      <w:szCs w:val="24"/>
      <w:lang w:val="es-ES" w:bidi="ar-SA"/>
    </w:rPr>
  </w:style>
  <w:style w:type="character" w:customStyle="1" w:styleId="WW8Num20z1">
    <w:name w:val="WW8Num20z1"/>
    <w:rsid w:val="00A26CD3"/>
    <w:rPr>
      <w:rFonts w:ascii="Arial MT" w:eastAsia="Arial MT" w:hAnsi="Arial MT" w:cs="Arial MT" w:hint="default"/>
      <w:spacing w:val="0"/>
      <w:w w:val="100"/>
      <w:sz w:val="24"/>
      <w:szCs w:val="24"/>
      <w:lang w:val="es-ES" w:bidi="ar-SA"/>
    </w:rPr>
  </w:style>
  <w:style w:type="character" w:customStyle="1" w:styleId="WW8Num20z3">
    <w:name w:val="WW8Num20z3"/>
    <w:rsid w:val="00A26CD3"/>
    <w:rPr>
      <w:rFonts w:hint="default"/>
      <w:lang w:val="es-ES" w:bidi="ar-SA"/>
    </w:rPr>
  </w:style>
  <w:style w:type="character" w:customStyle="1" w:styleId="WW8Num21z0">
    <w:name w:val="WW8Num21z0"/>
    <w:rsid w:val="00A26CD3"/>
    <w:rPr>
      <w:rFonts w:ascii="Arial" w:hAnsi="Arial" w:cs="Arial"/>
      <w:bCs/>
      <w:spacing w:val="-4"/>
      <w:sz w:val="24"/>
    </w:rPr>
  </w:style>
  <w:style w:type="character" w:customStyle="1" w:styleId="WW8Num21z1">
    <w:name w:val="WW8Num21z1"/>
    <w:rsid w:val="00A26CD3"/>
  </w:style>
  <w:style w:type="character" w:customStyle="1" w:styleId="WW8Num21z2">
    <w:name w:val="WW8Num21z2"/>
    <w:rsid w:val="00A26CD3"/>
  </w:style>
  <w:style w:type="character" w:customStyle="1" w:styleId="WW8Num21z3">
    <w:name w:val="WW8Num21z3"/>
    <w:rsid w:val="00A26CD3"/>
  </w:style>
  <w:style w:type="character" w:customStyle="1" w:styleId="WW8Num21z4">
    <w:name w:val="WW8Num21z4"/>
    <w:rsid w:val="00A26CD3"/>
  </w:style>
  <w:style w:type="character" w:customStyle="1" w:styleId="WW8Num21z5">
    <w:name w:val="WW8Num21z5"/>
    <w:rsid w:val="00A26CD3"/>
  </w:style>
  <w:style w:type="character" w:customStyle="1" w:styleId="WW8Num21z6">
    <w:name w:val="WW8Num21z6"/>
    <w:rsid w:val="00A26CD3"/>
  </w:style>
  <w:style w:type="character" w:customStyle="1" w:styleId="WW8Num21z7">
    <w:name w:val="WW8Num21z7"/>
    <w:rsid w:val="00A26CD3"/>
  </w:style>
  <w:style w:type="character" w:customStyle="1" w:styleId="WW8Num21z8">
    <w:name w:val="WW8Num21z8"/>
    <w:rsid w:val="00A26CD3"/>
  </w:style>
  <w:style w:type="character" w:customStyle="1" w:styleId="WW8Num22z0">
    <w:name w:val="WW8Num22z0"/>
    <w:rsid w:val="00A26CD3"/>
    <w:rPr>
      <w:rFonts w:ascii="Arial" w:hAnsi="Arial" w:cs="Times New Roman"/>
      <w:sz w:val="24"/>
      <w:szCs w:val="24"/>
      <w:lang w:val="es"/>
    </w:rPr>
  </w:style>
  <w:style w:type="character" w:customStyle="1" w:styleId="WW8Num23z0">
    <w:name w:val="WW8Num23z0"/>
    <w:rsid w:val="00A26CD3"/>
    <w:rPr>
      <w:rFonts w:ascii="Arial MT" w:eastAsia="Arial MT" w:hAnsi="Arial MT" w:cs="Arial MT" w:hint="default"/>
      <w:spacing w:val="-2"/>
      <w:w w:val="100"/>
      <w:sz w:val="24"/>
      <w:szCs w:val="24"/>
      <w:highlight w:val="yellow"/>
      <w:lang w:val="es-ES" w:bidi="ar-SA"/>
    </w:rPr>
  </w:style>
  <w:style w:type="character" w:customStyle="1" w:styleId="WW8Num23z1">
    <w:name w:val="WW8Num23z1"/>
    <w:rsid w:val="00A26CD3"/>
    <w:rPr>
      <w:rFonts w:hint="default"/>
      <w:lang w:val="es-ES" w:bidi="ar-SA"/>
    </w:rPr>
  </w:style>
  <w:style w:type="character" w:customStyle="1" w:styleId="WW8Num24z0">
    <w:name w:val="WW8Num24z0"/>
    <w:rsid w:val="00A26CD3"/>
    <w:rPr>
      <w:rFonts w:ascii="Arial" w:hAnsi="Arial" w:cs="Arial" w:hint="default"/>
      <w:b/>
      <w:bCs/>
      <w:sz w:val="24"/>
      <w:szCs w:val="24"/>
    </w:rPr>
  </w:style>
  <w:style w:type="character" w:customStyle="1" w:styleId="WW8Num24z1">
    <w:name w:val="WW8Num24z1"/>
    <w:rsid w:val="00A26CD3"/>
  </w:style>
  <w:style w:type="character" w:customStyle="1" w:styleId="WW8Num24z2">
    <w:name w:val="WW8Num24z2"/>
    <w:rsid w:val="00A26CD3"/>
  </w:style>
  <w:style w:type="character" w:customStyle="1" w:styleId="WW8Num24z3">
    <w:name w:val="WW8Num24z3"/>
    <w:rsid w:val="00A26CD3"/>
  </w:style>
  <w:style w:type="character" w:customStyle="1" w:styleId="WW8Num24z4">
    <w:name w:val="WW8Num24z4"/>
    <w:rsid w:val="00A26CD3"/>
  </w:style>
  <w:style w:type="character" w:customStyle="1" w:styleId="WW8Num24z5">
    <w:name w:val="WW8Num24z5"/>
    <w:rsid w:val="00A26CD3"/>
  </w:style>
  <w:style w:type="character" w:customStyle="1" w:styleId="WW8Num24z6">
    <w:name w:val="WW8Num24z6"/>
    <w:rsid w:val="00A26CD3"/>
  </w:style>
  <w:style w:type="character" w:customStyle="1" w:styleId="WW8Num24z7">
    <w:name w:val="WW8Num24z7"/>
    <w:rsid w:val="00A26CD3"/>
  </w:style>
  <w:style w:type="character" w:customStyle="1" w:styleId="WW8Num24z8">
    <w:name w:val="WW8Num24z8"/>
    <w:rsid w:val="00A26CD3"/>
  </w:style>
  <w:style w:type="character" w:customStyle="1" w:styleId="WW8Num25z0">
    <w:name w:val="WW8Num25z0"/>
    <w:rsid w:val="00A26CD3"/>
  </w:style>
  <w:style w:type="character" w:customStyle="1" w:styleId="WW8Num25z1">
    <w:name w:val="WW8Num25z1"/>
    <w:rsid w:val="00A26CD3"/>
  </w:style>
  <w:style w:type="character" w:customStyle="1" w:styleId="WW8Num25z2">
    <w:name w:val="WW8Num25z2"/>
    <w:rsid w:val="00A26CD3"/>
  </w:style>
  <w:style w:type="character" w:customStyle="1" w:styleId="WW8Num25z3">
    <w:name w:val="WW8Num25z3"/>
    <w:rsid w:val="00A26CD3"/>
  </w:style>
  <w:style w:type="character" w:customStyle="1" w:styleId="WW8Num25z4">
    <w:name w:val="WW8Num25z4"/>
    <w:rsid w:val="00A26CD3"/>
  </w:style>
  <w:style w:type="character" w:customStyle="1" w:styleId="WW8Num25z5">
    <w:name w:val="WW8Num25z5"/>
    <w:rsid w:val="00A26CD3"/>
  </w:style>
  <w:style w:type="character" w:customStyle="1" w:styleId="WW8Num25z6">
    <w:name w:val="WW8Num25z6"/>
    <w:rsid w:val="00A26CD3"/>
  </w:style>
  <w:style w:type="character" w:customStyle="1" w:styleId="WW8Num25z7">
    <w:name w:val="WW8Num25z7"/>
    <w:rsid w:val="00A26CD3"/>
  </w:style>
  <w:style w:type="character" w:customStyle="1" w:styleId="WW8Num25z8">
    <w:name w:val="WW8Num25z8"/>
    <w:rsid w:val="00A26CD3"/>
  </w:style>
  <w:style w:type="character" w:customStyle="1" w:styleId="WW8Num26z0">
    <w:name w:val="WW8Num26z0"/>
    <w:rsid w:val="00A26CD3"/>
    <w:rPr>
      <w:rFonts w:ascii="Symbol" w:hAnsi="Symbol" w:cs="Symbol" w:hint="default"/>
      <w:color w:val="000000"/>
    </w:rPr>
  </w:style>
  <w:style w:type="character" w:customStyle="1" w:styleId="WW8Num26z1">
    <w:name w:val="WW8Num26z1"/>
    <w:rsid w:val="00A26CD3"/>
    <w:rPr>
      <w:rFonts w:ascii="Courier New" w:hAnsi="Courier New" w:cs="Courier New" w:hint="default"/>
    </w:rPr>
  </w:style>
  <w:style w:type="character" w:customStyle="1" w:styleId="WW8Num26z2">
    <w:name w:val="WW8Num26z2"/>
    <w:rsid w:val="00A26CD3"/>
    <w:rPr>
      <w:rFonts w:ascii="Wingdings" w:hAnsi="Wingdings" w:cs="Wingdings" w:hint="default"/>
    </w:rPr>
  </w:style>
  <w:style w:type="character" w:customStyle="1" w:styleId="WW8Num26z3">
    <w:name w:val="WW8Num26z3"/>
    <w:rsid w:val="00A26CD3"/>
    <w:rPr>
      <w:rFonts w:ascii="Symbol" w:hAnsi="Symbol" w:cs="Symbol" w:hint="default"/>
    </w:rPr>
  </w:style>
  <w:style w:type="character" w:customStyle="1" w:styleId="WW8Num27z0">
    <w:name w:val="WW8Num27z0"/>
    <w:rsid w:val="00A26CD3"/>
    <w:rPr>
      <w:rFonts w:ascii="Symbol" w:hAnsi="Symbol" w:cs="Symbol" w:hint="default"/>
    </w:rPr>
  </w:style>
  <w:style w:type="character" w:customStyle="1" w:styleId="WW8Num27z1">
    <w:name w:val="WW8Num27z1"/>
    <w:rsid w:val="00A26CD3"/>
    <w:rPr>
      <w:rFonts w:ascii="Courier New" w:hAnsi="Courier New" w:cs="Courier New" w:hint="default"/>
    </w:rPr>
  </w:style>
  <w:style w:type="character" w:customStyle="1" w:styleId="WW8Num27z2">
    <w:name w:val="WW8Num27z2"/>
    <w:rsid w:val="00A26CD3"/>
    <w:rPr>
      <w:rFonts w:ascii="Wingdings" w:hAnsi="Wingdings" w:cs="Wingdings" w:hint="default"/>
    </w:rPr>
  </w:style>
  <w:style w:type="character" w:customStyle="1" w:styleId="WW8Num28z0">
    <w:name w:val="WW8Num28z0"/>
    <w:rsid w:val="00A26CD3"/>
    <w:rPr>
      <w:rFonts w:ascii="Arial MT" w:eastAsia="Arial MT" w:hAnsi="Arial MT" w:cs="Arial MT" w:hint="default"/>
      <w:spacing w:val="-2"/>
      <w:w w:val="100"/>
      <w:sz w:val="24"/>
      <w:szCs w:val="24"/>
      <w:lang w:val="es-ES" w:bidi="ar-SA"/>
    </w:rPr>
  </w:style>
  <w:style w:type="character" w:customStyle="1" w:styleId="WW8Num28z1">
    <w:name w:val="WW8Num28z1"/>
    <w:rsid w:val="00A26CD3"/>
    <w:rPr>
      <w:rFonts w:hint="default"/>
      <w:lang w:val="es-ES" w:bidi="ar-SA"/>
    </w:rPr>
  </w:style>
  <w:style w:type="character" w:customStyle="1" w:styleId="WW8Num29z0">
    <w:name w:val="WW8Num29z0"/>
    <w:rsid w:val="00A26CD3"/>
    <w:rPr>
      <w:sz w:val="24"/>
      <w:highlight w:val="cyan"/>
      <w:lang w:val="es-MX"/>
    </w:rPr>
  </w:style>
  <w:style w:type="character" w:customStyle="1" w:styleId="WW8Num29z1">
    <w:name w:val="WW8Num29z1"/>
    <w:rsid w:val="00A26CD3"/>
  </w:style>
  <w:style w:type="character" w:customStyle="1" w:styleId="WW8Num29z2">
    <w:name w:val="WW8Num29z2"/>
    <w:rsid w:val="00A26CD3"/>
  </w:style>
  <w:style w:type="character" w:customStyle="1" w:styleId="WW8Num29z3">
    <w:name w:val="WW8Num29z3"/>
    <w:rsid w:val="00A26CD3"/>
  </w:style>
  <w:style w:type="character" w:customStyle="1" w:styleId="WW8Num29z4">
    <w:name w:val="WW8Num29z4"/>
    <w:rsid w:val="00A26CD3"/>
  </w:style>
  <w:style w:type="character" w:customStyle="1" w:styleId="WW8Num29z5">
    <w:name w:val="WW8Num29z5"/>
    <w:rsid w:val="00A26CD3"/>
  </w:style>
  <w:style w:type="character" w:customStyle="1" w:styleId="WW8Num29z6">
    <w:name w:val="WW8Num29z6"/>
    <w:rsid w:val="00A26CD3"/>
  </w:style>
  <w:style w:type="character" w:customStyle="1" w:styleId="WW8Num29z7">
    <w:name w:val="WW8Num29z7"/>
    <w:rsid w:val="00A26CD3"/>
  </w:style>
  <w:style w:type="character" w:customStyle="1" w:styleId="WW8Num29z8">
    <w:name w:val="WW8Num29z8"/>
    <w:rsid w:val="00A26CD3"/>
  </w:style>
  <w:style w:type="character" w:customStyle="1" w:styleId="WW8Num30z0">
    <w:name w:val="WW8Num30z0"/>
    <w:rsid w:val="00A26CD3"/>
    <w:rPr>
      <w:rFonts w:ascii="Arial MT" w:eastAsia="Arial MT" w:hAnsi="Arial MT" w:cs="Arial MT" w:hint="default"/>
      <w:spacing w:val="-2"/>
      <w:w w:val="100"/>
      <w:sz w:val="24"/>
      <w:szCs w:val="24"/>
      <w:lang w:val="es-ES" w:bidi="ar-SA"/>
    </w:rPr>
  </w:style>
  <w:style w:type="character" w:customStyle="1" w:styleId="WW8Num30z1">
    <w:name w:val="WW8Num30z1"/>
    <w:rsid w:val="00A26CD3"/>
    <w:rPr>
      <w:rFonts w:hint="default"/>
      <w:lang w:val="es-ES" w:bidi="ar-SA"/>
    </w:rPr>
  </w:style>
  <w:style w:type="paragraph" w:customStyle="1" w:styleId="Cabeceraypie">
    <w:name w:val="Cabecera y pie"/>
    <w:basedOn w:val="Normal"/>
    <w:qFormat/>
    <w:rsid w:val="00A26CD3"/>
    <w:pPr>
      <w:widowControl w:val="0"/>
      <w:suppressLineNumbers/>
      <w:tabs>
        <w:tab w:val="center" w:pos="4986"/>
        <w:tab w:val="right" w:pos="9972"/>
      </w:tabs>
      <w:suppressAutoHyphens/>
      <w:autoSpaceDE w:val="0"/>
      <w:spacing w:after="0" w:line="240" w:lineRule="auto"/>
    </w:pPr>
    <w:rPr>
      <w:rFonts w:ascii="Arial MT" w:eastAsia="Arial MT" w:hAnsi="Arial MT" w:cs="Arial MT"/>
      <w:lang w:val="es-ES" w:eastAsia="zh-CN"/>
    </w:rPr>
  </w:style>
  <w:style w:type="character" w:customStyle="1" w:styleId="object">
    <w:name w:val="object"/>
    <w:basedOn w:val="Fuentedeprrafopredeter"/>
    <w:rsid w:val="00A26CD3"/>
  </w:style>
  <w:style w:type="paragraph" w:customStyle="1" w:styleId="CarCarCarCarCarCar1">
    <w:name w:val="Car Car Car Car Car Car1"/>
    <w:basedOn w:val="Normal"/>
    <w:rsid w:val="00A26CD3"/>
    <w:pPr>
      <w:spacing w:line="240" w:lineRule="exact"/>
      <w:jc w:val="right"/>
    </w:pPr>
    <w:rPr>
      <w:rFonts w:ascii="Verdana" w:eastAsia="Times New Roman" w:hAnsi="Verdana" w:cs="Arial"/>
      <w:sz w:val="20"/>
      <w:szCs w:val="21"/>
    </w:rPr>
  </w:style>
  <w:style w:type="paragraph" w:customStyle="1" w:styleId="Car11">
    <w:name w:val="Car11"/>
    <w:basedOn w:val="Normal"/>
    <w:rsid w:val="00A26CD3"/>
    <w:pPr>
      <w:spacing w:line="240" w:lineRule="exact"/>
      <w:jc w:val="right"/>
    </w:pPr>
    <w:rPr>
      <w:rFonts w:ascii="Verdana" w:eastAsia="Times New Roman" w:hAnsi="Verdana" w:cs="Arial"/>
      <w:sz w:val="20"/>
      <w:szCs w:val="21"/>
    </w:rPr>
  </w:style>
  <w:style w:type="paragraph" w:customStyle="1" w:styleId="Prrafodelista31">
    <w:name w:val="Párrafo de lista31"/>
    <w:basedOn w:val="Normal"/>
    <w:qFormat/>
    <w:rsid w:val="00A26CD3"/>
    <w:pPr>
      <w:autoSpaceDE w:val="0"/>
      <w:autoSpaceDN w:val="0"/>
      <w:spacing w:after="0" w:line="240" w:lineRule="auto"/>
      <w:ind w:left="720"/>
    </w:pPr>
    <w:rPr>
      <w:rFonts w:ascii="Times New Roman" w:eastAsia="Times New Roman" w:hAnsi="Times New Roman" w:cs="Times New Roman"/>
      <w:sz w:val="20"/>
      <w:szCs w:val="20"/>
      <w:lang w:val="en-US"/>
    </w:rPr>
  </w:style>
  <w:style w:type="paragraph" w:customStyle="1" w:styleId="Textoindependiente231">
    <w:name w:val="Texto independiente 231"/>
    <w:basedOn w:val="Normal"/>
    <w:rsid w:val="00A26CD3"/>
    <w:pPr>
      <w:overflowPunct w:val="0"/>
      <w:autoSpaceDE w:val="0"/>
      <w:autoSpaceDN w:val="0"/>
      <w:adjustRightInd w:val="0"/>
      <w:spacing w:after="0" w:line="240" w:lineRule="auto"/>
      <w:jc w:val="both"/>
      <w:textAlignment w:val="baseline"/>
    </w:pPr>
    <w:rPr>
      <w:rFonts w:ascii="Arial (W1)" w:eastAsia="Times New Roman" w:hAnsi="Arial (W1)" w:cs="Times New Roman"/>
      <w:sz w:val="18"/>
      <w:szCs w:val="20"/>
      <w:lang w:val="es-ES_tradnl" w:eastAsia="es-ES"/>
    </w:rPr>
  </w:style>
  <w:style w:type="numbering" w:customStyle="1" w:styleId="1ai1">
    <w:name w:val="1 / a / i1"/>
    <w:basedOn w:val="Sinlista"/>
    <w:next w:val="1ai"/>
    <w:rsid w:val="00A26CD3"/>
  </w:style>
  <w:style w:type="numbering" w:customStyle="1" w:styleId="1111112">
    <w:name w:val="1 / 1.1 / 1.1.12"/>
    <w:basedOn w:val="Sinlista"/>
    <w:next w:val="111111"/>
    <w:rsid w:val="00A26CD3"/>
  </w:style>
  <w:style w:type="numbering" w:customStyle="1" w:styleId="11111121">
    <w:name w:val="1 / 1.1 / 1.1.121"/>
    <w:basedOn w:val="Sinlista"/>
    <w:next w:val="111111"/>
    <w:rsid w:val="00A26CD3"/>
  </w:style>
  <w:style w:type="numbering" w:customStyle="1" w:styleId="11111132">
    <w:name w:val="1 / 1.1 / 1.1.132"/>
    <w:basedOn w:val="Sinlista"/>
    <w:next w:val="111111"/>
    <w:rsid w:val="00A26CD3"/>
  </w:style>
  <w:style w:type="table" w:customStyle="1" w:styleId="Tablaconcuadrcula36">
    <w:name w:val="Tabla con cuadrícula36"/>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
    <w:name w:val="Tabla con cuadrícula46"/>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5">
    <w:name w:val="Tabla con cuadrícula55"/>
    <w:basedOn w:val="Tablanormal"/>
    <w:uiPriority w:val="59"/>
    <w:rsid w:val="00A26CD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
    <w:name w:val="Tabla con cuadrícula115"/>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5">
    <w:name w:val="Tabla con cuadrícula215"/>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5">
    <w:name w:val="Tabla con cuadrícula315"/>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5">
    <w:name w:val="Tabla con cuadrícula415"/>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5">
    <w:name w:val="Tabla con cuadrícula65"/>
    <w:basedOn w:val="Tablanormal"/>
    <w:uiPriority w:val="39"/>
    <w:rsid w:val="00A26CD3"/>
    <w:pPr>
      <w:spacing w:after="0" w:line="240" w:lineRule="auto"/>
    </w:pPr>
    <w:rPr>
      <w:rFonts w:ascii="Calibri" w:eastAsia="Calibri" w:hAnsi="Calibri" w:cs="Arial"/>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1">
    <w:name w:val="Tabla con cuadrícula42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uiPriority w:val="59"/>
    <w:rsid w:val="00A26CD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111">
    <w:name w:val="Tabla con cuadrícula2111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
    <w:name w:val="Tabla con cuadrícula311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
    <w:name w:val="Tabla con cuadrícula411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
    <w:name w:val="Tabla con cuadrícula43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uiPriority w:val="59"/>
    <w:rsid w:val="00A26CD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21">
    <w:name w:val="Tabla con cuadrícula212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21">
    <w:name w:val="Tabla con cuadrícula312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21">
    <w:name w:val="Tabla con cuadrícula412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
    <w:name w:val="Tabla con cuadrícula621"/>
    <w:basedOn w:val="Tablanormal"/>
    <w:uiPriority w:val="39"/>
    <w:rsid w:val="00A26CD3"/>
    <w:pPr>
      <w:spacing w:after="0" w:line="240" w:lineRule="auto"/>
    </w:pPr>
    <w:rPr>
      <w:rFonts w:ascii="Calibri" w:eastAsia="Calibri" w:hAnsi="Calibri" w:cs="Arial"/>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uiPriority w:val="39"/>
    <w:rsid w:val="00A26CD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41">
    <w:name w:val="Tabla con cuadrícula24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
    <w:name w:val="Tabla con cuadrícula34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1">
    <w:name w:val="Tabla con cuadrícula44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
    <w:name w:val="Tabla con cuadrícula531"/>
    <w:basedOn w:val="Tablanormal"/>
    <w:uiPriority w:val="59"/>
    <w:rsid w:val="00A26CD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31">
    <w:name w:val="Tabla con cuadrícula113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1">
    <w:name w:val="Tabla con cuadrícula213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31">
    <w:name w:val="Tabla con cuadrícula313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31">
    <w:name w:val="Tabla con cuadrícula413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A26CD3"/>
    <w:pPr>
      <w:widowControl w:val="0"/>
      <w:spacing w:after="0" w:line="240" w:lineRule="auto"/>
    </w:pPr>
    <w:rPr>
      <w:rFonts w:ascii="Calibri" w:eastAsia="Calibri" w:hAnsi="Calibri" w:cs="Arial"/>
      <w:lang w:val="en-US"/>
    </w:rPr>
    <w:tblPr>
      <w:tblCellMar>
        <w:top w:w="0" w:type="dxa"/>
        <w:left w:w="0" w:type="dxa"/>
        <w:bottom w:w="0" w:type="dxa"/>
        <w:right w:w="0" w:type="dxa"/>
      </w:tblCellMar>
    </w:tblPr>
  </w:style>
  <w:style w:type="table" w:customStyle="1" w:styleId="Tablaconcuadrcula631">
    <w:name w:val="Tabla con cuadrícula631"/>
    <w:basedOn w:val="Tablanormal"/>
    <w:uiPriority w:val="39"/>
    <w:rsid w:val="00A26CD3"/>
    <w:pPr>
      <w:spacing w:after="0" w:line="240" w:lineRule="auto"/>
    </w:pPr>
    <w:rPr>
      <w:rFonts w:ascii="Calibri" w:eastAsia="Calibri" w:hAnsi="Calibri" w:cs="Arial"/>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
    <w:name w:val="Tabla con cuadrícula1011"/>
    <w:basedOn w:val="Tablanormal"/>
    <w:uiPriority w:val="39"/>
    <w:rsid w:val="00A26CD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51">
    <w:name w:val="Tabla con cuadrícula25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1">
    <w:name w:val="Tabla con cuadrícula35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51">
    <w:name w:val="Tabla con cuadrícula45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1">
    <w:name w:val="Tabla con cuadrícula541"/>
    <w:basedOn w:val="Tablanormal"/>
    <w:uiPriority w:val="59"/>
    <w:rsid w:val="00A26CD3"/>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41">
    <w:name w:val="Tabla con cuadrícula114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41">
    <w:name w:val="Tabla con cuadrícula214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41">
    <w:name w:val="Tabla con cuadrícula314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41">
    <w:name w:val="Tabla con cuadrícula4141"/>
    <w:basedOn w:val="Tablanormal"/>
    <w:uiPriority w:val="59"/>
    <w:rsid w:val="00A26CD3"/>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41">
    <w:name w:val="Tabla con cuadrícula641"/>
    <w:basedOn w:val="Tablanormal"/>
    <w:uiPriority w:val="39"/>
    <w:rsid w:val="00A26CD3"/>
    <w:pPr>
      <w:spacing w:after="0" w:line="240" w:lineRule="auto"/>
    </w:pPr>
    <w:rPr>
      <w:rFonts w:ascii="Calibri" w:eastAsia="Calibri" w:hAnsi="Calibri" w:cs="Arial"/>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6">
    <w:name w:val="Sin lista36"/>
    <w:next w:val="Sinlista"/>
    <w:uiPriority w:val="99"/>
    <w:semiHidden/>
    <w:unhideWhenUsed/>
    <w:rsid w:val="00A26CD3"/>
  </w:style>
  <w:style w:type="numbering" w:customStyle="1" w:styleId="Sinlista46">
    <w:name w:val="Sin lista46"/>
    <w:next w:val="Sinlista"/>
    <w:uiPriority w:val="99"/>
    <w:semiHidden/>
    <w:unhideWhenUsed/>
    <w:rsid w:val="00A26CD3"/>
  </w:style>
  <w:style w:type="numbering" w:customStyle="1" w:styleId="Sinlista56">
    <w:name w:val="Sin lista56"/>
    <w:next w:val="Sinlista"/>
    <w:uiPriority w:val="99"/>
    <w:semiHidden/>
    <w:unhideWhenUsed/>
    <w:rsid w:val="00A26CD3"/>
  </w:style>
  <w:style w:type="numbering" w:customStyle="1" w:styleId="Sinlista66">
    <w:name w:val="Sin lista66"/>
    <w:next w:val="Sinlista"/>
    <w:uiPriority w:val="99"/>
    <w:semiHidden/>
    <w:unhideWhenUsed/>
    <w:rsid w:val="00A26CD3"/>
  </w:style>
  <w:style w:type="numbering" w:customStyle="1" w:styleId="Sinlista76">
    <w:name w:val="Sin lista76"/>
    <w:next w:val="Sinlista"/>
    <w:uiPriority w:val="99"/>
    <w:semiHidden/>
    <w:unhideWhenUsed/>
    <w:rsid w:val="00A26CD3"/>
  </w:style>
  <w:style w:type="numbering" w:customStyle="1" w:styleId="Sinlista86">
    <w:name w:val="Sin lista86"/>
    <w:next w:val="Sinlista"/>
    <w:uiPriority w:val="99"/>
    <w:semiHidden/>
    <w:unhideWhenUsed/>
    <w:rsid w:val="00A26CD3"/>
  </w:style>
  <w:style w:type="numbering" w:customStyle="1" w:styleId="Sinlista95">
    <w:name w:val="Sin lista95"/>
    <w:next w:val="Sinlista"/>
    <w:uiPriority w:val="99"/>
    <w:semiHidden/>
    <w:unhideWhenUsed/>
    <w:rsid w:val="00A26CD3"/>
  </w:style>
  <w:style w:type="numbering" w:customStyle="1" w:styleId="Sinlista215">
    <w:name w:val="Sin lista215"/>
    <w:next w:val="Sinlista"/>
    <w:uiPriority w:val="99"/>
    <w:semiHidden/>
    <w:unhideWhenUsed/>
    <w:rsid w:val="00A26CD3"/>
  </w:style>
  <w:style w:type="numbering" w:customStyle="1" w:styleId="Sinlista315">
    <w:name w:val="Sin lista315"/>
    <w:next w:val="Sinlista"/>
    <w:uiPriority w:val="99"/>
    <w:semiHidden/>
    <w:unhideWhenUsed/>
    <w:rsid w:val="00A26CD3"/>
  </w:style>
  <w:style w:type="numbering" w:customStyle="1" w:styleId="Sinlista415">
    <w:name w:val="Sin lista415"/>
    <w:next w:val="Sinlista"/>
    <w:uiPriority w:val="99"/>
    <w:semiHidden/>
    <w:unhideWhenUsed/>
    <w:rsid w:val="00A26CD3"/>
  </w:style>
  <w:style w:type="numbering" w:customStyle="1" w:styleId="Sinlista515">
    <w:name w:val="Sin lista515"/>
    <w:next w:val="Sinlista"/>
    <w:uiPriority w:val="99"/>
    <w:semiHidden/>
    <w:unhideWhenUsed/>
    <w:rsid w:val="00A26CD3"/>
  </w:style>
  <w:style w:type="numbering" w:customStyle="1" w:styleId="Sinlista615">
    <w:name w:val="Sin lista615"/>
    <w:next w:val="Sinlista"/>
    <w:uiPriority w:val="99"/>
    <w:semiHidden/>
    <w:unhideWhenUsed/>
    <w:rsid w:val="00A26CD3"/>
  </w:style>
  <w:style w:type="numbering" w:customStyle="1" w:styleId="Sinlista715">
    <w:name w:val="Sin lista715"/>
    <w:next w:val="Sinlista"/>
    <w:uiPriority w:val="99"/>
    <w:semiHidden/>
    <w:unhideWhenUsed/>
    <w:rsid w:val="00A26CD3"/>
  </w:style>
  <w:style w:type="numbering" w:customStyle="1" w:styleId="Sinlista815">
    <w:name w:val="Sin lista815"/>
    <w:next w:val="Sinlista"/>
    <w:uiPriority w:val="99"/>
    <w:semiHidden/>
    <w:unhideWhenUsed/>
    <w:rsid w:val="00A26CD3"/>
  </w:style>
  <w:style w:type="numbering" w:customStyle="1" w:styleId="Sinlista101">
    <w:name w:val="Sin lista101"/>
    <w:next w:val="Sinlista"/>
    <w:uiPriority w:val="99"/>
    <w:semiHidden/>
    <w:unhideWhenUsed/>
    <w:rsid w:val="00A26CD3"/>
  </w:style>
  <w:style w:type="numbering" w:customStyle="1" w:styleId="Sinlista521">
    <w:name w:val="Sin lista521"/>
    <w:next w:val="Sinlista"/>
    <w:uiPriority w:val="99"/>
    <w:semiHidden/>
    <w:unhideWhenUsed/>
    <w:rsid w:val="00A26CD3"/>
  </w:style>
  <w:style w:type="numbering" w:customStyle="1" w:styleId="Sinlista621">
    <w:name w:val="Sin lista621"/>
    <w:next w:val="Sinlista"/>
    <w:uiPriority w:val="99"/>
    <w:semiHidden/>
    <w:unhideWhenUsed/>
    <w:rsid w:val="00A26CD3"/>
  </w:style>
  <w:style w:type="numbering" w:customStyle="1" w:styleId="Sinlista721">
    <w:name w:val="Sin lista721"/>
    <w:next w:val="Sinlista"/>
    <w:uiPriority w:val="99"/>
    <w:semiHidden/>
    <w:unhideWhenUsed/>
    <w:rsid w:val="00A26CD3"/>
  </w:style>
  <w:style w:type="numbering" w:customStyle="1" w:styleId="Sinlista821">
    <w:name w:val="Sin lista821"/>
    <w:next w:val="Sinlista"/>
    <w:uiPriority w:val="99"/>
    <w:semiHidden/>
    <w:unhideWhenUsed/>
    <w:rsid w:val="00A26CD3"/>
  </w:style>
  <w:style w:type="numbering" w:customStyle="1" w:styleId="Sinlista911">
    <w:name w:val="Sin lista911"/>
    <w:next w:val="Sinlista"/>
    <w:uiPriority w:val="99"/>
    <w:semiHidden/>
    <w:unhideWhenUsed/>
    <w:rsid w:val="00A26CD3"/>
  </w:style>
  <w:style w:type="numbering" w:customStyle="1" w:styleId="Sinlista51111">
    <w:name w:val="Sin lista51111"/>
    <w:next w:val="Sinlista"/>
    <w:uiPriority w:val="99"/>
    <w:semiHidden/>
    <w:unhideWhenUsed/>
    <w:rsid w:val="00A26CD3"/>
  </w:style>
  <w:style w:type="numbering" w:customStyle="1" w:styleId="Sinlista6111">
    <w:name w:val="Sin lista6111"/>
    <w:next w:val="Sinlista"/>
    <w:uiPriority w:val="99"/>
    <w:semiHidden/>
    <w:unhideWhenUsed/>
    <w:rsid w:val="00A26CD3"/>
  </w:style>
  <w:style w:type="numbering" w:customStyle="1" w:styleId="Sinlista7111">
    <w:name w:val="Sin lista7111"/>
    <w:next w:val="Sinlista"/>
    <w:uiPriority w:val="99"/>
    <w:semiHidden/>
    <w:unhideWhenUsed/>
    <w:rsid w:val="00A26CD3"/>
  </w:style>
  <w:style w:type="numbering" w:customStyle="1" w:styleId="Sinlista8111">
    <w:name w:val="Sin lista8111"/>
    <w:next w:val="Sinlista"/>
    <w:uiPriority w:val="99"/>
    <w:semiHidden/>
    <w:unhideWhenUsed/>
    <w:rsid w:val="00A26CD3"/>
  </w:style>
  <w:style w:type="numbering" w:customStyle="1" w:styleId="Sinlista331">
    <w:name w:val="Sin lista331"/>
    <w:next w:val="Sinlista"/>
    <w:uiPriority w:val="99"/>
    <w:semiHidden/>
    <w:unhideWhenUsed/>
    <w:rsid w:val="00A26CD3"/>
  </w:style>
  <w:style w:type="numbering" w:customStyle="1" w:styleId="Sinlista431">
    <w:name w:val="Sin lista431"/>
    <w:next w:val="Sinlista"/>
    <w:uiPriority w:val="99"/>
    <w:semiHidden/>
    <w:unhideWhenUsed/>
    <w:rsid w:val="00A26CD3"/>
  </w:style>
  <w:style w:type="numbering" w:customStyle="1" w:styleId="Sinlista531">
    <w:name w:val="Sin lista531"/>
    <w:next w:val="Sinlista"/>
    <w:uiPriority w:val="99"/>
    <w:semiHidden/>
    <w:unhideWhenUsed/>
    <w:rsid w:val="00A26CD3"/>
  </w:style>
  <w:style w:type="numbering" w:customStyle="1" w:styleId="Sinlista631">
    <w:name w:val="Sin lista631"/>
    <w:next w:val="Sinlista"/>
    <w:uiPriority w:val="99"/>
    <w:semiHidden/>
    <w:unhideWhenUsed/>
    <w:rsid w:val="00A26CD3"/>
  </w:style>
  <w:style w:type="numbering" w:customStyle="1" w:styleId="Sinlista731">
    <w:name w:val="Sin lista731"/>
    <w:next w:val="Sinlista"/>
    <w:uiPriority w:val="99"/>
    <w:semiHidden/>
    <w:unhideWhenUsed/>
    <w:rsid w:val="00A26CD3"/>
  </w:style>
  <w:style w:type="numbering" w:customStyle="1" w:styleId="Sinlista831">
    <w:name w:val="Sin lista831"/>
    <w:next w:val="Sinlista"/>
    <w:uiPriority w:val="99"/>
    <w:semiHidden/>
    <w:unhideWhenUsed/>
    <w:rsid w:val="00A26CD3"/>
  </w:style>
  <w:style w:type="numbering" w:customStyle="1" w:styleId="Sinlista921">
    <w:name w:val="Sin lista921"/>
    <w:next w:val="Sinlista"/>
    <w:uiPriority w:val="99"/>
    <w:semiHidden/>
    <w:unhideWhenUsed/>
    <w:rsid w:val="00A26CD3"/>
  </w:style>
  <w:style w:type="numbering" w:customStyle="1" w:styleId="Sinlista3121">
    <w:name w:val="Sin lista3121"/>
    <w:next w:val="Sinlista"/>
    <w:uiPriority w:val="99"/>
    <w:semiHidden/>
    <w:unhideWhenUsed/>
    <w:rsid w:val="00A26CD3"/>
  </w:style>
  <w:style w:type="numbering" w:customStyle="1" w:styleId="Sinlista4121">
    <w:name w:val="Sin lista4121"/>
    <w:next w:val="Sinlista"/>
    <w:uiPriority w:val="99"/>
    <w:semiHidden/>
    <w:unhideWhenUsed/>
    <w:rsid w:val="00A26CD3"/>
  </w:style>
  <w:style w:type="numbering" w:customStyle="1" w:styleId="Sinlista5121">
    <w:name w:val="Sin lista5121"/>
    <w:next w:val="Sinlista"/>
    <w:uiPriority w:val="99"/>
    <w:semiHidden/>
    <w:unhideWhenUsed/>
    <w:rsid w:val="00A26CD3"/>
  </w:style>
  <w:style w:type="numbering" w:customStyle="1" w:styleId="Sinlista6121">
    <w:name w:val="Sin lista6121"/>
    <w:next w:val="Sinlista"/>
    <w:uiPriority w:val="99"/>
    <w:semiHidden/>
    <w:unhideWhenUsed/>
    <w:rsid w:val="00A26CD3"/>
  </w:style>
  <w:style w:type="numbering" w:customStyle="1" w:styleId="Sinlista7121">
    <w:name w:val="Sin lista7121"/>
    <w:next w:val="Sinlista"/>
    <w:uiPriority w:val="99"/>
    <w:semiHidden/>
    <w:unhideWhenUsed/>
    <w:rsid w:val="00A26CD3"/>
  </w:style>
  <w:style w:type="numbering" w:customStyle="1" w:styleId="Sinlista8121">
    <w:name w:val="Sin lista8121"/>
    <w:next w:val="Sinlista"/>
    <w:uiPriority w:val="99"/>
    <w:semiHidden/>
    <w:unhideWhenUsed/>
    <w:rsid w:val="00A26CD3"/>
  </w:style>
  <w:style w:type="numbering" w:customStyle="1" w:styleId="Sinlista241">
    <w:name w:val="Sin lista241"/>
    <w:next w:val="Sinlista"/>
    <w:uiPriority w:val="99"/>
    <w:semiHidden/>
    <w:unhideWhenUsed/>
    <w:rsid w:val="00A26CD3"/>
  </w:style>
  <w:style w:type="numbering" w:customStyle="1" w:styleId="Sinlista341">
    <w:name w:val="Sin lista341"/>
    <w:next w:val="Sinlista"/>
    <w:uiPriority w:val="99"/>
    <w:semiHidden/>
    <w:unhideWhenUsed/>
    <w:rsid w:val="00A26CD3"/>
  </w:style>
  <w:style w:type="numbering" w:customStyle="1" w:styleId="Sinlista441">
    <w:name w:val="Sin lista441"/>
    <w:next w:val="Sinlista"/>
    <w:uiPriority w:val="99"/>
    <w:semiHidden/>
    <w:unhideWhenUsed/>
    <w:rsid w:val="00A26CD3"/>
  </w:style>
  <w:style w:type="numbering" w:customStyle="1" w:styleId="Sinlista541">
    <w:name w:val="Sin lista541"/>
    <w:next w:val="Sinlista"/>
    <w:uiPriority w:val="99"/>
    <w:semiHidden/>
    <w:unhideWhenUsed/>
    <w:rsid w:val="00A26CD3"/>
  </w:style>
  <w:style w:type="numbering" w:customStyle="1" w:styleId="Sinlista641">
    <w:name w:val="Sin lista641"/>
    <w:next w:val="Sinlista"/>
    <w:uiPriority w:val="99"/>
    <w:semiHidden/>
    <w:unhideWhenUsed/>
    <w:rsid w:val="00A26CD3"/>
  </w:style>
  <w:style w:type="numbering" w:customStyle="1" w:styleId="Sinlista741">
    <w:name w:val="Sin lista741"/>
    <w:next w:val="Sinlista"/>
    <w:uiPriority w:val="99"/>
    <w:semiHidden/>
    <w:unhideWhenUsed/>
    <w:rsid w:val="00A26CD3"/>
  </w:style>
  <w:style w:type="numbering" w:customStyle="1" w:styleId="Sinlista841">
    <w:name w:val="Sin lista841"/>
    <w:next w:val="Sinlista"/>
    <w:uiPriority w:val="99"/>
    <w:semiHidden/>
    <w:unhideWhenUsed/>
    <w:rsid w:val="00A26CD3"/>
  </w:style>
  <w:style w:type="numbering" w:customStyle="1" w:styleId="Sinlista931">
    <w:name w:val="Sin lista931"/>
    <w:next w:val="Sinlista"/>
    <w:uiPriority w:val="99"/>
    <w:semiHidden/>
    <w:unhideWhenUsed/>
    <w:rsid w:val="00A26CD3"/>
  </w:style>
  <w:style w:type="numbering" w:customStyle="1" w:styleId="Sinlista2131">
    <w:name w:val="Sin lista2131"/>
    <w:next w:val="Sinlista"/>
    <w:uiPriority w:val="99"/>
    <w:semiHidden/>
    <w:unhideWhenUsed/>
    <w:rsid w:val="00A26CD3"/>
  </w:style>
  <w:style w:type="numbering" w:customStyle="1" w:styleId="Sinlista3131">
    <w:name w:val="Sin lista3131"/>
    <w:next w:val="Sinlista"/>
    <w:uiPriority w:val="99"/>
    <w:semiHidden/>
    <w:unhideWhenUsed/>
    <w:rsid w:val="00A26CD3"/>
  </w:style>
  <w:style w:type="numbering" w:customStyle="1" w:styleId="Sinlista4131">
    <w:name w:val="Sin lista4131"/>
    <w:next w:val="Sinlista"/>
    <w:uiPriority w:val="99"/>
    <w:semiHidden/>
    <w:unhideWhenUsed/>
    <w:rsid w:val="00A26CD3"/>
  </w:style>
  <w:style w:type="numbering" w:customStyle="1" w:styleId="Sinlista5131">
    <w:name w:val="Sin lista5131"/>
    <w:next w:val="Sinlista"/>
    <w:uiPriority w:val="99"/>
    <w:semiHidden/>
    <w:unhideWhenUsed/>
    <w:rsid w:val="00A26CD3"/>
  </w:style>
  <w:style w:type="numbering" w:customStyle="1" w:styleId="Sinlista6131">
    <w:name w:val="Sin lista6131"/>
    <w:next w:val="Sinlista"/>
    <w:uiPriority w:val="99"/>
    <w:semiHidden/>
    <w:unhideWhenUsed/>
    <w:rsid w:val="00A26CD3"/>
  </w:style>
  <w:style w:type="numbering" w:customStyle="1" w:styleId="Sinlista7131">
    <w:name w:val="Sin lista7131"/>
    <w:next w:val="Sinlista"/>
    <w:uiPriority w:val="99"/>
    <w:semiHidden/>
    <w:unhideWhenUsed/>
    <w:rsid w:val="00A26CD3"/>
  </w:style>
  <w:style w:type="numbering" w:customStyle="1" w:styleId="Sinlista8131">
    <w:name w:val="Sin lista8131"/>
    <w:next w:val="Sinlista"/>
    <w:uiPriority w:val="99"/>
    <w:semiHidden/>
    <w:unhideWhenUsed/>
    <w:rsid w:val="00A26CD3"/>
  </w:style>
  <w:style w:type="numbering" w:customStyle="1" w:styleId="Sinlista171">
    <w:name w:val="Sin lista171"/>
    <w:next w:val="Sinlista"/>
    <w:uiPriority w:val="99"/>
    <w:semiHidden/>
    <w:unhideWhenUsed/>
    <w:rsid w:val="00A26CD3"/>
  </w:style>
  <w:style w:type="numbering" w:customStyle="1" w:styleId="Sinlista181">
    <w:name w:val="Sin lista181"/>
    <w:next w:val="Sinlista"/>
    <w:uiPriority w:val="99"/>
    <w:semiHidden/>
    <w:unhideWhenUsed/>
    <w:rsid w:val="00A26CD3"/>
  </w:style>
  <w:style w:type="numbering" w:customStyle="1" w:styleId="Sinlista251">
    <w:name w:val="Sin lista251"/>
    <w:next w:val="Sinlista"/>
    <w:uiPriority w:val="99"/>
    <w:semiHidden/>
    <w:unhideWhenUsed/>
    <w:rsid w:val="00A26CD3"/>
  </w:style>
  <w:style w:type="numbering" w:customStyle="1" w:styleId="Sinlista351">
    <w:name w:val="Sin lista351"/>
    <w:next w:val="Sinlista"/>
    <w:uiPriority w:val="99"/>
    <w:semiHidden/>
    <w:unhideWhenUsed/>
    <w:rsid w:val="00A26CD3"/>
  </w:style>
  <w:style w:type="numbering" w:customStyle="1" w:styleId="Sinlista451">
    <w:name w:val="Sin lista451"/>
    <w:next w:val="Sinlista"/>
    <w:uiPriority w:val="99"/>
    <w:semiHidden/>
    <w:unhideWhenUsed/>
    <w:rsid w:val="00A26CD3"/>
  </w:style>
  <w:style w:type="numbering" w:customStyle="1" w:styleId="Sinlista551">
    <w:name w:val="Sin lista551"/>
    <w:next w:val="Sinlista"/>
    <w:uiPriority w:val="99"/>
    <w:semiHidden/>
    <w:unhideWhenUsed/>
    <w:rsid w:val="00A26CD3"/>
  </w:style>
  <w:style w:type="numbering" w:customStyle="1" w:styleId="Sinlista651">
    <w:name w:val="Sin lista651"/>
    <w:next w:val="Sinlista"/>
    <w:uiPriority w:val="99"/>
    <w:semiHidden/>
    <w:unhideWhenUsed/>
    <w:rsid w:val="00A26CD3"/>
  </w:style>
  <w:style w:type="numbering" w:customStyle="1" w:styleId="Sinlista751">
    <w:name w:val="Sin lista751"/>
    <w:next w:val="Sinlista"/>
    <w:uiPriority w:val="99"/>
    <w:semiHidden/>
    <w:unhideWhenUsed/>
    <w:rsid w:val="00A26CD3"/>
  </w:style>
  <w:style w:type="numbering" w:customStyle="1" w:styleId="Sinlista851">
    <w:name w:val="Sin lista851"/>
    <w:next w:val="Sinlista"/>
    <w:uiPriority w:val="99"/>
    <w:semiHidden/>
    <w:unhideWhenUsed/>
    <w:rsid w:val="00A26CD3"/>
  </w:style>
  <w:style w:type="numbering" w:customStyle="1" w:styleId="Sinlista941">
    <w:name w:val="Sin lista941"/>
    <w:next w:val="Sinlista"/>
    <w:uiPriority w:val="99"/>
    <w:semiHidden/>
    <w:unhideWhenUsed/>
    <w:rsid w:val="00A26CD3"/>
  </w:style>
  <w:style w:type="numbering" w:customStyle="1" w:styleId="Sinlista1141">
    <w:name w:val="Sin lista1141"/>
    <w:next w:val="Sinlista"/>
    <w:uiPriority w:val="99"/>
    <w:semiHidden/>
    <w:unhideWhenUsed/>
    <w:rsid w:val="00A26CD3"/>
  </w:style>
  <w:style w:type="numbering" w:customStyle="1" w:styleId="Sinlista2141">
    <w:name w:val="Sin lista2141"/>
    <w:next w:val="Sinlista"/>
    <w:uiPriority w:val="99"/>
    <w:semiHidden/>
    <w:unhideWhenUsed/>
    <w:rsid w:val="00A26CD3"/>
  </w:style>
  <w:style w:type="numbering" w:customStyle="1" w:styleId="Sinlista3141">
    <w:name w:val="Sin lista3141"/>
    <w:next w:val="Sinlista"/>
    <w:uiPriority w:val="99"/>
    <w:semiHidden/>
    <w:unhideWhenUsed/>
    <w:rsid w:val="00A26CD3"/>
  </w:style>
  <w:style w:type="numbering" w:customStyle="1" w:styleId="Sinlista4141">
    <w:name w:val="Sin lista4141"/>
    <w:next w:val="Sinlista"/>
    <w:uiPriority w:val="99"/>
    <w:semiHidden/>
    <w:unhideWhenUsed/>
    <w:rsid w:val="00A26CD3"/>
  </w:style>
  <w:style w:type="numbering" w:customStyle="1" w:styleId="Sinlista5141">
    <w:name w:val="Sin lista5141"/>
    <w:next w:val="Sinlista"/>
    <w:uiPriority w:val="99"/>
    <w:semiHidden/>
    <w:unhideWhenUsed/>
    <w:rsid w:val="00A26CD3"/>
  </w:style>
  <w:style w:type="numbering" w:customStyle="1" w:styleId="Sinlista6141">
    <w:name w:val="Sin lista6141"/>
    <w:next w:val="Sinlista"/>
    <w:uiPriority w:val="99"/>
    <w:semiHidden/>
    <w:unhideWhenUsed/>
    <w:rsid w:val="00A26CD3"/>
  </w:style>
  <w:style w:type="numbering" w:customStyle="1" w:styleId="Sinlista7141">
    <w:name w:val="Sin lista7141"/>
    <w:next w:val="Sinlista"/>
    <w:uiPriority w:val="99"/>
    <w:semiHidden/>
    <w:unhideWhenUsed/>
    <w:rsid w:val="00A26CD3"/>
  </w:style>
  <w:style w:type="numbering" w:customStyle="1" w:styleId="Sinlista8141">
    <w:name w:val="Sin lista8141"/>
    <w:next w:val="Sinlista"/>
    <w:uiPriority w:val="99"/>
    <w:semiHidden/>
    <w:unhideWhenUsed/>
    <w:rsid w:val="00A26CD3"/>
  </w:style>
  <w:style w:type="numbering" w:customStyle="1" w:styleId="Sinlista191">
    <w:name w:val="Sin lista191"/>
    <w:next w:val="Sinlista"/>
    <w:uiPriority w:val="99"/>
    <w:semiHidden/>
    <w:unhideWhenUsed/>
    <w:rsid w:val="00A26CD3"/>
  </w:style>
  <w:style w:type="table" w:customStyle="1" w:styleId="Tabladecuadrcula2-nfasis311">
    <w:name w:val="Tabla de cuadrícula 2 - Énfasis 311"/>
    <w:basedOn w:val="Tablanormal"/>
    <w:uiPriority w:val="47"/>
    <w:rsid w:val="00A26CD3"/>
    <w:pPr>
      <w:spacing w:after="0" w:line="240" w:lineRule="auto"/>
    </w:pPr>
    <w:rPr>
      <w:rFonts w:ascii="Calibri" w:eastAsia="Calibri" w:hAnsi="Calibri" w:cs="Times New Roman"/>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11">
    <w:name w:val="11"/>
    <w:basedOn w:val="Tablanormal"/>
    <w:rsid w:val="00A26CD3"/>
    <w:pPr>
      <w:spacing w:after="0" w:line="240" w:lineRule="auto"/>
    </w:pPr>
    <w:rPr>
      <w:rFonts w:ascii="Times New Roman" w:eastAsia="Times New Roman" w:hAnsi="Times New Roman" w:cs="Times New Roman"/>
      <w:sz w:val="24"/>
      <w:szCs w:val="24"/>
      <w:lang w:eastAsia="es-MX"/>
    </w:rPr>
    <w:tblPr>
      <w:tblStyleRowBandSize w:val="1"/>
      <w:tblStyleColBandSize w:val="1"/>
      <w:tblCellMar>
        <w:left w:w="115" w:type="dxa"/>
        <w:right w:w="115" w:type="dxa"/>
      </w:tblCellMar>
    </w:tblPr>
  </w:style>
  <w:style w:type="table" w:customStyle="1" w:styleId="Tabladecuadrcula4-nfasis511">
    <w:name w:val="Tabla de cuadrícula 4 - Énfasis 511"/>
    <w:basedOn w:val="Tablanormal"/>
    <w:uiPriority w:val="49"/>
    <w:rsid w:val="00A26CD3"/>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funciones8">
    <w:name w:val="funciones8"/>
    <w:basedOn w:val="base-legal1"/>
    <w:rsid w:val="00A26CD3"/>
    <w:pPr>
      <w:spacing w:before="90"/>
      <w:ind w:left="294" w:hanging="294"/>
    </w:pPr>
    <w:rPr>
      <w:rFonts w:ascii="Gotham" w:hAnsi="Gotham" w:cs="Times New Roman"/>
      <w:noProof w:val="0"/>
      <w:sz w:val="16"/>
      <w:szCs w:val="16"/>
      <w:lang w:val="es-MX"/>
    </w:rPr>
  </w:style>
  <w:style w:type="paragraph" w:customStyle="1" w:styleId="codific">
    <w:name w:val="codific"/>
    <w:basedOn w:val="INDI-BLAN"/>
    <w:link w:val="codificCar"/>
    <w:qFormat/>
    <w:rsid w:val="00A26CD3"/>
    <w:pPr>
      <w:numPr>
        <w:numId w:val="0"/>
      </w:numPr>
      <w:tabs>
        <w:tab w:val="clear" w:pos="10206"/>
      </w:tabs>
      <w:ind w:left="1843" w:hanging="1843"/>
    </w:pPr>
    <w:rPr>
      <w:rFonts w:ascii="Gotham" w:eastAsia="Calibri" w:hAnsi="Gotham" w:cs="Times New Roman"/>
      <w:lang w:eastAsia="es-MX"/>
    </w:rPr>
  </w:style>
  <w:style w:type="character" w:customStyle="1" w:styleId="codificCar">
    <w:name w:val="codific Car"/>
    <w:basedOn w:val="INDI-BLANCar"/>
    <w:link w:val="codific"/>
    <w:rsid w:val="00A26CD3"/>
    <w:rPr>
      <w:rFonts w:ascii="Gotham" w:eastAsia="Calibri" w:hAnsi="Gotham" w:cs="Times New Roman"/>
      <w:bCs/>
      <w:sz w:val="16"/>
      <w:szCs w:val="16"/>
      <w:lang w:eastAsia="es-MX"/>
    </w:rPr>
  </w:style>
  <w:style w:type="paragraph" w:customStyle="1" w:styleId="INDICEUNINEG">
    <w:name w:val="INDICE UNI NEG"/>
    <w:basedOn w:val="INDICE-UNI"/>
    <w:link w:val="INDICEUNINEGCar"/>
    <w:qFormat/>
    <w:rsid w:val="00A26CD3"/>
    <w:pPr>
      <w:numPr>
        <w:ilvl w:val="0"/>
      </w:numPr>
      <w:tabs>
        <w:tab w:val="clear" w:pos="540"/>
      </w:tabs>
      <w:ind w:left="927" w:hanging="360"/>
    </w:pPr>
    <w:rPr>
      <w:b/>
    </w:rPr>
  </w:style>
  <w:style w:type="character" w:customStyle="1" w:styleId="INDICEUNINEGCar">
    <w:name w:val="INDICE UNI NEG Car"/>
    <w:basedOn w:val="INDICE-UNICar"/>
    <w:link w:val="INDICEUNINEG"/>
    <w:rsid w:val="00A26CD3"/>
    <w:rPr>
      <w:rFonts w:ascii="HelveticaNeueLT Std" w:eastAsia="Calibri" w:hAnsi="HelveticaNeueLT Std" w:cs="Times New Roman"/>
      <w:b/>
      <w:sz w:val="24"/>
      <w:szCs w:val="24"/>
    </w:rPr>
  </w:style>
  <w:style w:type="paragraph" w:customStyle="1" w:styleId="estruc1">
    <w:name w:val="estruc1"/>
    <w:basedOn w:val="Normal"/>
    <w:link w:val="estruc1Car"/>
    <w:qFormat/>
    <w:rsid w:val="00A26CD3"/>
    <w:pPr>
      <w:tabs>
        <w:tab w:val="left" w:pos="2390"/>
      </w:tabs>
      <w:spacing w:before="120" w:after="0" w:line="240" w:lineRule="auto"/>
      <w:ind w:left="2410" w:hanging="2340"/>
      <w:jc w:val="both"/>
    </w:pPr>
    <w:rPr>
      <w:rFonts w:ascii="HelveticaNeueLT Std" w:eastAsia="Calibri" w:hAnsi="HelveticaNeueLT Std" w:cs="Calibri"/>
      <w:b/>
      <w:bCs/>
      <w:color w:val="000000"/>
      <w:sz w:val="24"/>
      <w:szCs w:val="24"/>
    </w:rPr>
  </w:style>
  <w:style w:type="paragraph" w:customStyle="1" w:styleId="estruc2">
    <w:name w:val="estruc2"/>
    <w:basedOn w:val="Normal"/>
    <w:link w:val="estruc2Car"/>
    <w:qFormat/>
    <w:rsid w:val="00A26CD3"/>
    <w:pPr>
      <w:tabs>
        <w:tab w:val="left" w:pos="2390"/>
      </w:tabs>
      <w:spacing w:before="120" w:after="0" w:line="240" w:lineRule="auto"/>
      <w:ind w:left="2410" w:hanging="2340"/>
      <w:jc w:val="both"/>
    </w:pPr>
    <w:rPr>
      <w:rFonts w:ascii="HelveticaNeueLT Std" w:eastAsia="Calibri" w:hAnsi="HelveticaNeueLT Std" w:cs="Calibri"/>
      <w:color w:val="000000"/>
      <w:sz w:val="24"/>
      <w:szCs w:val="24"/>
    </w:rPr>
  </w:style>
  <w:style w:type="character" w:customStyle="1" w:styleId="estruc1Car">
    <w:name w:val="estruc1 Car"/>
    <w:basedOn w:val="Fuentedeprrafopredeter"/>
    <w:link w:val="estruc1"/>
    <w:rsid w:val="00A26CD3"/>
    <w:rPr>
      <w:rFonts w:ascii="HelveticaNeueLT Std" w:eastAsia="Calibri" w:hAnsi="HelveticaNeueLT Std" w:cs="Calibri"/>
      <w:b/>
      <w:bCs/>
      <w:color w:val="000000"/>
      <w:sz w:val="24"/>
      <w:szCs w:val="24"/>
    </w:rPr>
  </w:style>
  <w:style w:type="character" w:customStyle="1" w:styleId="estruc2Car">
    <w:name w:val="estruc2 Car"/>
    <w:basedOn w:val="Fuentedeprrafopredeter"/>
    <w:link w:val="estruc2"/>
    <w:rsid w:val="00A26CD3"/>
    <w:rPr>
      <w:rFonts w:ascii="HelveticaNeueLT Std" w:eastAsia="Calibri" w:hAnsi="HelveticaNeueLT Std" w:cs="Calibri"/>
      <w:color w:val="000000"/>
      <w:sz w:val="24"/>
      <w:szCs w:val="24"/>
    </w:rPr>
  </w:style>
  <w:style w:type="paragraph" w:customStyle="1" w:styleId="CODI-BLACK">
    <w:name w:val="CODI-BLACK"/>
    <w:basedOn w:val="INDI-BLAN"/>
    <w:link w:val="CODI-BLACKCar"/>
    <w:qFormat/>
    <w:rsid w:val="00A26CD3"/>
    <w:pPr>
      <w:numPr>
        <w:numId w:val="117"/>
      </w:numPr>
    </w:pPr>
    <w:rPr>
      <w:rFonts w:ascii="HelveticaNeueLT Std Med" w:eastAsia="Calibri" w:hAnsi="HelveticaNeueLT Std Med" w:cs="Times New Roman"/>
      <w:b/>
    </w:rPr>
  </w:style>
  <w:style w:type="character" w:customStyle="1" w:styleId="CODI-BLACKCar">
    <w:name w:val="CODI-BLACK Car"/>
    <w:basedOn w:val="INDI-BLANCar"/>
    <w:link w:val="CODI-BLACK"/>
    <w:rsid w:val="00A26CD3"/>
    <w:rPr>
      <w:rFonts w:ascii="HelveticaNeueLT Std Med" w:eastAsia="Calibri" w:hAnsi="HelveticaNeueLT Std Med" w:cs="Times New Roman"/>
      <w:b/>
      <w:bCs/>
      <w:sz w:val="16"/>
      <w:szCs w:val="16"/>
    </w:rPr>
  </w:style>
  <w:style w:type="paragraph" w:customStyle="1" w:styleId="atribuciones0">
    <w:name w:val="atribuciones"/>
    <w:basedOn w:val="Prrafodelista"/>
    <w:link w:val="atribucionesCar0"/>
    <w:qFormat/>
    <w:rsid w:val="00A26CD3"/>
    <w:pPr>
      <w:numPr>
        <w:numId w:val="118"/>
      </w:numPr>
      <w:spacing w:before="90" w:after="0" w:line="240" w:lineRule="auto"/>
      <w:ind w:left="709" w:hanging="709"/>
      <w:contextualSpacing w:val="0"/>
      <w:jc w:val="both"/>
    </w:pPr>
    <w:rPr>
      <w:rFonts w:ascii="Gotham" w:eastAsia="Calibri" w:hAnsi="Gotham" w:cs="Times New Roman"/>
      <w:bCs/>
      <w:color w:val="000000"/>
      <w:sz w:val="16"/>
      <w:szCs w:val="16"/>
    </w:rPr>
  </w:style>
  <w:style w:type="character" w:customStyle="1" w:styleId="atribucionesCar0">
    <w:name w:val="atribuciones Car"/>
    <w:basedOn w:val="Fuentedeprrafopredeter"/>
    <w:link w:val="atribuciones0"/>
    <w:rsid w:val="00A26CD3"/>
    <w:rPr>
      <w:rFonts w:ascii="Gotham" w:eastAsia="Calibri" w:hAnsi="Gotham" w:cs="Times New Roman"/>
      <w:bCs/>
      <w:color w:val="000000"/>
      <w:sz w:val="16"/>
      <w:szCs w:val="16"/>
    </w:rPr>
  </w:style>
  <w:style w:type="paragraph" w:customStyle="1" w:styleId="valores">
    <w:name w:val="valores"/>
    <w:basedOn w:val="Prrafodelista"/>
    <w:link w:val="valoresCar"/>
    <w:qFormat/>
    <w:rsid w:val="00A26CD3"/>
    <w:pPr>
      <w:widowControl w:val="0"/>
      <w:numPr>
        <w:ilvl w:val="1"/>
        <w:numId w:val="119"/>
      </w:numPr>
      <w:spacing w:before="100" w:after="0" w:line="240" w:lineRule="auto"/>
      <w:ind w:left="425" w:hanging="357"/>
      <w:jc w:val="both"/>
    </w:pPr>
    <w:rPr>
      <w:rFonts w:ascii="Gotham" w:eastAsia="Times New Roman" w:hAnsi="Gotham" w:cs="Times New Roman"/>
      <w:sz w:val="16"/>
      <w:szCs w:val="16"/>
      <w:lang w:eastAsia="es-ES"/>
    </w:rPr>
  </w:style>
  <w:style w:type="character" w:customStyle="1" w:styleId="valoresCar">
    <w:name w:val="valores Car"/>
    <w:basedOn w:val="Fuentedeprrafopredeter"/>
    <w:link w:val="valores"/>
    <w:rsid w:val="00A26CD3"/>
    <w:rPr>
      <w:rFonts w:ascii="Gotham" w:eastAsia="Times New Roman" w:hAnsi="Gotham" w:cs="Times New Roman"/>
      <w:sz w:val="16"/>
      <w:szCs w:val="16"/>
      <w:lang w:eastAsia="es-ES"/>
    </w:rPr>
  </w:style>
  <w:style w:type="paragraph" w:customStyle="1" w:styleId="INDICENEGRITA">
    <w:name w:val="INDICE NEGRITA"/>
    <w:basedOn w:val="TDC3"/>
    <w:link w:val="INDICENEGRITACar"/>
    <w:qFormat/>
    <w:rsid w:val="00A26CD3"/>
  </w:style>
  <w:style w:type="paragraph" w:customStyle="1" w:styleId="INDICE-CLARA">
    <w:name w:val="INDICE-CLARA"/>
    <w:basedOn w:val="TDC3"/>
    <w:link w:val="INDICE-CLARACar"/>
    <w:qFormat/>
    <w:rsid w:val="00A26CD3"/>
  </w:style>
  <w:style w:type="character" w:customStyle="1" w:styleId="INDICENEGRITACar">
    <w:name w:val="INDICE NEGRITA Car"/>
    <w:basedOn w:val="Fuentedeprrafopredeter"/>
    <w:link w:val="INDICENEGRITA"/>
    <w:rsid w:val="00A26CD3"/>
    <w:rPr>
      <w:rFonts w:ascii="Arial" w:eastAsia="Times New Roman" w:hAnsi="Arial" w:cs="Times New Roman"/>
      <w:noProof/>
      <w:szCs w:val="24"/>
      <w:lang w:val="es-ES" w:eastAsia="es-ES"/>
    </w:rPr>
  </w:style>
  <w:style w:type="character" w:customStyle="1" w:styleId="INDICE-CLARACar">
    <w:name w:val="INDICE-CLARA Car"/>
    <w:basedOn w:val="Fuentedeprrafopredeter"/>
    <w:link w:val="INDICE-CLARA"/>
    <w:rsid w:val="00A26CD3"/>
    <w:rPr>
      <w:rFonts w:ascii="Arial" w:eastAsia="Times New Roman" w:hAnsi="Arial" w:cs="Times New Roman"/>
      <w:noProof/>
      <w:szCs w:val="24"/>
      <w:lang w:val="es-ES" w:eastAsia="es-ES"/>
    </w:rPr>
  </w:style>
  <w:style w:type="paragraph" w:customStyle="1" w:styleId="ATRIB1">
    <w:name w:val="ATRIB1"/>
    <w:basedOn w:val="Prrafodelista"/>
    <w:qFormat/>
    <w:rsid w:val="00A26CD3"/>
    <w:pPr>
      <w:numPr>
        <w:numId w:val="120"/>
      </w:numPr>
      <w:spacing w:before="240" w:after="240" w:line="240" w:lineRule="auto"/>
      <w:ind w:left="567" w:hanging="591"/>
      <w:contextualSpacing w:val="0"/>
      <w:jc w:val="both"/>
    </w:pPr>
    <w:rPr>
      <w:rFonts w:ascii="HelveticaNeueLT Std" w:eastAsia="Calibri" w:hAnsi="HelveticaNeueLT Std" w:cs="Arial"/>
      <w:color w:val="000000"/>
      <w:sz w:val="24"/>
      <w:szCs w:val="24"/>
      <w:lang w:val="es-ES_tradnl"/>
    </w:rPr>
  </w:style>
  <w:style w:type="paragraph" w:customStyle="1" w:styleId="unidadnegra">
    <w:name w:val="unidad negra"/>
    <w:basedOn w:val="Normal"/>
    <w:link w:val="unidadnegraCar"/>
    <w:qFormat/>
    <w:rsid w:val="00A26CD3"/>
    <w:pPr>
      <w:widowControl w:val="0"/>
      <w:autoSpaceDE w:val="0"/>
      <w:autoSpaceDN w:val="0"/>
      <w:spacing w:before="360" w:after="240" w:line="240" w:lineRule="auto"/>
      <w:ind w:left="1843" w:hanging="1843"/>
      <w:jc w:val="both"/>
    </w:pPr>
    <w:rPr>
      <w:rFonts w:ascii="Gotham Bold" w:eastAsia="Arial MT" w:hAnsi="Gotham Bold" w:cs="Arial MT"/>
      <w:sz w:val="16"/>
      <w:szCs w:val="16"/>
      <w:lang w:val="es-ES" w:eastAsia="es-MX"/>
    </w:rPr>
  </w:style>
  <w:style w:type="character" w:customStyle="1" w:styleId="unidadnegraCar">
    <w:name w:val="unidad negra Car"/>
    <w:basedOn w:val="Fuentedeprrafopredeter"/>
    <w:link w:val="unidadnegra"/>
    <w:rsid w:val="00A26CD3"/>
    <w:rPr>
      <w:rFonts w:ascii="Gotham Bold" w:eastAsia="Arial MT" w:hAnsi="Gotham Bold" w:cs="Arial MT"/>
      <w:sz w:val="16"/>
      <w:szCs w:val="16"/>
      <w:lang w:val="es-ES" w:eastAsia="es-MX"/>
    </w:rPr>
  </w:style>
  <w:style w:type="paragraph" w:customStyle="1" w:styleId="Funcin">
    <w:name w:val="Función"/>
    <w:basedOn w:val="Prrafodelista"/>
    <w:qFormat/>
    <w:rsid w:val="00A26CD3"/>
    <w:pPr>
      <w:numPr>
        <w:numId w:val="121"/>
      </w:numPr>
      <w:tabs>
        <w:tab w:val="num" w:pos="360"/>
      </w:tabs>
      <w:spacing w:before="120" w:after="0" w:line="240" w:lineRule="auto"/>
      <w:ind w:left="391" w:hanging="357"/>
      <w:contextualSpacing w:val="0"/>
      <w:jc w:val="both"/>
    </w:pPr>
    <w:rPr>
      <w:rFonts w:ascii="HelveticaNeueLT Std" w:eastAsia="Times New Roman" w:hAnsi="HelveticaNeueLT Std" w:cs="Times New Roman"/>
      <w:sz w:val="24"/>
      <w:szCs w:val="24"/>
      <w:lang w:eastAsia="es-ES"/>
    </w:rPr>
  </w:style>
  <w:style w:type="paragraph" w:customStyle="1" w:styleId="ENCA-TIT">
    <w:name w:val="ENCA-TIT"/>
    <w:basedOn w:val="Textoindependiente"/>
    <w:link w:val="ENCA-TITCar"/>
    <w:qFormat/>
    <w:rsid w:val="00A26CD3"/>
    <w:pPr>
      <w:widowControl/>
      <w:numPr>
        <w:numId w:val="122"/>
      </w:numPr>
      <w:autoSpaceDE/>
      <w:autoSpaceDN/>
      <w:spacing w:before="360" w:after="360"/>
      <w:ind w:left="426" w:hanging="284"/>
      <w:jc w:val="center"/>
    </w:pPr>
    <w:rPr>
      <w:rFonts w:ascii="HelveticaNeueLT Std Blk" w:eastAsia="Times New Roman" w:hAnsi="HelveticaNeueLT Std Blk" w:cs="Times New Roman"/>
      <w:b/>
      <w:spacing w:val="4"/>
      <w:szCs w:val="20"/>
      <w:lang w:val="x-none" w:eastAsia="es-ES"/>
    </w:rPr>
  </w:style>
  <w:style w:type="character" w:customStyle="1" w:styleId="ENCA-TITCar">
    <w:name w:val="ENCA-TIT Car"/>
    <w:basedOn w:val="Fuentedeprrafopredeter"/>
    <w:link w:val="ENCA-TIT"/>
    <w:rsid w:val="00A26CD3"/>
    <w:rPr>
      <w:rFonts w:ascii="HelveticaNeueLT Std Blk" w:eastAsia="Times New Roman" w:hAnsi="HelveticaNeueLT Std Blk" w:cs="Times New Roman"/>
      <w:b/>
      <w:spacing w:val="4"/>
      <w:sz w:val="24"/>
      <w:szCs w:val="20"/>
      <w:lang w:val="x-none" w:eastAsia="es-ES"/>
    </w:rPr>
  </w:style>
  <w:style w:type="paragraph" w:customStyle="1" w:styleId="BASEL1">
    <w:name w:val="BASEL1"/>
    <w:basedOn w:val="Prrafodelista"/>
    <w:qFormat/>
    <w:rsid w:val="00A26CD3"/>
    <w:pPr>
      <w:numPr>
        <w:numId w:val="123"/>
      </w:numPr>
      <w:spacing w:before="100" w:after="0" w:line="240" w:lineRule="auto"/>
      <w:ind w:left="284" w:hanging="284"/>
      <w:contextualSpacing w:val="0"/>
      <w:jc w:val="both"/>
    </w:pPr>
    <w:rPr>
      <w:rFonts w:ascii="HelveticaNeueLT Std" w:eastAsia="Calibri" w:hAnsi="HelveticaNeueLT Std" w:cs="Times New Roman"/>
      <w:sz w:val="24"/>
      <w:szCs w:val="24"/>
      <w:lang w:val="es-ES_tradnl" w:eastAsia="es-ES"/>
    </w:rPr>
  </w:style>
  <w:style w:type="character" w:customStyle="1" w:styleId="ya-q-full-text">
    <w:name w:val="ya-q-full-text"/>
    <w:basedOn w:val="Fuentedeprrafopredeter"/>
    <w:rsid w:val="00A26CD3"/>
  </w:style>
  <w:style w:type="paragraph" w:customStyle="1" w:styleId="Cuerpodeltexto21">
    <w:name w:val="Cuerpo del texto (2)1"/>
    <w:basedOn w:val="Normal"/>
    <w:rsid w:val="00A26CD3"/>
    <w:pPr>
      <w:shd w:val="clear" w:color="auto" w:fill="FFFFFF"/>
      <w:spacing w:after="0" w:line="254" w:lineRule="exact"/>
    </w:pPr>
    <w:rPr>
      <w:rFonts w:ascii="Arial" w:hAnsi="Arial" w:cs="Arial"/>
      <w:b/>
      <w:bCs/>
      <w:sz w:val="21"/>
      <w:szCs w:val="21"/>
    </w:rPr>
  </w:style>
  <w:style w:type="paragraph" w:customStyle="1" w:styleId="SECRETARIADELAFUNCIONPUBLICA">
    <w:name w:val="SECRETARIA DE LA FUNCION PUBLICA"/>
    <w:basedOn w:val="Normal"/>
    <w:rsid w:val="00A26CD3"/>
    <w:pPr>
      <w:spacing w:after="0" w:line="240" w:lineRule="auto"/>
    </w:pPr>
    <w:rPr>
      <w:rFonts w:ascii="Arial" w:eastAsia="Batang" w:hAnsi="Arial" w:cs="Times New Roman"/>
      <w:kern w:val="18"/>
      <w:sz w:val="18"/>
      <w:szCs w:val="20"/>
      <w:lang w:val="es-ES"/>
    </w:rPr>
  </w:style>
  <w:style w:type="paragraph" w:customStyle="1" w:styleId="selectable-text">
    <w:name w:val="selectable-text"/>
    <w:basedOn w:val="Normal"/>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electable-text1">
    <w:name w:val="selectable-text1"/>
    <w:basedOn w:val="Fuentedeprrafopredeter"/>
    <w:rsid w:val="00A26CD3"/>
  </w:style>
  <w:style w:type="paragraph" w:customStyle="1" w:styleId="ecxyiv1046532809msonormal">
    <w:name w:val="ecxyiv1046532809msonormal"/>
    <w:basedOn w:val="Normal"/>
    <w:rsid w:val="00A26CD3"/>
    <w:pPr>
      <w:spacing w:after="324" w:line="240" w:lineRule="auto"/>
    </w:pPr>
    <w:rPr>
      <w:rFonts w:ascii="Times New Roman" w:eastAsia="Times New Roman" w:hAnsi="Times New Roman" w:cs="Times New Roman"/>
      <w:sz w:val="24"/>
      <w:szCs w:val="24"/>
      <w:lang w:eastAsia="es-MX"/>
    </w:rPr>
  </w:style>
  <w:style w:type="character" w:customStyle="1" w:styleId="footnoteref">
    <w:name w:val="footnote ref"/>
    <w:rsid w:val="00A26CD3"/>
  </w:style>
  <w:style w:type="paragraph" w:customStyle="1" w:styleId="ecxmsobodytext">
    <w:name w:val="ecxmsobodytext"/>
    <w:basedOn w:val="Normal"/>
    <w:rsid w:val="00A26CD3"/>
    <w:pPr>
      <w:spacing w:after="324" w:line="240" w:lineRule="auto"/>
    </w:pPr>
    <w:rPr>
      <w:rFonts w:ascii="Times New Roman" w:eastAsia="Times New Roman" w:hAnsi="Times New Roman" w:cs="Times New Roman"/>
      <w:sz w:val="24"/>
      <w:szCs w:val="24"/>
      <w:lang w:eastAsia="es-MX"/>
    </w:rPr>
  </w:style>
  <w:style w:type="character" w:customStyle="1" w:styleId="l7">
    <w:name w:val="l7"/>
    <w:basedOn w:val="Fuentedeprrafopredeter"/>
    <w:rsid w:val="00A26CD3"/>
  </w:style>
  <w:style w:type="character" w:customStyle="1" w:styleId="l6">
    <w:name w:val="l6"/>
    <w:basedOn w:val="Fuentedeprrafopredeter"/>
    <w:rsid w:val="00A26CD3"/>
  </w:style>
  <w:style w:type="paragraph" w:customStyle="1" w:styleId="ecxestilo1">
    <w:name w:val="ecxestilo1"/>
    <w:basedOn w:val="Normal"/>
    <w:rsid w:val="00A26CD3"/>
    <w:pPr>
      <w:spacing w:after="324" w:line="240" w:lineRule="auto"/>
    </w:pPr>
    <w:rPr>
      <w:rFonts w:ascii="Times New Roman" w:eastAsia="Times New Roman" w:hAnsi="Times New Roman" w:cs="Times New Roman"/>
      <w:sz w:val="24"/>
      <w:szCs w:val="24"/>
      <w:lang w:eastAsia="es-MX"/>
    </w:rPr>
  </w:style>
  <w:style w:type="character" w:customStyle="1" w:styleId="Ttulo1Espaciado3pto">
    <w:name w:val="Título #1 + Espaciado 3 pto"/>
    <w:basedOn w:val="Fuentedeprrafopredeter"/>
    <w:rsid w:val="00A26CD3"/>
    <w:rPr>
      <w:rFonts w:ascii="Arial" w:eastAsia="Arial" w:hAnsi="Arial" w:cs="Arial"/>
      <w:b/>
      <w:bCs/>
      <w:i w:val="0"/>
      <w:iCs w:val="0"/>
      <w:smallCaps w:val="0"/>
      <w:strike w:val="0"/>
      <w:color w:val="000000"/>
      <w:spacing w:val="60"/>
      <w:w w:val="100"/>
      <w:position w:val="0"/>
      <w:sz w:val="22"/>
      <w:szCs w:val="22"/>
      <w:u w:val="none"/>
      <w:lang w:val="es-ES" w:eastAsia="es-ES" w:bidi="es-ES"/>
    </w:rPr>
  </w:style>
  <w:style w:type="character" w:customStyle="1" w:styleId="Ttulo1Sinnegrita">
    <w:name w:val="Título #1 + Sin negrita"/>
    <w:basedOn w:val="Fuentedeprrafopredeter"/>
    <w:rsid w:val="00A26CD3"/>
    <w:rPr>
      <w:rFonts w:ascii="Arial" w:eastAsia="Arial" w:hAnsi="Arial" w:cs="Arial"/>
      <w:b/>
      <w:bCs/>
      <w:i w:val="0"/>
      <w:iCs w:val="0"/>
      <w:smallCaps w:val="0"/>
      <w:strike w:val="0"/>
      <w:color w:val="000000"/>
      <w:spacing w:val="0"/>
      <w:w w:val="100"/>
      <w:position w:val="0"/>
      <w:sz w:val="22"/>
      <w:szCs w:val="22"/>
      <w:u w:val="none"/>
      <w:lang w:val="es-ES" w:eastAsia="es-ES" w:bidi="es-ES"/>
    </w:rPr>
  </w:style>
  <w:style w:type="character" w:customStyle="1" w:styleId="Cuerpodeltexto2Negrita">
    <w:name w:val="Cuerpo del texto (2) + Negrita"/>
    <w:aliases w:val="Espaciado -1 pto,Tabla de contenidos (5) + 5 pto,Sin negrita,Cursiva,Cuerpo del texto (2) + Arial,10.5 pto,Cuerpo del texto (2) + 4 pto,Cuerpo del texto (30) + Sylfaen,Cuerpo del texto (2) + 9.5 pto,7.5 pto"/>
    <w:basedOn w:val="Fuentedeprrafopredeter"/>
    <w:qFormat/>
    <w:rsid w:val="00A26CD3"/>
    <w:rPr>
      <w:rFonts w:ascii="Arial" w:eastAsia="Arial" w:hAnsi="Arial" w:cs="Arial"/>
      <w:b/>
      <w:bCs/>
      <w:i w:val="0"/>
      <w:iCs w:val="0"/>
      <w:smallCaps w:val="0"/>
      <w:strike w:val="0"/>
      <w:color w:val="000000"/>
      <w:spacing w:val="0"/>
      <w:w w:val="100"/>
      <w:position w:val="0"/>
      <w:sz w:val="22"/>
      <w:szCs w:val="22"/>
      <w:u w:val="none"/>
      <w:lang w:val="es-ES" w:eastAsia="es-ES" w:bidi="es-ES"/>
    </w:rPr>
  </w:style>
  <w:style w:type="character" w:customStyle="1" w:styleId="Cuerpodeltexto27pto">
    <w:name w:val="Cuerpo del texto (2) + 7 pto"/>
    <w:aliases w:val="Cuerpo del texto (2) + 10 pto"/>
    <w:basedOn w:val="Fuentedeprrafopredeter"/>
    <w:rsid w:val="00A26CD3"/>
    <w:rPr>
      <w:rFonts w:ascii="Arial" w:eastAsia="Arial" w:hAnsi="Arial" w:cs="Arial"/>
      <w:b/>
      <w:bCs/>
      <w:i w:val="0"/>
      <w:iCs w:val="0"/>
      <w:smallCaps w:val="0"/>
      <w:strike w:val="0"/>
      <w:color w:val="000000"/>
      <w:spacing w:val="0"/>
      <w:w w:val="100"/>
      <w:position w:val="0"/>
      <w:sz w:val="14"/>
      <w:szCs w:val="14"/>
      <w:u w:val="none"/>
      <w:lang w:val="es-ES" w:eastAsia="es-ES" w:bidi="es-ES"/>
    </w:rPr>
  </w:style>
  <w:style w:type="paragraph" w:customStyle="1" w:styleId="Standarduseruseruseruseruser">
    <w:name w:val="Standard (user) (user) (user) (user) (user)"/>
    <w:rsid w:val="00A26CD3"/>
    <w:pPr>
      <w:suppressAutoHyphens/>
      <w:autoSpaceDN w:val="0"/>
      <w:spacing w:after="0" w:line="240" w:lineRule="auto"/>
      <w:textAlignment w:val="baseline"/>
    </w:pPr>
    <w:rPr>
      <w:rFonts w:ascii="Liberation Serif" w:eastAsia="SimSun, 宋体" w:hAnsi="Liberation Serif" w:cs="Times New R཯ऀ値대"/>
      <w:kern w:val="3"/>
      <w:sz w:val="24"/>
      <w:szCs w:val="24"/>
      <w:lang w:eastAsia="zh-CN" w:bidi="hi-IN"/>
    </w:rPr>
  </w:style>
  <w:style w:type="paragraph" w:customStyle="1" w:styleId="Textbodyuser">
    <w:name w:val="Text body (user)"/>
    <w:basedOn w:val="Standarduser"/>
    <w:rsid w:val="00A26CD3"/>
    <w:pPr>
      <w:widowControl/>
      <w:spacing w:before="100" w:after="140" w:line="288" w:lineRule="auto"/>
      <w:textAlignment w:val="baseline"/>
    </w:pPr>
    <w:rPr>
      <w:rFonts w:ascii="Calibri" w:eastAsia="Calibri" w:hAnsi="Calibri" w:cs="Times New Roman"/>
      <w:sz w:val="24"/>
      <w:szCs w:val="24"/>
      <w:lang w:val="es-ES" w:eastAsia="zh-CN"/>
    </w:rPr>
  </w:style>
  <w:style w:type="table" w:customStyle="1" w:styleId="Cuadrculavistosa-nfasis61">
    <w:name w:val="Cuadrícula vistosa - Énfasis 61"/>
    <w:basedOn w:val="Tablanormal"/>
    <w:next w:val="Cuadrculavistosa-nfasis6"/>
    <w:uiPriority w:val="73"/>
    <w:rsid w:val="00A26CD3"/>
    <w:pPr>
      <w:spacing w:after="0" w:line="240" w:lineRule="auto"/>
    </w:pPr>
    <w:rPr>
      <w:rFonts w:ascii="Calibri" w:eastAsia="Calibri" w:hAnsi="Calibri" w:cs="Times New Roman"/>
      <w:color w:val="000000"/>
      <w:sz w:val="20"/>
      <w:szCs w:val="20"/>
      <w:lang w:val="es-ES" w:eastAsia="es-MX"/>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uadrculavistosa-nfasis6">
    <w:name w:val="Colorful Grid Accent 6"/>
    <w:basedOn w:val="Tablanormal"/>
    <w:uiPriority w:val="73"/>
    <w:rsid w:val="00A26CD3"/>
    <w:pPr>
      <w:spacing w:after="0" w:line="240" w:lineRule="auto"/>
    </w:pPr>
    <w:rPr>
      <w:rFonts w:ascii="Calibri" w:eastAsia="Calibri" w:hAnsi="Calibri" w:cs="Times New Roman"/>
      <w:color w:val="FFFFFF"/>
      <w:sz w:val="20"/>
      <w:szCs w:val="20"/>
      <w:lang w:val="es-ES" w:eastAsia="es-MX"/>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FFFFFF"/>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Tabladelista6concolores-nfasis21">
    <w:name w:val="Tabla de lista 6 con colores - Énfasis 21"/>
    <w:basedOn w:val="Tablanormal"/>
    <w:uiPriority w:val="51"/>
    <w:rsid w:val="00A26CD3"/>
    <w:pPr>
      <w:spacing w:after="0" w:line="240" w:lineRule="auto"/>
    </w:pPr>
    <w:rPr>
      <w:rFonts w:ascii="Calibri" w:eastAsia="Calibri" w:hAnsi="Calibri" w:cs="Times New Roman"/>
      <w:color w:val="C45911"/>
      <w:sz w:val="20"/>
      <w:szCs w:val="20"/>
      <w:lang w:val="es-ES" w:eastAsia="es-MX"/>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ListaCc0">
    <w:name w:val="Lista Cc."/>
    <w:basedOn w:val="Normal"/>
    <w:rsid w:val="00A26CD3"/>
    <w:pPr>
      <w:autoSpaceDE w:val="0"/>
      <w:autoSpaceDN w:val="0"/>
      <w:spacing w:after="0" w:line="240" w:lineRule="auto"/>
    </w:pPr>
    <w:rPr>
      <w:rFonts w:ascii="Times New Roman" w:eastAsia="Times New Roman" w:hAnsi="Times New Roman" w:cs="Times New Roman"/>
      <w:sz w:val="20"/>
      <w:szCs w:val="20"/>
      <w:lang w:val="es-ES_tradnl" w:eastAsia="es-ES"/>
    </w:rPr>
  </w:style>
  <w:style w:type="character" w:customStyle="1" w:styleId="elema1">
    <w:name w:val="elema1"/>
    <w:uiPriority w:val="99"/>
    <w:rsid w:val="00A26CD3"/>
    <w:rPr>
      <w:rFonts w:cs="Times New Roman"/>
      <w:color w:val="0000FF"/>
      <w:sz w:val="30"/>
      <w:szCs w:val="30"/>
    </w:rPr>
  </w:style>
  <w:style w:type="character" w:customStyle="1" w:styleId="eetimo1">
    <w:name w:val="eetimo1"/>
    <w:uiPriority w:val="99"/>
    <w:rsid w:val="00A26CD3"/>
    <w:rPr>
      <w:rFonts w:ascii="Arial Unicode MS" w:eastAsia="Arial Unicode MS" w:hAnsi="Arial Unicode MS" w:cs="Arial Unicode MS"/>
      <w:color w:val="008000"/>
      <w:sz w:val="26"/>
      <w:szCs w:val="26"/>
    </w:rPr>
  </w:style>
  <w:style w:type="character" w:customStyle="1" w:styleId="eordenaceplema1">
    <w:name w:val="eordenaceplema1"/>
    <w:uiPriority w:val="99"/>
    <w:rsid w:val="00A26CD3"/>
    <w:rPr>
      <w:rFonts w:cs="Times New Roman"/>
      <w:color w:val="0000FF"/>
    </w:rPr>
  </w:style>
  <w:style w:type="character" w:customStyle="1" w:styleId="eacep1">
    <w:name w:val="eacep1"/>
    <w:uiPriority w:val="99"/>
    <w:rsid w:val="00A26CD3"/>
    <w:rPr>
      <w:rFonts w:cs="Times New Roman"/>
      <w:color w:val="000000"/>
    </w:rPr>
  </w:style>
  <w:style w:type="character" w:customStyle="1" w:styleId="ereferencia">
    <w:name w:val="ereferencia"/>
    <w:uiPriority w:val="99"/>
    <w:rsid w:val="00A26CD3"/>
    <w:rPr>
      <w:rFonts w:cs="Times New Roman"/>
    </w:rPr>
  </w:style>
  <w:style w:type="character" w:customStyle="1" w:styleId="eabrv1">
    <w:name w:val="eabrv1"/>
    <w:uiPriority w:val="99"/>
    <w:rsid w:val="00A26CD3"/>
    <w:rPr>
      <w:rFonts w:cs="Times New Roman"/>
      <w:color w:val="0000FF"/>
    </w:rPr>
  </w:style>
  <w:style w:type="character" w:customStyle="1" w:styleId="ereflema1">
    <w:name w:val="ereflema1"/>
    <w:uiPriority w:val="99"/>
    <w:rsid w:val="00A26CD3"/>
    <w:rPr>
      <w:rFonts w:cs="Times New Roman"/>
      <w:color w:val="FF0000"/>
    </w:rPr>
  </w:style>
  <w:style w:type="paragraph" w:customStyle="1" w:styleId="xtexto">
    <w:name w:val="x_texto"/>
    <w:basedOn w:val="Normal"/>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MquinadeescribirHTML">
    <w:name w:val="HTML Typewriter"/>
    <w:unhideWhenUsed/>
    <w:rsid w:val="00A26CD3"/>
    <w:rPr>
      <w:rFonts w:ascii="Courier New" w:eastAsia="Times New Roman" w:hAnsi="Courier New" w:cs="Courier New" w:hint="default"/>
      <w:sz w:val="20"/>
      <w:szCs w:val="20"/>
    </w:rPr>
  </w:style>
  <w:style w:type="character" w:customStyle="1" w:styleId="tabchar">
    <w:name w:val="tabchar"/>
    <w:basedOn w:val="Fuentedeprrafopredeter"/>
    <w:rsid w:val="00A26CD3"/>
  </w:style>
  <w:style w:type="character" w:customStyle="1" w:styleId="Tabladecontenidos4Versales">
    <w:name w:val="Tabla de contenidos (4) + Versales"/>
    <w:rsid w:val="00A26CD3"/>
    <w:rPr>
      <w:rFonts w:ascii="Arial" w:eastAsia="Arial" w:hAnsi="Arial" w:cs="Arial" w:hint="default"/>
      <w:b/>
      <w:bCs/>
      <w:i w:val="0"/>
      <w:iCs w:val="0"/>
      <w:smallCaps/>
      <w:strike w:val="0"/>
      <w:dstrike w:val="0"/>
      <w:color w:val="000000"/>
      <w:spacing w:val="0"/>
      <w:w w:val="100"/>
      <w:position w:val="0"/>
      <w:sz w:val="34"/>
      <w:szCs w:val="34"/>
      <w:u w:val="none"/>
      <w:effect w:val="none"/>
      <w:lang w:val="es-ES" w:eastAsia="es-ES" w:bidi="es-ES"/>
    </w:rPr>
  </w:style>
  <w:style w:type="character" w:customStyle="1" w:styleId="Cuerpodeltexto2Versales">
    <w:name w:val="Cuerpo del texto (2) + Versales"/>
    <w:rsid w:val="00A26CD3"/>
    <w:rPr>
      <w:rFonts w:ascii="Tahoma" w:eastAsia="Tahoma" w:hAnsi="Tahoma" w:cs="Tahoma" w:hint="default"/>
      <w:b w:val="0"/>
      <w:bCs w:val="0"/>
      <w:i w:val="0"/>
      <w:iCs w:val="0"/>
      <w:smallCaps/>
      <w:strike w:val="0"/>
      <w:dstrike w:val="0"/>
      <w:color w:val="000000"/>
      <w:spacing w:val="0"/>
      <w:w w:val="100"/>
      <w:position w:val="0"/>
      <w:sz w:val="20"/>
      <w:szCs w:val="20"/>
      <w:u w:val="none"/>
      <w:effect w:val="none"/>
      <w:lang w:val="es-ES" w:eastAsia="es-ES" w:bidi="es-ES"/>
    </w:rPr>
  </w:style>
  <w:style w:type="paragraph" w:customStyle="1" w:styleId="Style50">
    <w:name w:val="Style5"/>
    <w:basedOn w:val="Normal"/>
    <w:uiPriority w:val="99"/>
    <w:rsid w:val="00A26CD3"/>
    <w:pPr>
      <w:widowControl w:val="0"/>
      <w:autoSpaceDE w:val="0"/>
      <w:autoSpaceDN w:val="0"/>
      <w:adjustRightInd w:val="0"/>
      <w:spacing w:after="0" w:line="386" w:lineRule="exact"/>
      <w:jc w:val="both"/>
    </w:pPr>
    <w:rPr>
      <w:rFonts w:ascii="Arial" w:eastAsia="Times New Roman" w:hAnsi="Arial" w:cs="Arial"/>
      <w:sz w:val="24"/>
      <w:szCs w:val="24"/>
      <w:lang w:eastAsia="es-MX"/>
    </w:rPr>
  </w:style>
  <w:style w:type="paragraph" w:customStyle="1" w:styleId="Style60">
    <w:name w:val="Style6"/>
    <w:basedOn w:val="Normal"/>
    <w:uiPriority w:val="99"/>
    <w:rsid w:val="00A26CD3"/>
    <w:pPr>
      <w:widowControl w:val="0"/>
      <w:autoSpaceDE w:val="0"/>
      <w:autoSpaceDN w:val="0"/>
      <w:adjustRightInd w:val="0"/>
      <w:spacing w:after="0" w:line="347" w:lineRule="exact"/>
    </w:pPr>
    <w:rPr>
      <w:rFonts w:ascii="Arial" w:eastAsia="Times New Roman" w:hAnsi="Arial" w:cs="Arial"/>
      <w:sz w:val="24"/>
      <w:szCs w:val="24"/>
      <w:lang w:eastAsia="es-MX"/>
    </w:rPr>
  </w:style>
  <w:style w:type="paragraph" w:customStyle="1" w:styleId="Style80">
    <w:name w:val="Style8"/>
    <w:basedOn w:val="Normal"/>
    <w:uiPriority w:val="99"/>
    <w:rsid w:val="00A26CD3"/>
    <w:pPr>
      <w:widowControl w:val="0"/>
      <w:autoSpaceDE w:val="0"/>
      <w:autoSpaceDN w:val="0"/>
      <w:adjustRightInd w:val="0"/>
      <w:spacing w:after="0" w:line="350" w:lineRule="exact"/>
      <w:jc w:val="both"/>
    </w:pPr>
    <w:rPr>
      <w:rFonts w:ascii="Arial" w:eastAsia="Times New Roman" w:hAnsi="Arial" w:cs="Arial"/>
      <w:sz w:val="24"/>
      <w:szCs w:val="24"/>
      <w:lang w:eastAsia="es-MX"/>
    </w:rPr>
  </w:style>
  <w:style w:type="character" w:customStyle="1" w:styleId="FontStyle17">
    <w:name w:val="Font Style17"/>
    <w:uiPriority w:val="99"/>
    <w:rsid w:val="00A26CD3"/>
    <w:rPr>
      <w:rFonts w:ascii="Arial" w:hAnsi="Arial" w:cs="Arial"/>
      <w:sz w:val="22"/>
      <w:szCs w:val="22"/>
    </w:rPr>
  </w:style>
  <w:style w:type="character" w:customStyle="1" w:styleId="FontStyle18">
    <w:name w:val="Font Style18"/>
    <w:uiPriority w:val="99"/>
    <w:rsid w:val="00A26CD3"/>
    <w:rPr>
      <w:rFonts w:ascii="Arial" w:hAnsi="Arial" w:cs="Arial"/>
      <w:b/>
      <w:bCs/>
      <w:sz w:val="20"/>
      <w:szCs w:val="20"/>
    </w:rPr>
  </w:style>
  <w:style w:type="character" w:customStyle="1" w:styleId="FontStyle19">
    <w:name w:val="Font Style19"/>
    <w:uiPriority w:val="99"/>
    <w:rsid w:val="00A26CD3"/>
    <w:rPr>
      <w:rFonts w:ascii="Arial" w:hAnsi="Arial" w:cs="Arial"/>
      <w:sz w:val="20"/>
      <w:szCs w:val="20"/>
    </w:rPr>
  </w:style>
  <w:style w:type="character" w:customStyle="1" w:styleId="FontStyle20">
    <w:name w:val="Font Style20"/>
    <w:uiPriority w:val="99"/>
    <w:rsid w:val="00A26CD3"/>
    <w:rPr>
      <w:rFonts w:ascii="Arial" w:hAnsi="Arial" w:cs="Arial"/>
      <w:b/>
      <w:bCs/>
      <w:sz w:val="18"/>
      <w:szCs w:val="18"/>
    </w:rPr>
  </w:style>
  <w:style w:type="character" w:customStyle="1" w:styleId="FontStyle210">
    <w:name w:val="Font Style21"/>
    <w:uiPriority w:val="99"/>
    <w:rsid w:val="00A26CD3"/>
    <w:rPr>
      <w:rFonts w:ascii="Arial" w:hAnsi="Arial" w:cs="Arial"/>
      <w:sz w:val="18"/>
      <w:szCs w:val="18"/>
    </w:rPr>
  </w:style>
  <w:style w:type="character" w:customStyle="1" w:styleId="FontStyle22">
    <w:name w:val="Font Style22"/>
    <w:uiPriority w:val="99"/>
    <w:rsid w:val="00A26CD3"/>
    <w:rPr>
      <w:rFonts w:ascii="Arial" w:hAnsi="Arial" w:cs="Arial"/>
      <w:sz w:val="18"/>
      <w:szCs w:val="18"/>
    </w:rPr>
  </w:style>
  <w:style w:type="character" w:customStyle="1" w:styleId="m7eme">
    <w:name w:val="m7eme"/>
    <w:basedOn w:val="Fuentedeprrafopredeter"/>
    <w:rsid w:val="00A26CD3"/>
  </w:style>
  <w:style w:type="table" w:customStyle="1" w:styleId="Tabladelista311">
    <w:name w:val="Tabla de lista 311"/>
    <w:basedOn w:val="Tablanormal"/>
    <w:uiPriority w:val="48"/>
    <w:rsid w:val="00A26CD3"/>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delista31">
    <w:name w:val="Tabla de lista 31"/>
    <w:basedOn w:val="Tablanormal"/>
    <w:uiPriority w:val="48"/>
    <w:rsid w:val="00A26CD3"/>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Fechas">
    <w:name w:val="Fechas"/>
    <w:basedOn w:val="Texto"/>
    <w:autoRedefine/>
    <w:rsid w:val="00A26CD3"/>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kern w:val="2"/>
      <w:sz w:val="22"/>
      <w:szCs w:val="22"/>
      <w:lang w:val="es-MX" w:eastAsia="es-MX"/>
      <w14:ligatures w14:val="standardContextual"/>
    </w:rPr>
  </w:style>
  <w:style w:type="paragraph" w:customStyle="1" w:styleId="SUBIN">
    <w:name w:val="SUBIN"/>
    <w:basedOn w:val="Texto"/>
    <w:rsid w:val="00A26CD3"/>
    <w:pPr>
      <w:ind w:left="1987" w:hanging="720"/>
    </w:pPr>
    <w:rPr>
      <w:kern w:val="2"/>
      <w:sz w:val="22"/>
      <w:szCs w:val="22"/>
      <w:lang w:val="es-MX"/>
      <w14:ligatures w14:val="standardContextual"/>
    </w:rPr>
  </w:style>
  <w:style w:type="paragraph" w:customStyle="1" w:styleId="Titulo2">
    <w:name w:val="Titulo 2"/>
    <w:basedOn w:val="Texto"/>
    <w:rsid w:val="00A26CD3"/>
    <w:pPr>
      <w:pBdr>
        <w:top w:val="double" w:sz="6" w:space="1" w:color="auto"/>
      </w:pBdr>
      <w:spacing w:line="240" w:lineRule="auto"/>
      <w:ind w:firstLine="0"/>
      <w:outlineLvl w:val="1"/>
    </w:pPr>
    <w:rPr>
      <w:kern w:val="2"/>
      <w:sz w:val="22"/>
      <w:szCs w:val="22"/>
      <w:lang w:val="es-MX"/>
      <w14:ligatures w14:val="standardContextual"/>
    </w:rPr>
  </w:style>
  <w:style w:type="paragraph" w:customStyle="1" w:styleId="tt">
    <w:name w:val="tt"/>
    <w:basedOn w:val="Texto"/>
    <w:rsid w:val="00A26CD3"/>
    <w:pPr>
      <w:tabs>
        <w:tab w:val="left" w:pos="1320"/>
        <w:tab w:val="left" w:pos="1629"/>
      </w:tabs>
      <w:ind w:left="1647" w:hanging="1440"/>
    </w:pPr>
    <w:rPr>
      <w:kern w:val="2"/>
      <w:sz w:val="22"/>
      <w:szCs w:val="22"/>
      <w:lang w:val="es-ES_tradnl"/>
      <w14:ligatures w14:val="standardContextual"/>
    </w:rPr>
  </w:style>
  <w:style w:type="paragraph" w:customStyle="1" w:styleId="sum">
    <w:name w:val="sum"/>
    <w:basedOn w:val="Texto"/>
    <w:rsid w:val="00A26CD3"/>
    <w:pPr>
      <w:tabs>
        <w:tab w:val="right" w:leader="dot" w:pos="8100"/>
        <w:tab w:val="right" w:pos="8640"/>
      </w:tabs>
      <w:spacing w:after="0" w:line="266" w:lineRule="exact"/>
      <w:ind w:left="274" w:right="749" w:firstLine="0"/>
    </w:pPr>
    <w:rPr>
      <w:rFonts w:ascii="Times New Roman" w:hAnsi="Times New Roman"/>
      <w:b/>
      <w:kern w:val="2"/>
      <w:sz w:val="20"/>
      <w:szCs w:val="22"/>
      <w:u w:val="single"/>
      <w:lang w:val="es-ES_tradnl"/>
      <w14:ligatures w14:val="standardContextual"/>
    </w:rPr>
  </w:style>
  <w:style w:type="paragraph" w:customStyle="1" w:styleId="EstilotextoPrimeralnea0">
    <w:name w:val="Estilo texto + Primera línea:  0&quot;"/>
    <w:basedOn w:val="Normal"/>
    <w:rsid w:val="00A26CD3"/>
    <w:pPr>
      <w:spacing w:after="101" w:line="216" w:lineRule="exact"/>
      <w:jc w:val="both"/>
    </w:pPr>
    <w:rPr>
      <w:rFonts w:ascii="Arial" w:eastAsia="Times New Roman" w:hAnsi="Arial" w:cs="Times New Roman"/>
      <w:sz w:val="18"/>
      <w:szCs w:val="20"/>
      <w:lang w:eastAsia="es-MX"/>
    </w:rPr>
  </w:style>
  <w:style w:type="paragraph" w:customStyle="1" w:styleId="Textonormal1">
    <w:name w:val="Texto normal"/>
    <w:basedOn w:val="Normal"/>
    <w:rsid w:val="00A26CD3"/>
    <w:pPr>
      <w:spacing w:after="0" w:line="360" w:lineRule="atLeast"/>
      <w:jc w:val="both"/>
    </w:pPr>
    <w:rPr>
      <w:rFonts w:ascii="GaAamond" w:eastAsia="Times New Roman" w:hAnsi="GaAamond" w:cs="GaAamond"/>
      <w:sz w:val="28"/>
      <w:szCs w:val="20"/>
      <w:lang w:val="es-ES" w:eastAsia="es-MX"/>
    </w:rPr>
  </w:style>
  <w:style w:type="paragraph" w:customStyle="1" w:styleId="SECRETARIADELAFUNCION">
    <w:name w:val="SECRETARIA DE LA FUNCION"/>
    <w:basedOn w:val="Normal"/>
    <w:rsid w:val="00A26CD3"/>
    <w:pPr>
      <w:spacing w:after="0" w:line="240" w:lineRule="auto"/>
    </w:pPr>
    <w:rPr>
      <w:rFonts w:ascii="ArAal" w:eastAsia="Times New Roman" w:hAnsi="ArAal" w:cs="ArAal"/>
      <w:sz w:val="18"/>
      <w:szCs w:val="20"/>
      <w:lang w:val="es-ES" w:eastAsia="es-MX"/>
    </w:rPr>
  </w:style>
  <w:style w:type="paragraph" w:customStyle="1" w:styleId="EstilotextoPrimeral">
    <w:name w:val="Estilo texto + Primera l"/>
    <w:basedOn w:val="Normal"/>
    <w:rsid w:val="00A26CD3"/>
    <w:pPr>
      <w:spacing w:after="101" w:line="216" w:lineRule="exact"/>
      <w:jc w:val="both"/>
    </w:pPr>
    <w:rPr>
      <w:rFonts w:ascii="ArAal" w:eastAsia="Times New Roman" w:hAnsi="ArAal" w:cs="ArAal"/>
      <w:sz w:val="18"/>
      <w:szCs w:val="20"/>
      <w:lang w:eastAsia="es-MX"/>
    </w:rPr>
  </w:style>
  <w:style w:type="paragraph" w:customStyle="1" w:styleId="Textodeglobo3">
    <w:name w:val="Texto de globo3"/>
    <w:basedOn w:val="Normal"/>
    <w:rsid w:val="00A26CD3"/>
    <w:pPr>
      <w:spacing w:after="0" w:line="240" w:lineRule="auto"/>
    </w:pPr>
    <w:rPr>
      <w:rFonts w:ascii="SeAoe UI" w:eastAsia="Times New Roman" w:hAnsi="SeAoe UI" w:cs="SeAoe UI"/>
      <w:sz w:val="18"/>
      <w:szCs w:val="20"/>
      <w:lang w:eastAsia="es-MX"/>
    </w:rPr>
  </w:style>
  <w:style w:type="paragraph" w:customStyle="1" w:styleId="Sumario">
    <w:name w:val="Sumario"/>
    <w:basedOn w:val="Normal"/>
    <w:rsid w:val="00A26CD3"/>
    <w:pPr>
      <w:tabs>
        <w:tab w:val="right" w:leader="dot" w:pos="8107"/>
        <w:tab w:val="right" w:pos="8640"/>
      </w:tabs>
      <w:spacing w:after="0" w:line="260" w:lineRule="exact"/>
      <w:ind w:left="274" w:right="749"/>
      <w:jc w:val="both"/>
    </w:pPr>
    <w:rPr>
      <w:rFonts w:ascii="Arial" w:eastAsia="Times New Roman" w:hAnsi="Arial" w:cs="Times New Roman"/>
      <w:sz w:val="18"/>
      <w:szCs w:val="18"/>
      <w:lang w:val="es-ES" w:eastAsia="es-ES"/>
    </w:rPr>
  </w:style>
  <w:style w:type="paragraph" w:customStyle="1" w:styleId="Secreta">
    <w:name w:val="Secreta"/>
    <w:basedOn w:val="Normal"/>
    <w:autoRedefine/>
    <w:rsid w:val="00A26CD3"/>
    <w:pPr>
      <w:tabs>
        <w:tab w:val="right" w:leader="dot" w:pos="8100"/>
        <w:tab w:val="right" w:pos="8640"/>
      </w:tabs>
      <w:spacing w:after="0" w:line="334" w:lineRule="exact"/>
      <w:ind w:left="274" w:right="749"/>
      <w:jc w:val="both"/>
    </w:pPr>
    <w:rPr>
      <w:rFonts w:ascii="Times New Roman" w:eastAsia="Times New Roman" w:hAnsi="Times New Roman" w:cs="Times New Roman"/>
      <w:b/>
      <w:sz w:val="20"/>
      <w:szCs w:val="20"/>
      <w:u w:val="single"/>
      <w:lang w:val="es-ES_tradnl" w:eastAsia="es-ES"/>
    </w:rPr>
  </w:style>
  <w:style w:type="character" w:customStyle="1" w:styleId="cf21">
    <w:name w:val="cf21"/>
    <w:rsid w:val="00A26CD3"/>
    <w:rPr>
      <w:rFonts w:ascii="Segoe UI" w:hAnsi="Segoe UI" w:cs="Segoe UI" w:hint="default"/>
      <w:i/>
      <w:iCs/>
      <w:sz w:val="18"/>
      <w:szCs w:val="18"/>
    </w:rPr>
  </w:style>
  <w:style w:type="character" w:customStyle="1" w:styleId="cf31">
    <w:name w:val="cf31"/>
    <w:rsid w:val="00A26CD3"/>
    <w:rPr>
      <w:rFonts w:ascii="Segoe UI" w:hAnsi="Segoe UI" w:cs="Segoe UI" w:hint="default"/>
      <w:b/>
      <w:bCs/>
      <w:sz w:val="18"/>
      <w:szCs w:val="18"/>
    </w:rPr>
  </w:style>
  <w:style w:type="character" w:customStyle="1" w:styleId="cf51">
    <w:name w:val="cf51"/>
    <w:rsid w:val="00A26CD3"/>
    <w:rPr>
      <w:rFonts w:ascii="Segoe UI" w:hAnsi="Segoe UI" w:cs="Segoe UI" w:hint="default"/>
      <w:i/>
      <w:iCs/>
      <w:color w:val="0000FF"/>
      <w:sz w:val="18"/>
      <w:szCs w:val="18"/>
    </w:rPr>
  </w:style>
  <w:style w:type="paragraph" w:customStyle="1" w:styleId="Prrafo0">
    <w:name w:val="Párrafo"/>
    <w:basedOn w:val="Normal"/>
    <w:qFormat/>
    <w:rsid w:val="00A26CD3"/>
    <w:pPr>
      <w:spacing w:before="240" w:after="240" w:line="360" w:lineRule="auto"/>
      <w:jc w:val="both"/>
    </w:pPr>
    <w:rPr>
      <w:rFonts w:ascii="Arial" w:eastAsia="Cambria" w:hAnsi="Arial" w:cs="Arial"/>
      <w:sz w:val="26"/>
      <w:szCs w:val="26"/>
    </w:rPr>
  </w:style>
  <w:style w:type="paragraph" w:customStyle="1" w:styleId="CAPITULOS">
    <w:name w:val="CAPITULOS"/>
    <w:basedOn w:val="Normal"/>
    <w:link w:val="CAPITULOSCar"/>
    <w:qFormat/>
    <w:rsid w:val="00A26CD3"/>
    <w:pPr>
      <w:spacing w:after="240" w:line="240" w:lineRule="auto"/>
      <w:ind w:left="426" w:hanging="437"/>
      <w:jc w:val="center"/>
    </w:pPr>
    <w:rPr>
      <w:rFonts w:ascii="HelveticaNeueLT Std Blk" w:eastAsia="Times New Roman" w:hAnsi="HelveticaNeueLT Std Blk" w:cs="Times New Roman"/>
      <w:b/>
      <w:sz w:val="16"/>
      <w:szCs w:val="16"/>
      <w:lang w:val="es-ES_tradnl" w:eastAsia="es-ES"/>
    </w:rPr>
  </w:style>
  <w:style w:type="character" w:customStyle="1" w:styleId="CAPITULOSCar">
    <w:name w:val="CAPITULOS Car"/>
    <w:link w:val="CAPITULOS"/>
    <w:rsid w:val="00A26CD3"/>
    <w:rPr>
      <w:rFonts w:ascii="HelveticaNeueLT Std Blk" w:eastAsia="Times New Roman" w:hAnsi="HelveticaNeueLT Std Blk" w:cs="Times New Roman"/>
      <w:b/>
      <w:sz w:val="16"/>
      <w:szCs w:val="16"/>
      <w:lang w:val="es-ES_tradnl" w:eastAsia="es-ES"/>
    </w:rPr>
  </w:style>
  <w:style w:type="paragraph" w:customStyle="1" w:styleId="baselegalrom">
    <w:name w:val="base legal rom"/>
    <w:basedOn w:val="Normal"/>
    <w:link w:val="baselegalromCar"/>
    <w:qFormat/>
    <w:rsid w:val="00A26CD3"/>
    <w:pPr>
      <w:spacing w:after="240" w:line="240" w:lineRule="auto"/>
      <w:ind w:left="1080" w:hanging="720"/>
      <w:jc w:val="center"/>
    </w:pPr>
    <w:rPr>
      <w:rFonts w:ascii="HelveticaNeueLT Std" w:eastAsia="Times New Roman" w:hAnsi="HelveticaNeueLT Std" w:cs="Times New Roman"/>
      <w:b/>
      <w:sz w:val="24"/>
      <w:szCs w:val="20"/>
      <w:lang w:val="es-ES_tradnl" w:eastAsia="es-ES"/>
    </w:rPr>
  </w:style>
  <w:style w:type="character" w:customStyle="1" w:styleId="baselegalromCar">
    <w:name w:val="base legal rom Car"/>
    <w:link w:val="baselegalrom"/>
    <w:rsid w:val="00A26CD3"/>
    <w:rPr>
      <w:rFonts w:ascii="HelveticaNeueLT Std" w:eastAsia="Times New Roman" w:hAnsi="HelveticaNeueLT Std" w:cs="Times New Roman"/>
      <w:b/>
      <w:sz w:val="24"/>
      <w:szCs w:val="20"/>
      <w:lang w:val="es-ES_tradnl" w:eastAsia="es-ES"/>
    </w:rPr>
  </w:style>
  <w:style w:type="character" w:customStyle="1" w:styleId="date-display-single">
    <w:name w:val="date-display-single"/>
    <w:basedOn w:val="Fuentedeprrafopredeter"/>
    <w:rsid w:val="00A26CD3"/>
  </w:style>
  <w:style w:type="character" w:customStyle="1" w:styleId="nw">
    <w:name w:val="nw"/>
    <w:basedOn w:val="Fuentedeprrafopredeter"/>
    <w:qFormat/>
    <w:rsid w:val="00A26CD3"/>
  </w:style>
  <w:style w:type="character" w:customStyle="1" w:styleId="pg-1fc2">
    <w:name w:val="pg-1fc2"/>
    <w:basedOn w:val="Fuentedeprrafopredeter"/>
    <w:rsid w:val="00A26CD3"/>
  </w:style>
  <w:style w:type="character" w:customStyle="1" w:styleId="Cuerpodeltexto31Exact">
    <w:name w:val="Cuerpo del texto (31) Exact"/>
    <w:basedOn w:val="Fuentedeprrafopredeter"/>
    <w:rsid w:val="00A26CD3"/>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Ttulo30">
    <w:name w:val="Título #3"/>
    <w:basedOn w:val="Fuentedeprrafopredeter"/>
    <w:rsid w:val="00A26CD3"/>
    <w:rPr>
      <w:rFonts w:ascii="Times New Roman" w:eastAsia="Times New Roman" w:hAnsi="Times New Roman" w:cs="Times New Roman" w:hint="default"/>
      <w:b/>
      <w:bCs/>
      <w:i/>
      <w:iCs/>
      <w:smallCaps w:val="0"/>
      <w:strike w:val="0"/>
      <w:dstrike w:val="0"/>
      <w:color w:val="000000"/>
      <w:spacing w:val="110"/>
      <w:w w:val="100"/>
      <w:position w:val="0"/>
      <w:sz w:val="36"/>
      <w:szCs w:val="36"/>
      <w:u w:val="single"/>
      <w:effect w:val="none"/>
      <w:lang w:val="es-ES" w:eastAsia="es-ES" w:bidi="es-ES"/>
    </w:rPr>
  </w:style>
  <w:style w:type="character" w:customStyle="1" w:styleId="Cuerpodeltexto30Negrita">
    <w:name w:val="Cuerpo del texto (30) + Negrita"/>
    <w:basedOn w:val="Fuentedeprrafopredeter"/>
    <w:rsid w:val="00A26CD3"/>
    <w:rPr>
      <w:rFonts w:ascii="Times New Roman" w:eastAsia="Times New Roman" w:hAnsi="Times New Roman" w:cs="Times New Roman"/>
      <w:b/>
      <w:bCs/>
      <w:i/>
      <w:iCs/>
      <w:color w:val="000000"/>
      <w:spacing w:val="0"/>
      <w:w w:val="100"/>
      <w:position w:val="0"/>
      <w:shd w:val="clear" w:color="auto" w:fill="FFFFFF"/>
      <w:lang w:val="es-ES" w:eastAsia="es-ES" w:bidi="es-ES"/>
    </w:rPr>
  </w:style>
  <w:style w:type="character" w:customStyle="1" w:styleId="Cuerpodeltexto30105pto">
    <w:name w:val="Cuerpo del texto (30) + 10.5 pto"/>
    <w:aliases w:val="Cuerpo del texto (10) + 9.5 pto,Leyenda de la imagen (6) + 10.5 pto,Escala 100% Exact,Cuerpo del texto (2) + Calibri,8.5 pto"/>
    <w:basedOn w:val="Fuentedeprrafopredeter"/>
    <w:rsid w:val="00A26CD3"/>
    <w:rPr>
      <w:rFonts w:ascii="Times New Roman" w:eastAsia="Times New Roman" w:hAnsi="Times New Roman" w:cs="Times New Roman"/>
      <w:b/>
      <w:bCs/>
      <w:i/>
      <w:iCs/>
      <w:color w:val="000000"/>
      <w:spacing w:val="0"/>
      <w:w w:val="100"/>
      <w:position w:val="0"/>
      <w:sz w:val="21"/>
      <w:szCs w:val="21"/>
      <w:shd w:val="clear" w:color="auto" w:fill="FFFFFF"/>
      <w:lang w:val="es-ES" w:eastAsia="es-ES" w:bidi="es-ES"/>
    </w:rPr>
  </w:style>
  <w:style w:type="character" w:customStyle="1" w:styleId="Ttulo3Espaciado3pto">
    <w:name w:val="Título #3 + Espaciado 3 pto"/>
    <w:basedOn w:val="Fuentedeprrafopredeter"/>
    <w:rsid w:val="00A26CD3"/>
    <w:rPr>
      <w:rFonts w:ascii="Franklin Gothic Heavy" w:eastAsia="Franklin Gothic Heavy" w:hAnsi="Franklin Gothic Heavy" w:cs="Franklin Gothic Heavy"/>
      <w:i/>
      <w:iCs/>
      <w:color w:val="000000"/>
      <w:spacing w:val="60"/>
      <w:w w:val="100"/>
      <w:position w:val="0"/>
      <w:sz w:val="24"/>
      <w:szCs w:val="24"/>
      <w:shd w:val="clear" w:color="auto" w:fill="FFFFFF"/>
      <w:lang w:val="es-ES" w:eastAsia="es-ES" w:bidi="es-ES"/>
    </w:rPr>
  </w:style>
  <w:style w:type="character" w:customStyle="1" w:styleId="Cuerpodeltexto13Sinnegrita">
    <w:name w:val="Cuerpo del texto (13) + Sin negrita"/>
    <w:basedOn w:val="Fuentedeprrafopredeter"/>
    <w:rsid w:val="00A26CD3"/>
    <w:rPr>
      <w:rFonts w:ascii="Franklin Gothic Heavy" w:eastAsia="Franklin Gothic Heavy" w:hAnsi="Franklin Gothic Heavy" w:cs="Franklin Gothic Heavy"/>
      <w:b/>
      <w:bCs/>
      <w:color w:val="000000"/>
      <w:spacing w:val="0"/>
      <w:w w:val="100"/>
      <w:position w:val="0"/>
      <w:sz w:val="24"/>
      <w:szCs w:val="24"/>
      <w:shd w:val="clear" w:color="auto" w:fill="FFFFFF"/>
      <w:lang w:val="es-ES" w:eastAsia="es-ES" w:bidi="es-ES"/>
    </w:rPr>
  </w:style>
  <w:style w:type="character" w:customStyle="1" w:styleId="Cuerpodeltexto14Negrita">
    <w:name w:val="Cuerpo del texto (14) + Negrita"/>
    <w:basedOn w:val="Fuentedeprrafopredeter"/>
    <w:rsid w:val="00A26CD3"/>
    <w:rPr>
      <w:rFonts w:ascii="Franklin Gothic Heavy" w:eastAsia="Franklin Gothic Heavy" w:hAnsi="Franklin Gothic Heavy" w:cs="Franklin Gothic Heavy"/>
      <w:b/>
      <w:bCs/>
      <w:color w:val="000000"/>
      <w:spacing w:val="0"/>
      <w:w w:val="100"/>
      <w:position w:val="0"/>
      <w:sz w:val="24"/>
      <w:szCs w:val="24"/>
      <w:shd w:val="clear" w:color="auto" w:fill="FFFFFF"/>
      <w:lang w:val="es-ES" w:eastAsia="es-ES" w:bidi="es-ES"/>
    </w:rPr>
  </w:style>
  <w:style w:type="character" w:customStyle="1" w:styleId="Cuerpodeltexto14Versales">
    <w:name w:val="Cuerpo del texto (14) + Versales"/>
    <w:basedOn w:val="Fuentedeprrafopredeter"/>
    <w:rsid w:val="00A26CD3"/>
    <w:rPr>
      <w:rFonts w:ascii="Franklin Gothic Heavy" w:eastAsia="Franklin Gothic Heavy" w:hAnsi="Franklin Gothic Heavy" w:cs="Franklin Gothic Heavy"/>
      <w:smallCaps/>
      <w:color w:val="000000"/>
      <w:spacing w:val="0"/>
      <w:w w:val="100"/>
      <w:position w:val="0"/>
      <w:sz w:val="24"/>
      <w:szCs w:val="24"/>
      <w:shd w:val="clear" w:color="auto" w:fill="FFFFFF"/>
      <w:lang w:val="es-ES" w:eastAsia="es-ES" w:bidi="es-ES"/>
    </w:rPr>
  </w:style>
  <w:style w:type="character" w:customStyle="1" w:styleId="Cuerpodeltexto3">
    <w:name w:val="Cuerpo del texto (3)"/>
    <w:basedOn w:val="Fuentedeprrafopredeter"/>
    <w:rsid w:val="00A26CD3"/>
    <w:rPr>
      <w:rFonts w:ascii="Arial" w:eastAsia="Arial" w:hAnsi="Arial" w:cs="Arial"/>
      <w:b/>
      <w:bCs/>
      <w:i w:val="0"/>
      <w:iCs w:val="0"/>
      <w:smallCaps w:val="0"/>
      <w:strike w:val="0"/>
      <w:color w:val="000000"/>
      <w:spacing w:val="0"/>
      <w:w w:val="100"/>
      <w:position w:val="0"/>
      <w:sz w:val="22"/>
      <w:szCs w:val="22"/>
      <w:u w:val="single"/>
      <w:lang w:val="es-ES" w:eastAsia="es-ES" w:bidi="es-ES"/>
    </w:rPr>
  </w:style>
  <w:style w:type="character" w:customStyle="1" w:styleId="Cuerpodeltexto211pto">
    <w:name w:val="Cuerpo del texto (2) + 11 pto"/>
    <w:basedOn w:val="Fuentedeprrafopredeter"/>
    <w:rsid w:val="00A26CD3"/>
    <w:rPr>
      <w:rFonts w:ascii="Arial" w:eastAsia="Arial" w:hAnsi="Arial" w:cs="Arial"/>
      <w:b/>
      <w:bCs/>
      <w:color w:val="000000"/>
      <w:spacing w:val="0"/>
      <w:w w:val="100"/>
      <w:position w:val="0"/>
      <w:sz w:val="22"/>
      <w:szCs w:val="22"/>
      <w:shd w:val="clear" w:color="auto" w:fill="FFFFFF"/>
      <w:lang w:val="es-ES" w:eastAsia="es-ES" w:bidi="es-ES"/>
    </w:rPr>
  </w:style>
  <w:style w:type="character" w:customStyle="1" w:styleId="Cuerpodeltexto614pto">
    <w:name w:val="Cuerpo del texto (6) + 14 pto"/>
    <w:aliases w:val="Espaciado 4 pto"/>
    <w:basedOn w:val="Fuentedeprrafopredeter"/>
    <w:rsid w:val="00A26CD3"/>
    <w:rPr>
      <w:rFonts w:ascii="Arial" w:eastAsia="Arial" w:hAnsi="Arial" w:cs="Arial"/>
      <w:b/>
      <w:bCs/>
      <w:color w:val="000000"/>
      <w:spacing w:val="80"/>
      <w:w w:val="100"/>
      <w:position w:val="0"/>
      <w:sz w:val="28"/>
      <w:szCs w:val="28"/>
      <w:shd w:val="clear" w:color="auto" w:fill="FFFFFF"/>
      <w:lang w:val="es-ES" w:eastAsia="es-ES" w:bidi="es-ES"/>
    </w:rPr>
  </w:style>
  <w:style w:type="character" w:customStyle="1" w:styleId="WW8Num7z2">
    <w:name w:val="WW8Num7z2"/>
    <w:rsid w:val="00A26CD3"/>
  </w:style>
  <w:style w:type="character" w:customStyle="1" w:styleId="WW8Num7z3">
    <w:name w:val="WW8Num7z3"/>
    <w:rsid w:val="00A26CD3"/>
  </w:style>
  <w:style w:type="character" w:customStyle="1" w:styleId="WW8Num7z4">
    <w:name w:val="WW8Num7z4"/>
    <w:rsid w:val="00A26CD3"/>
  </w:style>
  <w:style w:type="character" w:customStyle="1" w:styleId="WW8Num7z5">
    <w:name w:val="WW8Num7z5"/>
    <w:rsid w:val="00A26CD3"/>
  </w:style>
  <w:style w:type="character" w:customStyle="1" w:styleId="WW8Num7z6">
    <w:name w:val="WW8Num7z6"/>
    <w:rsid w:val="00A26CD3"/>
  </w:style>
  <w:style w:type="character" w:customStyle="1" w:styleId="WW8Num7z7">
    <w:name w:val="WW8Num7z7"/>
    <w:rsid w:val="00A26CD3"/>
  </w:style>
  <w:style w:type="character" w:customStyle="1" w:styleId="WW8Num7z8">
    <w:name w:val="WW8Num7z8"/>
    <w:rsid w:val="00A26CD3"/>
  </w:style>
  <w:style w:type="paragraph" w:customStyle="1" w:styleId="Ttulo73">
    <w:name w:val="Título7"/>
    <w:basedOn w:val="Normal"/>
    <w:next w:val="Textoindependiente"/>
    <w:rsid w:val="00A26CD3"/>
    <w:pPr>
      <w:keepNext/>
      <w:suppressAutoHyphens/>
      <w:spacing w:before="240" w:after="120" w:line="276" w:lineRule="auto"/>
    </w:pPr>
    <w:rPr>
      <w:rFonts w:ascii="Liberation Sans" w:eastAsia="Microsoft YaHei" w:hAnsi="Liberation Sans" w:cs="Arial"/>
      <w:sz w:val="28"/>
      <w:szCs w:val="28"/>
      <w:lang w:val="es-ES" w:eastAsia="zh-CN"/>
    </w:rPr>
  </w:style>
  <w:style w:type="paragraph" w:customStyle="1" w:styleId="Ttulo63">
    <w:name w:val="Título6"/>
    <w:basedOn w:val="Normal"/>
    <w:next w:val="Textoindependiente"/>
    <w:rsid w:val="00A26CD3"/>
    <w:pPr>
      <w:keepNext/>
      <w:suppressAutoHyphens/>
      <w:spacing w:before="240" w:after="120" w:line="276" w:lineRule="auto"/>
    </w:pPr>
    <w:rPr>
      <w:rFonts w:ascii="Liberation Sans" w:eastAsia="Microsoft YaHei" w:hAnsi="Liberation Sans" w:cs="Lucida Sans"/>
      <w:sz w:val="28"/>
      <w:szCs w:val="28"/>
      <w:lang w:val="es-ES" w:eastAsia="zh-CN"/>
    </w:rPr>
  </w:style>
  <w:style w:type="paragraph" w:customStyle="1" w:styleId="1-1">
    <w:name w:val="1-1"/>
    <w:basedOn w:val="Normal"/>
    <w:rsid w:val="00A26CD3"/>
    <w:pPr>
      <w:widowControl w:val="0"/>
      <w:suppressAutoHyphens/>
      <w:spacing w:after="0" w:line="240" w:lineRule="auto"/>
    </w:pPr>
    <w:rPr>
      <w:rFonts w:ascii="Times New Roman" w:eastAsia="Times New Roman" w:hAnsi="Times New Roman" w:cs="Times New Roman"/>
      <w:sz w:val="24"/>
      <w:szCs w:val="20"/>
      <w:lang w:val="en-US" w:eastAsia="zh-CN"/>
    </w:rPr>
  </w:style>
  <w:style w:type="paragraph" w:customStyle="1" w:styleId="Ttulodelatabla">
    <w:name w:val="Título de la tabla"/>
    <w:basedOn w:val="Contenidodelatabla"/>
    <w:rsid w:val="00A26CD3"/>
    <w:pPr>
      <w:widowControl/>
      <w:spacing w:after="200" w:line="276" w:lineRule="auto"/>
      <w:jc w:val="center"/>
    </w:pPr>
    <w:rPr>
      <w:rFonts w:ascii="Calibri" w:eastAsia="Calibri" w:hAnsi="Calibri" w:cs="Calibri"/>
      <w:b/>
      <w:bCs/>
      <w:kern w:val="0"/>
      <w:sz w:val="22"/>
      <w:szCs w:val="22"/>
      <w:lang w:val="es-ES" w:eastAsia="zh-CN" w:bidi="ar-SA"/>
    </w:rPr>
  </w:style>
  <w:style w:type="character" w:customStyle="1" w:styleId="Cuerpodeltexto30">
    <w:name w:val="Cuerpo del texto (3)_"/>
    <w:basedOn w:val="Fuentedeprrafopredeter"/>
    <w:rsid w:val="00A26CD3"/>
    <w:rPr>
      <w:rFonts w:ascii="Arial" w:eastAsia="Arial" w:hAnsi="Arial" w:cs="Arial"/>
      <w:sz w:val="28"/>
      <w:szCs w:val="28"/>
      <w:shd w:val="clear" w:color="auto" w:fill="FFFFFF"/>
    </w:rPr>
  </w:style>
  <w:style w:type="character" w:customStyle="1" w:styleId="Cuerpodeltexto313pto">
    <w:name w:val="Cuerpo del texto (3) + 13 pto"/>
    <w:aliases w:val="Cuerpo del texto (2) + 13 pto"/>
    <w:basedOn w:val="Cuerpodeltexto30"/>
    <w:rsid w:val="00A26CD3"/>
    <w:rPr>
      <w:rFonts w:ascii="Arial" w:eastAsia="Arial" w:hAnsi="Arial" w:cs="Arial"/>
      <w:b/>
      <w:bCs/>
      <w:color w:val="000000"/>
      <w:spacing w:val="0"/>
      <w:w w:val="100"/>
      <w:position w:val="0"/>
      <w:sz w:val="26"/>
      <w:szCs w:val="26"/>
      <w:shd w:val="clear" w:color="auto" w:fill="FFFFFF"/>
      <w:lang w:val="es-ES" w:eastAsia="es-ES" w:bidi="es-ES"/>
    </w:rPr>
  </w:style>
  <w:style w:type="character" w:customStyle="1" w:styleId="Cuerpodeltexto3Negrita">
    <w:name w:val="Cuerpo del texto (3) + Negrita"/>
    <w:basedOn w:val="Cuerpodeltexto30"/>
    <w:rsid w:val="00A26CD3"/>
    <w:rPr>
      <w:rFonts w:ascii="Arial" w:eastAsia="Arial" w:hAnsi="Arial" w:cs="Arial"/>
      <w:b/>
      <w:bCs/>
      <w:color w:val="000000"/>
      <w:spacing w:val="0"/>
      <w:w w:val="100"/>
      <w:position w:val="0"/>
      <w:sz w:val="28"/>
      <w:szCs w:val="28"/>
      <w:shd w:val="clear" w:color="auto" w:fill="FFFFFF"/>
      <w:lang w:val="es-ES" w:eastAsia="es-ES" w:bidi="es-ES"/>
    </w:rPr>
  </w:style>
  <w:style w:type="character" w:customStyle="1" w:styleId="Cuerpodeltexto214pto">
    <w:name w:val="Cuerpo del texto (2) + 14 pto"/>
    <w:basedOn w:val="Fuentedeprrafopredeter"/>
    <w:rsid w:val="00A26CD3"/>
    <w:rPr>
      <w:rFonts w:ascii="Arial" w:eastAsia="Arial" w:hAnsi="Arial" w:cs="Arial"/>
      <w:color w:val="000000"/>
      <w:spacing w:val="0"/>
      <w:w w:val="100"/>
      <w:position w:val="0"/>
      <w:sz w:val="28"/>
      <w:szCs w:val="28"/>
      <w:shd w:val="clear" w:color="auto" w:fill="FFFFFF"/>
      <w:lang w:val="es-ES" w:eastAsia="es-ES" w:bidi="es-ES"/>
    </w:rPr>
  </w:style>
  <w:style w:type="character" w:customStyle="1" w:styleId="Cuerpodeltexto4">
    <w:name w:val="Cuerpo del texto (4)_"/>
    <w:basedOn w:val="Fuentedeprrafopredeter"/>
    <w:link w:val="Cuerpodeltexto40"/>
    <w:rsid w:val="00A26CD3"/>
    <w:rPr>
      <w:rFonts w:ascii="Tahoma" w:eastAsia="Tahoma" w:hAnsi="Tahoma" w:cs="Tahoma"/>
      <w:b/>
      <w:bCs/>
      <w:sz w:val="21"/>
      <w:szCs w:val="21"/>
      <w:shd w:val="clear" w:color="auto" w:fill="FFFFFF"/>
    </w:rPr>
  </w:style>
  <w:style w:type="character" w:customStyle="1" w:styleId="Cuerpodeltexto4Arial">
    <w:name w:val="Cuerpo del texto (4) + Arial"/>
    <w:aliases w:val="13 pto"/>
    <w:basedOn w:val="Cuerpodeltexto4"/>
    <w:rsid w:val="00A26CD3"/>
    <w:rPr>
      <w:rFonts w:ascii="Arial" w:eastAsia="Arial" w:hAnsi="Arial" w:cs="Arial"/>
      <w:b/>
      <w:bCs/>
      <w:color w:val="000000"/>
      <w:w w:val="100"/>
      <w:position w:val="0"/>
      <w:sz w:val="26"/>
      <w:szCs w:val="26"/>
      <w:shd w:val="clear" w:color="auto" w:fill="FFFFFF"/>
      <w:lang w:val="es-ES" w:eastAsia="es-ES" w:bidi="es-ES"/>
    </w:rPr>
  </w:style>
  <w:style w:type="paragraph" w:customStyle="1" w:styleId="Cuerpodeltexto40">
    <w:name w:val="Cuerpo del texto (4)"/>
    <w:basedOn w:val="Normal"/>
    <w:link w:val="Cuerpodeltexto4"/>
    <w:rsid w:val="00A26CD3"/>
    <w:pPr>
      <w:widowControl w:val="0"/>
      <w:shd w:val="clear" w:color="auto" w:fill="FFFFFF"/>
      <w:spacing w:before="2100" w:after="360" w:line="408" w:lineRule="exact"/>
    </w:pPr>
    <w:rPr>
      <w:rFonts w:ascii="Tahoma" w:eastAsia="Tahoma" w:hAnsi="Tahoma" w:cs="Tahoma"/>
      <w:b/>
      <w:bCs/>
      <w:sz w:val="21"/>
      <w:szCs w:val="21"/>
    </w:rPr>
  </w:style>
  <w:style w:type="character" w:customStyle="1" w:styleId="Cuerpodeltexto2105pto">
    <w:name w:val="Cuerpo del texto (2) + 10.5 pto"/>
    <w:basedOn w:val="Fuentedeprrafopredeter"/>
    <w:rsid w:val="00A26CD3"/>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Ttulo720">
    <w:name w:val="Título #7 (2)_"/>
    <w:basedOn w:val="Fuentedeprrafopredeter"/>
    <w:link w:val="Ttulo721"/>
    <w:rsid w:val="00A26CD3"/>
    <w:rPr>
      <w:rFonts w:ascii="Candara" w:eastAsia="Candara" w:hAnsi="Candara" w:cs="Candara"/>
      <w:sz w:val="26"/>
      <w:szCs w:val="26"/>
      <w:shd w:val="clear" w:color="auto" w:fill="FFFFFF"/>
    </w:rPr>
  </w:style>
  <w:style w:type="character" w:customStyle="1" w:styleId="Ttulo72Espaciado3pto">
    <w:name w:val="Título #7 (2) + Espaciado 3 pto"/>
    <w:basedOn w:val="Ttulo720"/>
    <w:rsid w:val="00A26CD3"/>
    <w:rPr>
      <w:rFonts w:ascii="Candara" w:eastAsia="Candara" w:hAnsi="Candara" w:cs="Candara"/>
      <w:color w:val="000000"/>
      <w:spacing w:val="70"/>
      <w:w w:val="100"/>
      <w:position w:val="0"/>
      <w:sz w:val="26"/>
      <w:szCs w:val="26"/>
      <w:shd w:val="clear" w:color="auto" w:fill="FFFFFF"/>
      <w:lang w:val="es-ES" w:eastAsia="es-ES" w:bidi="es-ES"/>
    </w:rPr>
  </w:style>
  <w:style w:type="paragraph" w:customStyle="1" w:styleId="Ttulo721">
    <w:name w:val="Título #7 (2)"/>
    <w:basedOn w:val="Normal"/>
    <w:link w:val="Ttulo720"/>
    <w:rsid w:val="00A26CD3"/>
    <w:pPr>
      <w:widowControl w:val="0"/>
      <w:shd w:val="clear" w:color="auto" w:fill="FFFFFF"/>
      <w:spacing w:before="360" w:after="360" w:line="0" w:lineRule="atLeast"/>
      <w:jc w:val="center"/>
      <w:outlineLvl w:val="6"/>
    </w:pPr>
    <w:rPr>
      <w:rFonts w:ascii="Candara" w:eastAsia="Candara" w:hAnsi="Candara" w:cs="Candara"/>
      <w:sz w:val="26"/>
      <w:szCs w:val="26"/>
    </w:rPr>
  </w:style>
  <w:style w:type="character" w:customStyle="1" w:styleId="Cuerpodeltexto310pto">
    <w:name w:val="Cuerpo del texto (3) + 10 pto"/>
    <w:aliases w:val="Espaciado 2 pto"/>
    <w:basedOn w:val="Cuerpodeltexto30"/>
    <w:rsid w:val="00A26CD3"/>
    <w:rPr>
      <w:rFonts w:ascii="Arial" w:eastAsia="Arial" w:hAnsi="Arial" w:cs="Arial"/>
      <w:b/>
      <w:bCs/>
      <w:i w:val="0"/>
      <w:iCs w:val="0"/>
      <w:smallCaps w:val="0"/>
      <w:strike w:val="0"/>
      <w:color w:val="000000"/>
      <w:spacing w:val="50"/>
      <w:w w:val="100"/>
      <w:position w:val="0"/>
      <w:sz w:val="20"/>
      <w:szCs w:val="20"/>
      <w:u w:val="none"/>
      <w:shd w:val="clear" w:color="auto" w:fill="FFFFFF"/>
      <w:lang w:val="es-ES" w:eastAsia="es-ES" w:bidi="es-ES"/>
    </w:rPr>
  </w:style>
  <w:style w:type="character" w:customStyle="1" w:styleId="Cuerpodeltexto3Versales">
    <w:name w:val="Cuerpo del texto (3) + Versales"/>
    <w:basedOn w:val="Cuerpodeltexto30"/>
    <w:rsid w:val="00A26CD3"/>
    <w:rPr>
      <w:rFonts w:ascii="Arial" w:eastAsia="Arial" w:hAnsi="Arial" w:cs="Arial"/>
      <w:b/>
      <w:bCs/>
      <w:i w:val="0"/>
      <w:iCs w:val="0"/>
      <w:smallCaps/>
      <w:strike w:val="0"/>
      <w:color w:val="000000"/>
      <w:spacing w:val="0"/>
      <w:w w:val="100"/>
      <w:position w:val="0"/>
      <w:sz w:val="21"/>
      <w:szCs w:val="21"/>
      <w:u w:val="none"/>
      <w:shd w:val="clear" w:color="auto" w:fill="FFFFFF"/>
      <w:lang w:val="es-ES" w:eastAsia="es-ES" w:bidi="es-ES"/>
    </w:rPr>
  </w:style>
  <w:style w:type="character" w:customStyle="1" w:styleId="Cuerpodeltexto10">
    <w:name w:val="Cuerpo del texto (10)"/>
    <w:basedOn w:val="Fuentedeprrafopredeter"/>
    <w:rsid w:val="00A26CD3"/>
    <w:rPr>
      <w:rFonts w:ascii="Arial" w:eastAsia="Arial" w:hAnsi="Arial" w:cs="Arial" w:hint="default"/>
      <w:b w:val="0"/>
      <w:bCs w:val="0"/>
      <w:i w:val="0"/>
      <w:iCs w:val="0"/>
      <w:smallCaps w:val="0"/>
      <w:strike w:val="0"/>
      <w:dstrike w:val="0"/>
      <w:color w:val="000000"/>
      <w:spacing w:val="0"/>
      <w:w w:val="100"/>
      <w:position w:val="0"/>
      <w:sz w:val="21"/>
      <w:szCs w:val="21"/>
      <w:u w:val="single"/>
      <w:effect w:val="none"/>
      <w:lang w:val="es-ES" w:eastAsia="es-ES" w:bidi="es-ES"/>
    </w:rPr>
  </w:style>
  <w:style w:type="character" w:customStyle="1" w:styleId="Leyendadelaimagen4Exact">
    <w:name w:val="Leyenda de la imagen (4) Exact"/>
    <w:basedOn w:val="Fuentedeprrafopredeter"/>
    <w:link w:val="Leyendadelaimagen4"/>
    <w:rsid w:val="00A26CD3"/>
    <w:rPr>
      <w:rFonts w:ascii="MS Reference Sans Serif" w:eastAsia="MS Reference Sans Serif" w:hAnsi="MS Reference Sans Serif" w:cs="MS Reference Sans Serif"/>
      <w:shd w:val="clear" w:color="auto" w:fill="FFFFFF"/>
    </w:rPr>
  </w:style>
  <w:style w:type="paragraph" w:customStyle="1" w:styleId="Leyendadelaimagen4">
    <w:name w:val="Leyenda de la imagen (4)"/>
    <w:basedOn w:val="Normal"/>
    <w:link w:val="Leyendadelaimagen4Exact"/>
    <w:rsid w:val="00A26CD3"/>
    <w:pPr>
      <w:widowControl w:val="0"/>
      <w:shd w:val="clear" w:color="auto" w:fill="FFFFFF"/>
      <w:spacing w:after="0" w:line="0" w:lineRule="atLeast"/>
    </w:pPr>
    <w:rPr>
      <w:rFonts w:ascii="MS Reference Sans Serif" w:eastAsia="MS Reference Sans Serif" w:hAnsi="MS Reference Sans Serif" w:cs="MS Reference Sans Serif"/>
    </w:rPr>
  </w:style>
  <w:style w:type="character" w:customStyle="1" w:styleId="Encabezamientoopiedepgina">
    <w:name w:val="Encabezamiento o pie de página"/>
    <w:basedOn w:val="Fuentedeprrafopredeter"/>
    <w:rsid w:val="00A26CD3"/>
    <w:rPr>
      <w:rFonts w:ascii="Book Antiqua" w:eastAsia="Book Antiqua" w:hAnsi="Book Antiqua" w:cs="Book Antiqua"/>
      <w:b w:val="0"/>
      <w:bCs w:val="0"/>
      <w:i w:val="0"/>
      <w:iCs w:val="0"/>
      <w:smallCaps w:val="0"/>
      <w:strike w:val="0"/>
      <w:color w:val="000000"/>
      <w:spacing w:val="0"/>
      <w:w w:val="100"/>
      <w:position w:val="0"/>
      <w:sz w:val="15"/>
      <w:szCs w:val="15"/>
      <w:u w:val="none"/>
      <w:lang w:val="es-ES" w:eastAsia="es-ES" w:bidi="es-ES"/>
    </w:rPr>
  </w:style>
  <w:style w:type="character" w:customStyle="1" w:styleId="PuestoCar2">
    <w:name w:val="Puesto Car2"/>
    <w:basedOn w:val="Fuentedeprrafopredeter"/>
    <w:uiPriority w:val="10"/>
    <w:rsid w:val="00A26CD3"/>
    <w:rPr>
      <w:rFonts w:asciiTheme="majorHAnsi" w:eastAsiaTheme="majorEastAsia" w:hAnsiTheme="majorHAnsi" w:cstheme="majorBidi"/>
      <w:spacing w:val="-10"/>
      <w:kern w:val="28"/>
      <w:sz w:val="56"/>
      <w:szCs w:val="56"/>
    </w:rPr>
  </w:style>
  <w:style w:type="paragraph" w:customStyle="1" w:styleId="CONTRATO">
    <w:name w:val="CONTRATO"/>
    <w:basedOn w:val="Normal"/>
    <w:next w:val="Normal"/>
    <w:qFormat/>
    <w:rsid w:val="00A26CD3"/>
    <w:pPr>
      <w:spacing w:after="0" w:line="240" w:lineRule="auto"/>
      <w:ind w:right="49"/>
      <w:jc w:val="both"/>
    </w:pPr>
    <w:rPr>
      <w:rFonts w:ascii="Arial" w:hAnsi="Arial"/>
      <w:sz w:val="24"/>
      <w:szCs w:val="24"/>
      <w:lang w:val="es-ES_tradnl"/>
    </w:rPr>
  </w:style>
  <w:style w:type="character" w:customStyle="1" w:styleId="ListLabel1">
    <w:name w:val="ListLabel 1"/>
    <w:qFormat/>
    <w:rsid w:val="00A26CD3"/>
    <w:rPr>
      <w:b/>
    </w:rPr>
  </w:style>
  <w:style w:type="character" w:customStyle="1" w:styleId="ListLabel2">
    <w:name w:val="ListLabel 2"/>
    <w:qFormat/>
    <w:rsid w:val="00A26CD3"/>
    <w:rPr>
      <w:b/>
    </w:rPr>
  </w:style>
  <w:style w:type="character" w:customStyle="1" w:styleId="ListLabel3">
    <w:name w:val="ListLabel 3"/>
    <w:qFormat/>
    <w:rsid w:val="00A26CD3"/>
    <w:rPr>
      <w:b/>
    </w:rPr>
  </w:style>
  <w:style w:type="character" w:customStyle="1" w:styleId="ListLabel4">
    <w:name w:val="ListLabel 4"/>
    <w:qFormat/>
    <w:rsid w:val="00A26CD3"/>
    <w:rPr>
      <w:sz w:val="16"/>
    </w:rPr>
  </w:style>
  <w:style w:type="character" w:customStyle="1" w:styleId="ListLabel5">
    <w:name w:val="ListLabel 5"/>
    <w:qFormat/>
    <w:rsid w:val="00A26CD3"/>
    <w:rPr>
      <w:b/>
    </w:rPr>
  </w:style>
  <w:style w:type="character" w:customStyle="1" w:styleId="ListLabel6">
    <w:name w:val="ListLabel 6"/>
    <w:qFormat/>
    <w:rsid w:val="00A26CD3"/>
    <w:rPr>
      <w:b/>
    </w:rPr>
  </w:style>
  <w:style w:type="character" w:customStyle="1" w:styleId="ListLabel7">
    <w:name w:val="ListLabel 7"/>
    <w:qFormat/>
    <w:rsid w:val="00A26CD3"/>
    <w:rPr>
      <w:rFonts w:cs="Courier New"/>
    </w:rPr>
  </w:style>
  <w:style w:type="character" w:customStyle="1" w:styleId="ListLabel8">
    <w:name w:val="ListLabel 8"/>
    <w:qFormat/>
    <w:rsid w:val="00A26CD3"/>
    <w:rPr>
      <w:rFonts w:cs="Courier New"/>
    </w:rPr>
  </w:style>
  <w:style w:type="character" w:customStyle="1" w:styleId="ListLabel9">
    <w:name w:val="ListLabel 9"/>
    <w:qFormat/>
    <w:rsid w:val="00A26CD3"/>
    <w:rPr>
      <w:rFonts w:cs="Courier New"/>
    </w:rPr>
  </w:style>
  <w:style w:type="character" w:customStyle="1" w:styleId="ListLabel10">
    <w:name w:val="ListLabel 10"/>
    <w:qFormat/>
    <w:rsid w:val="00A26CD3"/>
    <w:rPr>
      <w:rFonts w:cs="Courier New"/>
    </w:rPr>
  </w:style>
  <w:style w:type="character" w:customStyle="1" w:styleId="ListLabel11">
    <w:name w:val="ListLabel 11"/>
    <w:qFormat/>
    <w:rsid w:val="00A26CD3"/>
    <w:rPr>
      <w:rFonts w:cs="Courier New"/>
    </w:rPr>
  </w:style>
  <w:style w:type="character" w:customStyle="1" w:styleId="ListLabel12">
    <w:name w:val="ListLabel 12"/>
    <w:qFormat/>
    <w:rsid w:val="00A26CD3"/>
    <w:rPr>
      <w:rFonts w:cs="Courier New"/>
    </w:rPr>
  </w:style>
  <w:style w:type="character" w:customStyle="1" w:styleId="ListLabel13">
    <w:name w:val="ListLabel 13"/>
    <w:qFormat/>
    <w:rsid w:val="00A26CD3"/>
    <w:rPr>
      <w:b/>
    </w:rPr>
  </w:style>
  <w:style w:type="character" w:customStyle="1" w:styleId="ListLabel14">
    <w:name w:val="ListLabel 14"/>
    <w:qFormat/>
    <w:rsid w:val="00A26CD3"/>
    <w:rPr>
      <w:b/>
    </w:rPr>
  </w:style>
  <w:style w:type="character" w:customStyle="1" w:styleId="ListLabel15">
    <w:name w:val="ListLabel 15"/>
    <w:qFormat/>
    <w:rsid w:val="00A26CD3"/>
    <w:rPr>
      <w:b/>
    </w:rPr>
  </w:style>
  <w:style w:type="character" w:customStyle="1" w:styleId="ListLabel16">
    <w:name w:val="ListLabel 16"/>
    <w:qFormat/>
    <w:rsid w:val="00A26CD3"/>
    <w:rPr>
      <w:rFonts w:cs="Courier New"/>
    </w:rPr>
  </w:style>
  <w:style w:type="character" w:customStyle="1" w:styleId="ListLabel17">
    <w:name w:val="ListLabel 17"/>
    <w:qFormat/>
    <w:rsid w:val="00A26CD3"/>
    <w:rPr>
      <w:rFonts w:cs="Courier New"/>
    </w:rPr>
  </w:style>
  <w:style w:type="character" w:customStyle="1" w:styleId="ListLabel18">
    <w:name w:val="ListLabel 18"/>
    <w:qFormat/>
    <w:rsid w:val="00A26CD3"/>
    <w:rPr>
      <w:rFonts w:cs="Courier New"/>
    </w:rPr>
  </w:style>
  <w:style w:type="character" w:customStyle="1" w:styleId="ListLabel19">
    <w:name w:val="ListLabel 19"/>
    <w:qFormat/>
    <w:rsid w:val="00A26CD3"/>
    <w:rPr>
      <w:rFonts w:eastAsia="Calibri"/>
      <w:sz w:val="22"/>
      <w:szCs w:val="22"/>
    </w:rPr>
  </w:style>
  <w:style w:type="character" w:customStyle="1" w:styleId="ListLabel20">
    <w:name w:val="ListLabel 20"/>
    <w:qFormat/>
    <w:rsid w:val="00A26CD3"/>
    <w:rPr>
      <w:rFonts w:eastAsia="Symbol"/>
      <w:sz w:val="22"/>
      <w:szCs w:val="22"/>
    </w:rPr>
  </w:style>
  <w:style w:type="character" w:customStyle="1" w:styleId="ListLabel21">
    <w:name w:val="ListLabel 21"/>
    <w:qFormat/>
    <w:rsid w:val="00A26CD3"/>
    <w:rPr>
      <w:rFonts w:eastAsia="Calibri" w:cs="Calibri"/>
      <w:b/>
      <w:sz w:val="22"/>
    </w:rPr>
  </w:style>
  <w:style w:type="character" w:customStyle="1" w:styleId="ListLabel22">
    <w:name w:val="ListLabel 22"/>
    <w:qFormat/>
    <w:rsid w:val="00A26CD3"/>
    <w:rPr>
      <w:rFonts w:eastAsia="Calibri" w:cs="Calibri"/>
    </w:rPr>
  </w:style>
  <w:style w:type="character" w:customStyle="1" w:styleId="ListLabel23">
    <w:name w:val="ListLabel 23"/>
    <w:qFormat/>
    <w:rsid w:val="00A26CD3"/>
    <w:rPr>
      <w:rFonts w:eastAsia="Calibri"/>
    </w:rPr>
  </w:style>
  <w:style w:type="character" w:customStyle="1" w:styleId="ListLabel24">
    <w:name w:val="ListLabel 24"/>
    <w:qFormat/>
    <w:rsid w:val="00A26CD3"/>
    <w:rPr>
      <w:rFonts w:cs="Courier New"/>
    </w:rPr>
  </w:style>
  <w:style w:type="character" w:customStyle="1" w:styleId="ListLabel25">
    <w:name w:val="ListLabel 25"/>
    <w:qFormat/>
    <w:rsid w:val="00A26CD3"/>
    <w:rPr>
      <w:rFonts w:cs="Courier New"/>
    </w:rPr>
  </w:style>
  <w:style w:type="character" w:customStyle="1" w:styleId="ListLabel26">
    <w:name w:val="ListLabel 26"/>
    <w:qFormat/>
    <w:rsid w:val="00A26CD3"/>
    <w:rPr>
      <w:rFonts w:cs="Courier New"/>
    </w:rPr>
  </w:style>
  <w:style w:type="character" w:customStyle="1" w:styleId="ListLabel27">
    <w:name w:val="ListLabel 27"/>
    <w:qFormat/>
    <w:rsid w:val="00A26CD3"/>
    <w:rPr>
      <w:rFonts w:cs="Courier New"/>
    </w:rPr>
  </w:style>
  <w:style w:type="character" w:customStyle="1" w:styleId="ListLabel28">
    <w:name w:val="ListLabel 28"/>
    <w:qFormat/>
    <w:rsid w:val="00A26CD3"/>
    <w:rPr>
      <w:rFonts w:cs="Courier New"/>
    </w:rPr>
  </w:style>
  <w:style w:type="character" w:customStyle="1" w:styleId="ListLabel29">
    <w:name w:val="ListLabel 29"/>
    <w:qFormat/>
    <w:rsid w:val="00A26CD3"/>
    <w:rPr>
      <w:rFonts w:cs="Courier New"/>
    </w:rPr>
  </w:style>
  <w:style w:type="character" w:customStyle="1" w:styleId="ListLabel30">
    <w:name w:val="ListLabel 30"/>
    <w:qFormat/>
    <w:rsid w:val="00A26CD3"/>
    <w:rPr>
      <w:rFonts w:cs="Courier New"/>
    </w:rPr>
  </w:style>
  <w:style w:type="character" w:customStyle="1" w:styleId="ListLabel31">
    <w:name w:val="ListLabel 31"/>
    <w:qFormat/>
    <w:rsid w:val="00A26CD3"/>
    <w:rPr>
      <w:rFonts w:cs="Courier New"/>
    </w:rPr>
  </w:style>
  <w:style w:type="character" w:customStyle="1" w:styleId="ListLabel32">
    <w:name w:val="ListLabel 32"/>
    <w:qFormat/>
    <w:rsid w:val="00A26CD3"/>
    <w:rPr>
      <w:rFonts w:cs="Courier New"/>
    </w:rPr>
  </w:style>
  <w:style w:type="character" w:customStyle="1" w:styleId="ListLabel33">
    <w:name w:val="ListLabel 33"/>
    <w:qFormat/>
    <w:rsid w:val="00A26CD3"/>
    <w:rPr>
      <w:rFonts w:cs="Courier New"/>
    </w:rPr>
  </w:style>
  <w:style w:type="character" w:customStyle="1" w:styleId="ListLabel34">
    <w:name w:val="ListLabel 34"/>
    <w:qFormat/>
    <w:rsid w:val="00A26CD3"/>
    <w:rPr>
      <w:rFonts w:cs="Courier New"/>
    </w:rPr>
  </w:style>
  <w:style w:type="character" w:customStyle="1" w:styleId="ListLabel35">
    <w:name w:val="ListLabel 35"/>
    <w:qFormat/>
    <w:rsid w:val="00A26CD3"/>
    <w:rPr>
      <w:rFonts w:cs="Courier New"/>
    </w:rPr>
  </w:style>
  <w:style w:type="character" w:customStyle="1" w:styleId="ListLabel36">
    <w:name w:val="ListLabel 36"/>
    <w:qFormat/>
    <w:rsid w:val="00A26CD3"/>
    <w:rPr>
      <w:b/>
    </w:rPr>
  </w:style>
  <w:style w:type="character" w:customStyle="1" w:styleId="ListLabel37">
    <w:name w:val="ListLabel 37"/>
    <w:qFormat/>
    <w:rsid w:val="00A26CD3"/>
    <w:rPr>
      <w:rFonts w:cs="Courier New"/>
    </w:rPr>
  </w:style>
  <w:style w:type="character" w:customStyle="1" w:styleId="ListLabel38">
    <w:name w:val="ListLabel 38"/>
    <w:qFormat/>
    <w:rsid w:val="00A26CD3"/>
    <w:rPr>
      <w:rFonts w:cs="Courier New"/>
    </w:rPr>
  </w:style>
  <w:style w:type="character" w:customStyle="1" w:styleId="ListLabel39">
    <w:name w:val="ListLabel 39"/>
    <w:qFormat/>
    <w:rsid w:val="00A26CD3"/>
    <w:rPr>
      <w:rFonts w:cs="Courier New"/>
    </w:rPr>
  </w:style>
  <w:style w:type="character" w:customStyle="1" w:styleId="ListLabel40">
    <w:name w:val="ListLabel 40"/>
    <w:qFormat/>
    <w:rsid w:val="00A26CD3"/>
    <w:rPr>
      <w:b/>
    </w:rPr>
  </w:style>
  <w:style w:type="character" w:customStyle="1" w:styleId="ListLabel41">
    <w:name w:val="ListLabel 41"/>
    <w:qFormat/>
    <w:rsid w:val="00A26CD3"/>
    <w:rPr>
      <w:rFonts w:cs="Courier New"/>
    </w:rPr>
  </w:style>
  <w:style w:type="character" w:customStyle="1" w:styleId="ListLabel42">
    <w:name w:val="ListLabel 42"/>
    <w:qFormat/>
    <w:rsid w:val="00A26CD3"/>
    <w:rPr>
      <w:rFonts w:cs="Courier New"/>
    </w:rPr>
  </w:style>
  <w:style w:type="character" w:customStyle="1" w:styleId="ListLabel43">
    <w:name w:val="ListLabel 43"/>
    <w:qFormat/>
    <w:rsid w:val="00A26CD3"/>
    <w:rPr>
      <w:rFonts w:cs="Courier New"/>
    </w:rPr>
  </w:style>
  <w:style w:type="character" w:customStyle="1" w:styleId="ListLabel44">
    <w:name w:val="ListLabel 44"/>
    <w:qFormat/>
    <w:rsid w:val="00A26CD3"/>
    <w:rPr>
      <w:rFonts w:cs="Courier New"/>
    </w:rPr>
  </w:style>
  <w:style w:type="character" w:customStyle="1" w:styleId="ListLabel45">
    <w:name w:val="ListLabel 45"/>
    <w:qFormat/>
    <w:rsid w:val="00A26CD3"/>
    <w:rPr>
      <w:rFonts w:cs="Courier New"/>
    </w:rPr>
  </w:style>
  <w:style w:type="character" w:customStyle="1" w:styleId="ListLabel46">
    <w:name w:val="ListLabel 46"/>
    <w:qFormat/>
    <w:rsid w:val="00A26CD3"/>
    <w:rPr>
      <w:rFonts w:cs="Courier New"/>
    </w:rPr>
  </w:style>
  <w:style w:type="character" w:customStyle="1" w:styleId="ListLabel47">
    <w:name w:val="ListLabel 47"/>
    <w:qFormat/>
    <w:rsid w:val="00A26CD3"/>
    <w:rPr>
      <w:b/>
    </w:rPr>
  </w:style>
  <w:style w:type="character" w:customStyle="1" w:styleId="ListLabel48">
    <w:name w:val="ListLabel 48"/>
    <w:qFormat/>
    <w:rsid w:val="00A26CD3"/>
    <w:rPr>
      <w:b/>
    </w:rPr>
  </w:style>
  <w:style w:type="character" w:customStyle="1" w:styleId="ListLabel49">
    <w:name w:val="ListLabel 49"/>
    <w:qFormat/>
    <w:rsid w:val="00A26CD3"/>
    <w:rPr>
      <w:b/>
    </w:rPr>
  </w:style>
  <w:style w:type="character" w:customStyle="1" w:styleId="ListLabel50">
    <w:name w:val="ListLabel 50"/>
    <w:qFormat/>
    <w:rsid w:val="00A26CD3"/>
    <w:rPr>
      <w:rFonts w:ascii="HelveticaNeueLT Std Lt" w:hAnsi="HelveticaNeueLT Std Lt"/>
      <w:b/>
      <w:sz w:val="18"/>
      <w:u w:val="single"/>
    </w:rPr>
  </w:style>
  <w:style w:type="paragraph" w:customStyle="1" w:styleId="Prrafonormal">
    <w:name w:val="Párrafo normal"/>
    <w:basedOn w:val="Normal"/>
    <w:qFormat/>
    <w:rsid w:val="00A26CD3"/>
    <w:pPr>
      <w:suppressAutoHyphens/>
      <w:overflowPunct w:val="0"/>
      <w:spacing w:after="340" w:line="360" w:lineRule="auto"/>
      <w:jc w:val="both"/>
      <w:textAlignment w:val="baseline"/>
    </w:pPr>
    <w:rPr>
      <w:rFonts w:ascii="Antique Olive" w:eastAsia="Calibri" w:hAnsi="Antique Olive" w:cs="Times New Roman"/>
      <w:kern w:val="2"/>
      <w:szCs w:val="20"/>
      <w:lang w:val="es-ES" w:eastAsia="zh-CN"/>
    </w:rPr>
  </w:style>
  <w:style w:type="paragraph" w:customStyle="1" w:styleId="NormalGilSanz">
    <w:name w:val="Normal +GilSanz"/>
    <w:basedOn w:val="Textoindependiente3"/>
    <w:uiPriority w:val="99"/>
    <w:rsid w:val="00A26CD3"/>
    <w:pPr>
      <w:spacing w:after="0"/>
      <w:jc w:val="both"/>
    </w:pPr>
    <w:rPr>
      <w:rFonts w:ascii="GillSans" w:hAnsi="GillSans" w:cs="GillSans"/>
      <w:b/>
      <w:bCs/>
      <w:sz w:val="20"/>
      <w:szCs w:val="20"/>
      <w:lang w:val="es-ES_tradnl"/>
    </w:rPr>
  </w:style>
  <w:style w:type="character" w:customStyle="1" w:styleId="lbl-encabezado-negro2">
    <w:name w:val="lbl-encabezado-negro2"/>
    <w:uiPriority w:val="99"/>
    <w:rsid w:val="00A26CD3"/>
    <w:rPr>
      <w:color w:val="000000"/>
    </w:rPr>
  </w:style>
  <w:style w:type="paragraph" w:customStyle="1" w:styleId="francesa1">
    <w:name w:val="francesa1"/>
    <w:basedOn w:val="Normal"/>
    <w:uiPriority w:val="99"/>
    <w:rsid w:val="00A26CD3"/>
    <w:pPr>
      <w:spacing w:after="0" w:line="240" w:lineRule="auto"/>
      <w:jc w:val="both"/>
    </w:pPr>
    <w:rPr>
      <w:rFonts w:ascii="Times New Roman" w:eastAsia="Times New Roman" w:hAnsi="Times New Roman" w:cs="Times New Roman"/>
      <w:color w:val="444444"/>
      <w:sz w:val="24"/>
      <w:szCs w:val="24"/>
      <w:lang w:eastAsia="es-MX"/>
    </w:rPr>
  </w:style>
  <w:style w:type="character" w:customStyle="1" w:styleId="red1">
    <w:name w:val="red1"/>
    <w:uiPriority w:val="99"/>
    <w:rsid w:val="00A26CD3"/>
    <w:rPr>
      <w:b/>
      <w:bCs/>
      <w:color w:val="0000FF"/>
      <w:shd w:val="clear" w:color="auto" w:fill="FFFF00"/>
    </w:rPr>
  </w:style>
  <w:style w:type="paragraph" w:customStyle="1" w:styleId="nota1">
    <w:name w:val="nota1"/>
    <w:basedOn w:val="Normal"/>
    <w:uiPriority w:val="99"/>
    <w:rsid w:val="00A26CD3"/>
    <w:pPr>
      <w:spacing w:after="0" w:line="240" w:lineRule="auto"/>
      <w:jc w:val="both"/>
    </w:pPr>
    <w:rPr>
      <w:rFonts w:ascii="Times New Roman" w:eastAsia="Times New Roman" w:hAnsi="Times New Roman" w:cs="Times New Roman"/>
      <w:color w:val="444444"/>
      <w:sz w:val="24"/>
      <w:szCs w:val="24"/>
      <w:lang w:eastAsia="es-MX"/>
    </w:rPr>
  </w:style>
  <w:style w:type="paragraph" w:customStyle="1" w:styleId="xxmsonormal">
    <w:name w:val="x_x_msonormal"/>
    <w:basedOn w:val="Normal"/>
    <w:rsid w:val="00A26CD3"/>
    <w:pPr>
      <w:spacing w:before="100" w:beforeAutospacing="1" w:after="100" w:afterAutospacing="1" w:line="240" w:lineRule="auto"/>
    </w:pPr>
    <w:rPr>
      <w:rFonts w:ascii="Calibri" w:eastAsiaTheme="minorEastAsia" w:hAnsi="Calibri" w:cs="Calibri"/>
      <w:lang w:eastAsia="es-MX"/>
    </w:rPr>
  </w:style>
  <w:style w:type="character" w:customStyle="1" w:styleId="Textoennegrita2">
    <w:name w:val="Texto en negrita2"/>
    <w:rsid w:val="00A26CD3"/>
    <w:rPr>
      <w:b/>
      <w:bCs/>
    </w:rPr>
  </w:style>
  <w:style w:type="table" w:customStyle="1" w:styleId="Tablanormal42">
    <w:name w:val="Tabla normal 42"/>
    <w:basedOn w:val="Tablanormal"/>
    <w:uiPriority w:val="44"/>
    <w:rsid w:val="00A26CD3"/>
    <w:pPr>
      <w:spacing w:after="0" w:line="240" w:lineRule="auto"/>
    </w:pPr>
    <w:rPr>
      <w:rFonts w:eastAsiaTheme="minorEastAsia"/>
      <w:kern w:val="2"/>
      <w:sz w:val="24"/>
      <w:szCs w:val="24"/>
      <w:lang w:eastAsia="zh-CN"/>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link w:val="Sinespaciado1"/>
    <w:locked/>
    <w:rsid w:val="00A26CD3"/>
    <w:rPr>
      <w:rFonts w:ascii="Calibri" w:eastAsia="Droid Sans Fallback" w:hAnsi="Calibri" w:cs="font279"/>
      <w:kern w:val="2"/>
    </w:rPr>
  </w:style>
  <w:style w:type="character" w:customStyle="1" w:styleId="grqv0">
    <w:name w:val="grqv0"/>
    <w:basedOn w:val="Fuentedeprrafopredeter"/>
    <w:rsid w:val="00A26CD3"/>
  </w:style>
  <w:style w:type="character" w:customStyle="1" w:styleId="xujrye">
    <w:name w:val="xujrye"/>
    <w:basedOn w:val="Fuentedeprrafopredeter"/>
    <w:rsid w:val="00A26CD3"/>
  </w:style>
  <w:style w:type="character" w:customStyle="1" w:styleId="Mencinsinresolver5">
    <w:name w:val="Mención sin resolver5"/>
    <w:uiPriority w:val="99"/>
    <w:semiHidden/>
    <w:unhideWhenUsed/>
    <w:rsid w:val="00A26CD3"/>
    <w:rPr>
      <w:color w:val="605E5C"/>
      <w:shd w:val="clear" w:color="auto" w:fill="E1DFDD"/>
    </w:rPr>
  </w:style>
  <w:style w:type="paragraph" w:customStyle="1" w:styleId="CuerpoB">
    <w:name w:val="Cuerpo B"/>
    <w:uiPriority w:val="99"/>
    <w:rsid w:val="00A26CD3"/>
    <w:pPr>
      <w:spacing w:after="0" w:line="240" w:lineRule="auto"/>
    </w:pPr>
    <w:rPr>
      <w:rFonts w:ascii="Times New Roman" w:eastAsia="Arial Unicode MS" w:hAnsi="Times New Roman" w:cs="Arial Unicode MS"/>
      <w:color w:val="000000"/>
      <w:sz w:val="24"/>
      <w:szCs w:val="24"/>
      <w:u w:color="000000"/>
      <w:lang w:val="es-ES_tradnl" w:eastAsia="es-MX"/>
    </w:rPr>
  </w:style>
  <w:style w:type="paragraph" w:customStyle="1" w:styleId="Poromisin">
    <w:name w:val="Por omisión"/>
    <w:uiPriority w:val="99"/>
    <w:rsid w:val="00A26CD3"/>
    <w:pPr>
      <w:spacing w:after="0" w:line="240" w:lineRule="auto"/>
    </w:pPr>
    <w:rPr>
      <w:rFonts w:ascii="Helvetica Neue" w:eastAsia="Arial Unicode MS" w:hAnsi="Helvetica Neue" w:cs="Arial Unicode MS"/>
      <w:color w:val="000000"/>
      <w:lang w:val="es-ES_tradnl" w:eastAsia="es-MX"/>
    </w:rPr>
  </w:style>
  <w:style w:type="paragraph" w:customStyle="1" w:styleId="element">
    <w:name w:val="element"/>
    <w:basedOn w:val="Normal"/>
    <w:uiPriority w:val="99"/>
    <w:rsid w:val="00A26CD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ull">
    <w:name w:val="null"/>
    <w:rsid w:val="00A26CD3"/>
  </w:style>
  <w:style w:type="character" w:customStyle="1" w:styleId="CuerpodeltextoCursiva">
    <w:name w:val="Cuerpo del texto + Cursiva"/>
    <w:rsid w:val="00A26CD3"/>
    <w:rPr>
      <w:rFonts w:ascii="Arial" w:eastAsia="Arial" w:hAnsi="Arial" w:cs="Arial" w:hint="default"/>
      <w:b w:val="0"/>
      <w:bCs w:val="0"/>
      <w:i/>
      <w:iCs/>
      <w:smallCaps w:val="0"/>
      <w:strike w:val="0"/>
      <w:dstrike w:val="0"/>
      <w:spacing w:val="0"/>
      <w:sz w:val="22"/>
      <w:szCs w:val="22"/>
      <w:u w:val="none"/>
      <w:effect w:val="none"/>
    </w:rPr>
  </w:style>
  <w:style w:type="paragraph" w:customStyle="1" w:styleId="OmniPage2">
    <w:name w:val="OmniPage #2"/>
    <w:rsid w:val="00A26CD3"/>
    <w:pPr>
      <w:widowControl w:val="0"/>
      <w:tabs>
        <w:tab w:val="left" w:pos="100"/>
        <w:tab w:val="right" w:pos="4669"/>
      </w:tabs>
      <w:spacing w:after="0" w:line="240" w:lineRule="auto"/>
      <w:jc w:val="both"/>
    </w:pPr>
    <w:rPr>
      <w:rFonts w:ascii="CG Times" w:eastAsia="Times New Roman" w:hAnsi="CG Times" w:cs="Times New Roman"/>
      <w:snapToGrid w:val="0"/>
      <w:sz w:val="20"/>
      <w:szCs w:val="20"/>
      <w:lang w:val="en-US" w:eastAsia="es-ES"/>
    </w:rPr>
  </w:style>
  <w:style w:type="paragraph" w:customStyle="1" w:styleId="BodyText250">
    <w:name w:val="Body Text 25"/>
    <w:basedOn w:val="Normal"/>
    <w:rsid w:val="00A26CD3"/>
    <w:pPr>
      <w:widowControl w:val="0"/>
      <w:spacing w:after="0" w:line="240" w:lineRule="auto"/>
      <w:jc w:val="both"/>
    </w:pPr>
    <w:rPr>
      <w:rFonts w:ascii="Arial" w:eastAsia="Times New Roman" w:hAnsi="Arial" w:cs="Times New Roman"/>
      <w:b/>
      <w:szCs w:val="20"/>
      <w:lang w:val="es-ES_tradnl" w:eastAsia="es-ES"/>
    </w:rPr>
  </w:style>
  <w:style w:type="table" w:customStyle="1" w:styleId="Tablaconcuadrcula4-nfasis11">
    <w:name w:val="Tabla con cuadrícula 4 - Énfasis 11"/>
    <w:basedOn w:val="Tablanormal"/>
    <w:uiPriority w:val="49"/>
    <w:rsid w:val="00A26CD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4-nfasis41">
    <w:name w:val="Tabla con cuadrícula 4 - Énfasis 41"/>
    <w:basedOn w:val="Tablanormal"/>
    <w:uiPriority w:val="49"/>
    <w:rsid w:val="00A26CD3"/>
    <w:pPr>
      <w:spacing w:after="0" w:line="240" w:lineRule="auto"/>
    </w:pPr>
    <w:rPr>
      <w:rFonts w:eastAsiaTheme="minorEastAsia"/>
      <w:kern w:val="2"/>
      <w:sz w:val="24"/>
      <w:szCs w:val="24"/>
      <w:lang w:eastAsia="zh-CN"/>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Mencinsinresolver6">
    <w:name w:val="Mención sin resolver6"/>
    <w:basedOn w:val="Fuentedeprrafopredeter"/>
    <w:uiPriority w:val="99"/>
    <w:semiHidden/>
    <w:unhideWhenUsed/>
    <w:rsid w:val="00A26CD3"/>
    <w:rPr>
      <w:color w:val="605E5C"/>
      <w:shd w:val="clear" w:color="auto" w:fill="E1DFDD"/>
    </w:rPr>
  </w:style>
  <w:style w:type="numbering" w:customStyle="1" w:styleId="Sinlista30">
    <w:name w:val="Sin lista30"/>
    <w:next w:val="Sinlista"/>
    <w:uiPriority w:val="99"/>
    <w:semiHidden/>
    <w:unhideWhenUsed/>
    <w:rsid w:val="001634B4"/>
  </w:style>
  <w:style w:type="table" w:customStyle="1" w:styleId="Tablaconcuadrcula30">
    <w:name w:val="Tabla con cuadrícula30"/>
    <w:basedOn w:val="Tablanormal"/>
    <w:next w:val="Tablaconcuadrcula"/>
    <w:uiPriority w:val="39"/>
    <w:rsid w:val="001634B4"/>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6">
    <w:name w:val="Tabla con cuadrícula116"/>
    <w:basedOn w:val="Tablanormal"/>
    <w:next w:val="Tablaconcuadrcula"/>
    <w:uiPriority w:val="39"/>
    <w:rsid w:val="00163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lara13">
    <w:name w:val="Tabla con cuadrícula clara13"/>
    <w:basedOn w:val="Tablanormal"/>
    <w:uiPriority w:val="40"/>
    <w:rsid w:val="001634B4"/>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54053">
      <w:bodyDiv w:val="1"/>
      <w:marLeft w:val="0"/>
      <w:marRight w:val="0"/>
      <w:marTop w:val="0"/>
      <w:marBottom w:val="0"/>
      <w:divBdr>
        <w:top w:val="none" w:sz="0" w:space="0" w:color="auto"/>
        <w:left w:val="none" w:sz="0" w:space="0" w:color="auto"/>
        <w:bottom w:val="none" w:sz="0" w:space="0" w:color="auto"/>
        <w:right w:val="none" w:sz="0" w:space="0" w:color="auto"/>
      </w:divBdr>
    </w:div>
    <w:div w:id="163131039">
      <w:bodyDiv w:val="1"/>
      <w:marLeft w:val="0"/>
      <w:marRight w:val="0"/>
      <w:marTop w:val="0"/>
      <w:marBottom w:val="0"/>
      <w:divBdr>
        <w:top w:val="none" w:sz="0" w:space="0" w:color="auto"/>
        <w:left w:val="none" w:sz="0" w:space="0" w:color="auto"/>
        <w:bottom w:val="none" w:sz="0" w:space="0" w:color="auto"/>
        <w:right w:val="none" w:sz="0" w:space="0" w:color="auto"/>
      </w:divBdr>
    </w:div>
    <w:div w:id="177275617">
      <w:bodyDiv w:val="1"/>
      <w:marLeft w:val="0"/>
      <w:marRight w:val="0"/>
      <w:marTop w:val="0"/>
      <w:marBottom w:val="0"/>
      <w:divBdr>
        <w:top w:val="none" w:sz="0" w:space="0" w:color="auto"/>
        <w:left w:val="none" w:sz="0" w:space="0" w:color="auto"/>
        <w:bottom w:val="none" w:sz="0" w:space="0" w:color="auto"/>
        <w:right w:val="none" w:sz="0" w:space="0" w:color="auto"/>
      </w:divBdr>
    </w:div>
    <w:div w:id="184951691">
      <w:bodyDiv w:val="1"/>
      <w:marLeft w:val="0"/>
      <w:marRight w:val="0"/>
      <w:marTop w:val="0"/>
      <w:marBottom w:val="0"/>
      <w:divBdr>
        <w:top w:val="none" w:sz="0" w:space="0" w:color="auto"/>
        <w:left w:val="none" w:sz="0" w:space="0" w:color="auto"/>
        <w:bottom w:val="none" w:sz="0" w:space="0" w:color="auto"/>
        <w:right w:val="none" w:sz="0" w:space="0" w:color="auto"/>
      </w:divBdr>
    </w:div>
    <w:div w:id="185412833">
      <w:bodyDiv w:val="1"/>
      <w:marLeft w:val="0"/>
      <w:marRight w:val="0"/>
      <w:marTop w:val="0"/>
      <w:marBottom w:val="0"/>
      <w:divBdr>
        <w:top w:val="none" w:sz="0" w:space="0" w:color="auto"/>
        <w:left w:val="none" w:sz="0" w:space="0" w:color="auto"/>
        <w:bottom w:val="none" w:sz="0" w:space="0" w:color="auto"/>
        <w:right w:val="none" w:sz="0" w:space="0" w:color="auto"/>
      </w:divBdr>
    </w:div>
    <w:div w:id="248851851">
      <w:bodyDiv w:val="1"/>
      <w:marLeft w:val="0"/>
      <w:marRight w:val="0"/>
      <w:marTop w:val="0"/>
      <w:marBottom w:val="0"/>
      <w:divBdr>
        <w:top w:val="none" w:sz="0" w:space="0" w:color="auto"/>
        <w:left w:val="none" w:sz="0" w:space="0" w:color="auto"/>
        <w:bottom w:val="none" w:sz="0" w:space="0" w:color="auto"/>
        <w:right w:val="none" w:sz="0" w:space="0" w:color="auto"/>
      </w:divBdr>
    </w:div>
    <w:div w:id="249434041">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17467117">
      <w:bodyDiv w:val="1"/>
      <w:marLeft w:val="0"/>
      <w:marRight w:val="0"/>
      <w:marTop w:val="0"/>
      <w:marBottom w:val="0"/>
      <w:divBdr>
        <w:top w:val="none" w:sz="0" w:space="0" w:color="auto"/>
        <w:left w:val="none" w:sz="0" w:space="0" w:color="auto"/>
        <w:bottom w:val="none" w:sz="0" w:space="0" w:color="auto"/>
        <w:right w:val="none" w:sz="0" w:space="0" w:color="auto"/>
      </w:divBdr>
    </w:div>
    <w:div w:id="390228002">
      <w:bodyDiv w:val="1"/>
      <w:marLeft w:val="0"/>
      <w:marRight w:val="0"/>
      <w:marTop w:val="0"/>
      <w:marBottom w:val="0"/>
      <w:divBdr>
        <w:top w:val="none" w:sz="0" w:space="0" w:color="auto"/>
        <w:left w:val="none" w:sz="0" w:space="0" w:color="auto"/>
        <w:bottom w:val="none" w:sz="0" w:space="0" w:color="auto"/>
        <w:right w:val="none" w:sz="0" w:space="0" w:color="auto"/>
      </w:divBdr>
    </w:div>
    <w:div w:id="420414012">
      <w:bodyDiv w:val="1"/>
      <w:marLeft w:val="0"/>
      <w:marRight w:val="0"/>
      <w:marTop w:val="0"/>
      <w:marBottom w:val="0"/>
      <w:divBdr>
        <w:top w:val="none" w:sz="0" w:space="0" w:color="auto"/>
        <w:left w:val="none" w:sz="0" w:space="0" w:color="auto"/>
        <w:bottom w:val="none" w:sz="0" w:space="0" w:color="auto"/>
        <w:right w:val="none" w:sz="0" w:space="0" w:color="auto"/>
      </w:divBdr>
    </w:div>
    <w:div w:id="436487900">
      <w:bodyDiv w:val="1"/>
      <w:marLeft w:val="0"/>
      <w:marRight w:val="0"/>
      <w:marTop w:val="0"/>
      <w:marBottom w:val="0"/>
      <w:divBdr>
        <w:top w:val="none" w:sz="0" w:space="0" w:color="auto"/>
        <w:left w:val="none" w:sz="0" w:space="0" w:color="auto"/>
        <w:bottom w:val="none" w:sz="0" w:space="0" w:color="auto"/>
        <w:right w:val="none" w:sz="0" w:space="0" w:color="auto"/>
      </w:divBdr>
    </w:div>
    <w:div w:id="478575067">
      <w:bodyDiv w:val="1"/>
      <w:marLeft w:val="0"/>
      <w:marRight w:val="0"/>
      <w:marTop w:val="0"/>
      <w:marBottom w:val="0"/>
      <w:divBdr>
        <w:top w:val="none" w:sz="0" w:space="0" w:color="auto"/>
        <w:left w:val="none" w:sz="0" w:space="0" w:color="auto"/>
        <w:bottom w:val="none" w:sz="0" w:space="0" w:color="auto"/>
        <w:right w:val="none" w:sz="0" w:space="0" w:color="auto"/>
      </w:divBdr>
    </w:div>
    <w:div w:id="502361809">
      <w:bodyDiv w:val="1"/>
      <w:marLeft w:val="0"/>
      <w:marRight w:val="0"/>
      <w:marTop w:val="0"/>
      <w:marBottom w:val="0"/>
      <w:divBdr>
        <w:top w:val="none" w:sz="0" w:space="0" w:color="auto"/>
        <w:left w:val="none" w:sz="0" w:space="0" w:color="auto"/>
        <w:bottom w:val="none" w:sz="0" w:space="0" w:color="auto"/>
        <w:right w:val="none" w:sz="0" w:space="0" w:color="auto"/>
      </w:divBdr>
    </w:div>
    <w:div w:id="534003491">
      <w:bodyDiv w:val="1"/>
      <w:marLeft w:val="0"/>
      <w:marRight w:val="0"/>
      <w:marTop w:val="0"/>
      <w:marBottom w:val="0"/>
      <w:divBdr>
        <w:top w:val="none" w:sz="0" w:space="0" w:color="auto"/>
        <w:left w:val="none" w:sz="0" w:space="0" w:color="auto"/>
        <w:bottom w:val="none" w:sz="0" w:space="0" w:color="auto"/>
        <w:right w:val="none" w:sz="0" w:space="0" w:color="auto"/>
      </w:divBdr>
    </w:div>
    <w:div w:id="584731066">
      <w:bodyDiv w:val="1"/>
      <w:marLeft w:val="0"/>
      <w:marRight w:val="0"/>
      <w:marTop w:val="0"/>
      <w:marBottom w:val="0"/>
      <w:divBdr>
        <w:top w:val="none" w:sz="0" w:space="0" w:color="auto"/>
        <w:left w:val="none" w:sz="0" w:space="0" w:color="auto"/>
        <w:bottom w:val="none" w:sz="0" w:space="0" w:color="auto"/>
        <w:right w:val="none" w:sz="0" w:space="0" w:color="auto"/>
      </w:divBdr>
    </w:div>
    <w:div w:id="628123448">
      <w:bodyDiv w:val="1"/>
      <w:marLeft w:val="0"/>
      <w:marRight w:val="0"/>
      <w:marTop w:val="0"/>
      <w:marBottom w:val="0"/>
      <w:divBdr>
        <w:top w:val="none" w:sz="0" w:space="0" w:color="auto"/>
        <w:left w:val="none" w:sz="0" w:space="0" w:color="auto"/>
        <w:bottom w:val="none" w:sz="0" w:space="0" w:color="auto"/>
        <w:right w:val="none" w:sz="0" w:space="0" w:color="auto"/>
      </w:divBdr>
    </w:div>
    <w:div w:id="655962864">
      <w:bodyDiv w:val="1"/>
      <w:marLeft w:val="0"/>
      <w:marRight w:val="0"/>
      <w:marTop w:val="0"/>
      <w:marBottom w:val="0"/>
      <w:divBdr>
        <w:top w:val="none" w:sz="0" w:space="0" w:color="auto"/>
        <w:left w:val="none" w:sz="0" w:space="0" w:color="auto"/>
        <w:bottom w:val="none" w:sz="0" w:space="0" w:color="auto"/>
        <w:right w:val="none" w:sz="0" w:space="0" w:color="auto"/>
      </w:divBdr>
    </w:div>
    <w:div w:id="668560147">
      <w:bodyDiv w:val="1"/>
      <w:marLeft w:val="0"/>
      <w:marRight w:val="0"/>
      <w:marTop w:val="0"/>
      <w:marBottom w:val="0"/>
      <w:divBdr>
        <w:top w:val="none" w:sz="0" w:space="0" w:color="auto"/>
        <w:left w:val="none" w:sz="0" w:space="0" w:color="auto"/>
        <w:bottom w:val="none" w:sz="0" w:space="0" w:color="auto"/>
        <w:right w:val="none" w:sz="0" w:space="0" w:color="auto"/>
      </w:divBdr>
    </w:div>
    <w:div w:id="709299619">
      <w:bodyDiv w:val="1"/>
      <w:marLeft w:val="0"/>
      <w:marRight w:val="0"/>
      <w:marTop w:val="0"/>
      <w:marBottom w:val="0"/>
      <w:divBdr>
        <w:top w:val="none" w:sz="0" w:space="0" w:color="auto"/>
        <w:left w:val="none" w:sz="0" w:space="0" w:color="auto"/>
        <w:bottom w:val="none" w:sz="0" w:space="0" w:color="auto"/>
        <w:right w:val="none" w:sz="0" w:space="0" w:color="auto"/>
      </w:divBdr>
    </w:div>
    <w:div w:id="720635742">
      <w:bodyDiv w:val="1"/>
      <w:marLeft w:val="0"/>
      <w:marRight w:val="0"/>
      <w:marTop w:val="0"/>
      <w:marBottom w:val="0"/>
      <w:divBdr>
        <w:top w:val="none" w:sz="0" w:space="0" w:color="auto"/>
        <w:left w:val="none" w:sz="0" w:space="0" w:color="auto"/>
        <w:bottom w:val="none" w:sz="0" w:space="0" w:color="auto"/>
        <w:right w:val="none" w:sz="0" w:space="0" w:color="auto"/>
      </w:divBdr>
    </w:div>
    <w:div w:id="768234724">
      <w:bodyDiv w:val="1"/>
      <w:marLeft w:val="0"/>
      <w:marRight w:val="0"/>
      <w:marTop w:val="0"/>
      <w:marBottom w:val="0"/>
      <w:divBdr>
        <w:top w:val="none" w:sz="0" w:space="0" w:color="auto"/>
        <w:left w:val="none" w:sz="0" w:space="0" w:color="auto"/>
        <w:bottom w:val="none" w:sz="0" w:space="0" w:color="auto"/>
        <w:right w:val="none" w:sz="0" w:space="0" w:color="auto"/>
      </w:divBdr>
    </w:div>
    <w:div w:id="817496746">
      <w:bodyDiv w:val="1"/>
      <w:marLeft w:val="0"/>
      <w:marRight w:val="0"/>
      <w:marTop w:val="0"/>
      <w:marBottom w:val="0"/>
      <w:divBdr>
        <w:top w:val="none" w:sz="0" w:space="0" w:color="auto"/>
        <w:left w:val="none" w:sz="0" w:space="0" w:color="auto"/>
        <w:bottom w:val="none" w:sz="0" w:space="0" w:color="auto"/>
        <w:right w:val="none" w:sz="0" w:space="0" w:color="auto"/>
      </w:divBdr>
    </w:div>
    <w:div w:id="890774719">
      <w:bodyDiv w:val="1"/>
      <w:marLeft w:val="0"/>
      <w:marRight w:val="0"/>
      <w:marTop w:val="0"/>
      <w:marBottom w:val="0"/>
      <w:divBdr>
        <w:top w:val="none" w:sz="0" w:space="0" w:color="auto"/>
        <w:left w:val="none" w:sz="0" w:space="0" w:color="auto"/>
        <w:bottom w:val="none" w:sz="0" w:space="0" w:color="auto"/>
        <w:right w:val="none" w:sz="0" w:space="0" w:color="auto"/>
      </w:divBdr>
    </w:div>
    <w:div w:id="969433185">
      <w:bodyDiv w:val="1"/>
      <w:marLeft w:val="0"/>
      <w:marRight w:val="0"/>
      <w:marTop w:val="0"/>
      <w:marBottom w:val="0"/>
      <w:divBdr>
        <w:top w:val="none" w:sz="0" w:space="0" w:color="auto"/>
        <w:left w:val="none" w:sz="0" w:space="0" w:color="auto"/>
        <w:bottom w:val="none" w:sz="0" w:space="0" w:color="auto"/>
        <w:right w:val="none" w:sz="0" w:space="0" w:color="auto"/>
      </w:divBdr>
    </w:div>
    <w:div w:id="981619047">
      <w:bodyDiv w:val="1"/>
      <w:marLeft w:val="0"/>
      <w:marRight w:val="0"/>
      <w:marTop w:val="0"/>
      <w:marBottom w:val="0"/>
      <w:divBdr>
        <w:top w:val="none" w:sz="0" w:space="0" w:color="auto"/>
        <w:left w:val="none" w:sz="0" w:space="0" w:color="auto"/>
        <w:bottom w:val="none" w:sz="0" w:space="0" w:color="auto"/>
        <w:right w:val="none" w:sz="0" w:space="0" w:color="auto"/>
      </w:divBdr>
    </w:div>
    <w:div w:id="996349139">
      <w:bodyDiv w:val="1"/>
      <w:marLeft w:val="0"/>
      <w:marRight w:val="0"/>
      <w:marTop w:val="0"/>
      <w:marBottom w:val="0"/>
      <w:divBdr>
        <w:top w:val="none" w:sz="0" w:space="0" w:color="auto"/>
        <w:left w:val="none" w:sz="0" w:space="0" w:color="auto"/>
        <w:bottom w:val="none" w:sz="0" w:space="0" w:color="auto"/>
        <w:right w:val="none" w:sz="0" w:space="0" w:color="auto"/>
      </w:divBdr>
    </w:div>
    <w:div w:id="1027830330">
      <w:bodyDiv w:val="1"/>
      <w:marLeft w:val="0"/>
      <w:marRight w:val="0"/>
      <w:marTop w:val="0"/>
      <w:marBottom w:val="0"/>
      <w:divBdr>
        <w:top w:val="none" w:sz="0" w:space="0" w:color="auto"/>
        <w:left w:val="none" w:sz="0" w:space="0" w:color="auto"/>
        <w:bottom w:val="none" w:sz="0" w:space="0" w:color="auto"/>
        <w:right w:val="none" w:sz="0" w:space="0" w:color="auto"/>
      </w:divBdr>
    </w:div>
    <w:div w:id="1042897793">
      <w:bodyDiv w:val="1"/>
      <w:marLeft w:val="0"/>
      <w:marRight w:val="0"/>
      <w:marTop w:val="0"/>
      <w:marBottom w:val="0"/>
      <w:divBdr>
        <w:top w:val="none" w:sz="0" w:space="0" w:color="auto"/>
        <w:left w:val="none" w:sz="0" w:space="0" w:color="auto"/>
        <w:bottom w:val="none" w:sz="0" w:space="0" w:color="auto"/>
        <w:right w:val="none" w:sz="0" w:space="0" w:color="auto"/>
      </w:divBdr>
    </w:div>
    <w:div w:id="1078672110">
      <w:bodyDiv w:val="1"/>
      <w:marLeft w:val="0"/>
      <w:marRight w:val="0"/>
      <w:marTop w:val="0"/>
      <w:marBottom w:val="0"/>
      <w:divBdr>
        <w:top w:val="none" w:sz="0" w:space="0" w:color="auto"/>
        <w:left w:val="none" w:sz="0" w:space="0" w:color="auto"/>
        <w:bottom w:val="none" w:sz="0" w:space="0" w:color="auto"/>
        <w:right w:val="none" w:sz="0" w:space="0" w:color="auto"/>
      </w:divBdr>
    </w:div>
    <w:div w:id="1306155067">
      <w:bodyDiv w:val="1"/>
      <w:marLeft w:val="0"/>
      <w:marRight w:val="0"/>
      <w:marTop w:val="0"/>
      <w:marBottom w:val="0"/>
      <w:divBdr>
        <w:top w:val="none" w:sz="0" w:space="0" w:color="auto"/>
        <w:left w:val="none" w:sz="0" w:space="0" w:color="auto"/>
        <w:bottom w:val="none" w:sz="0" w:space="0" w:color="auto"/>
        <w:right w:val="none" w:sz="0" w:space="0" w:color="auto"/>
      </w:divBdr>
    </w:div>
    <w:div w:id="1332761630">
      <w:bodyDiv w:val="1"/>
      <w:marLeft w:val="0"/>
      <w:marRight w:val="0"/>
      <w:marTop w:val="0"/>
      <w:marBottom w:val="0"/>
      <w:divBdr>
        <w:top w:val="none" w:sz="0" w:space="0" w:color="auto"/>
        <w:left w:val="none" w:sz="0" w:space="0" w:color="auto"/>
        <w:bottom w:val="none" w:sz="0" w:space="0" w:color="auto"/>
        <w:right w:val="none" w:sz="0" w:space="0" w:color="auto"/>
      </w:divBdr>
    </w:div>
    <w:div w:id="1333028446">
      <w:bodyDiv w:val="1"/>
      <w:marLeft w:val="0"/>
      <w:marRight w:val="0"/>
      <w:marTop w:val="0"/>
      <w:marBottom w:val="0"/>
      <w:divBdr>
        <w:top w:val="none" w:sz="0" w:space="0" w:color="auto"/>
        <w:left w:val="none" w:sz="0" w:space="0" w:color="auto"/>
        <w:bottom w:val="none" w:sz="0" w:space="0" w:color="auto"/>
        <w:right w:val="none" w:sz="0" w:space="0" w:color="auto"/>
      </w:divBdr>
    </w:div>
    <w:div w:id="1395540735">
      <w:bodyDiv w:val="1"/>
      <w:marLeft w:val="0"/>
      <w:marRight w:val="0"/>
      <w:marTop w:val="0"/>
      <w:marBottom w:val="0"/>
      <w:divBdr>
        <w:top w:val="none" w:sz="0" w:space="0" w:color="auto"/>
        <w:left w:val="none" w:sz="0" w:space="0" w:color="auto"/>
        <w:bottom w:val="none" w:sz="0" w:space="0" w:color="auto"/>
        <w:right w:val="none" w:sz="0" w:space="0" w:color="auto"/>
      </w:divBdr>
    </w:div>
    <w:div w:id="1408382719">
      <w:bodyDiv w:val="1"/>
      <w:marLeft w:val="0"/>
      <w:marRight w:val="0"/>
      <w:marTop w:val="0"/>
      <w:marBottom w:val="0"/>
      <w:divBdr>
        <w:top w:val="none" w:sz="0" w:space="0" w:color="auto"/>
        <w:left w:val="none" w:sz="0" w:space="0" w:color="auto"/>
        <w:bottom w:val="none" w:sz="0" w:space="0" w:color="auto"/>
        <w:right w:val="none" w:sz="0" w:space="0" w:color="auto"/>
      </w:divBdr>
    </w:div>
    <w:div w:id="1528987405">
      <w:bodyDiv w:val="1"/>
      <w:marLeft w:val="0"/>
      <w:marRight w:val="0"/>
      <w:marTop w:val="0"/>
      <w:marBottom w:val="0"/>
      <w:divBdr>
        <w:top w:val="none" w:sz="0" w:space="0" w:color="auto"/>
        <w:left w:val="none" w:sz="0" w:space="0" w:color="auto"/>
        <w:bottom w:val="none" w:sz="0" w:space="0" w:color="auto"/>
        <w:right w:val="none" w:sz="0" w:space="0" w:color="auto"/>
      </w:divBdr>
    </w:div>
    <w:div w:id="1558054085">
      <w:bodyDiv w:val="1"/>
      <w:marLeft w:val="0"/>
      <w:marRight w:val="0"/>
      <w:marTop w:val="0"/>
      <w:marBottom w:val="0"/>
      <w:divBdr>
        <w:top w:val="none" w:sz="0" w:space="0" w:color="auto"/>
        <w:left w:val="none" w:sz="0" w:space="0" w:color="auto"/>
        <w:bottom w:val="none" w:sz="0" w:space="0" w:color="auto"/>
        <w:right w:val="none" w:sz="0" w:space="0" w:color="auto"/>
      </w:divBdr>
    </w:div>
    <w:div w:id="1558200949">
      <w:bodyDiv w:val="1"/>
      <w:marLeft w:val="0"/>
      <w:marRight w:val="0"/>
      <w:marTop w:val="0"/>
      <w:marBottom w:val="0"/>
      <w:divBdr>
        <w:top w:val="none" w:sz="0" w:space="0" w:color="auto"/>
        <w:left w:val="none" w:sz="0" w:space="0" w:color="auto"/>
        <w:bottom w:val="none" w:sz="0" w:space="0" w:color="auto"/>
        <w:right w:val="none" w:sz="0" w:space="0" w:color="auto"/>
      </w:divBdr>
    </w:div>
    <w:div w:id="1575047058">
      <w:bodyDiv w:val="1"/>
      <w:marLeft w:val="0"/>
      <w:marRight w:val="0"/>
      <w:marTop w:val="0"/>
      <w:marBottom w:val="0"/>
      <w:divBdr>
        <w:top w:val="none" w:sz="0" w:space="0" w:color="auto"/>
        <w:left w:val="none" w:sz="0" w:space="0" w:color="auto"/>
        <w:bottom w:val="none" w:sz="0" w:space="0" w:color="auto"/>
        <w:right w:val="none" w:sz="0" w:space="0" w:color="auto"/>
      </w:divBdr>
    </w:div>
    <w:div w:id="1638686656">
      <w:bodyDiv w:val="1"/>
      <w:marLeft w:val="0"/>
      <w:marRight w:val="0"/>
      <w:marTop w:val="0"/>
      <w:marBottom w:val="0"/>
      <w:divBdr>
        <w:top w:val="none" w:sz="0" w:space="0" w:color="auto"/>
        <w:left w:val="none" w:sz="0" w:space="0" w:color="auto"/>
        <w:bottom w:val="none" w:sz="0" w:space="0" w:color="auto"/>
        <w:right w:val="none" w:sz="0" w:space="0" w:color="auto"/>
      </w:divBdr>
    </w:div>
    <w:div w:id="1655447167">
      <w:bodyDiv w:val="1"/>
      <w:marLeft w:val="0"/>
      <w:marRight w:val="0"/>
      <w:marTop w:val="0"/>
      <w:marBottom w:val="0"/>
      <w:divBdr>
        <w:top w:val="none" w:sz="0" w:space="0" w:color="auto"/>
        <w:left w:val="none" w:sz="0" w:space="0" w:color="auto"/>
        <w:bottom w:val="none" w:sz="0" w:space="0" w:color="auto"/>
        <w:right w:val="none" w:sz="0" w:space="0" w:color="auto"/>
      </w:divBdr>
    </w:div>
    <w:div w:id="1744915243">
      <w:bodyDiv w:val="1"/>
      <w:marLeft w:val="0"/>
      <w:marRight w:val="0"/>
      <w:marTop w:val="0"/>
      <w:marBottom w:val="0"/>
      <w:divBdr>
        <w:top w:val="none" w:sz="0" w:space="0" w:color="auto"/>
        <w:left w:val="none" w:sz="0" w:space="0" w:color="auto"/>
        <w:bottom w:val="none" w:sz="0" w:space="0" w:color="auto"/>
        <w:right w:val="none" w:sz="0" w:space="0" w:color="auto"/>
      </w:divBdr>
    </w:div>
    <w:div w:id="1764187534">
      <w:bodyDiv w:val="1"/>
      <w:marLeft w:val="0"/>
      <w:marRight w:val="0"/>
      <w:marTop w:val="0"/>
      <w:marBottom w:val="0"/>
      <w:divBdr>
        <w:top w:val="none" w:sz="0" w:space="0" w:color="auto"/>
        <w:left w:val="none" w:sz="0" w:space="0" w:color="auto"/>
        <w:bottom w:val="none" w:sz="0" w:space="0" w:color="auto"/>
        <w:right w:val="none" w:sz="0" w:space="0" w:color="auto"/>
      </w:divBdr>
    </w:div>
    <w:div w:id="1801462206">
      <w:bodyDiv w:val="1"/>
      <w:marLeft w:val="0"/>
      <w:marRight w:val="0"/>
      <w:marTop w:val="0"/>
      <w:marBottom w:val="0"/>
      <w:divBdr>
        <w:top w:val="none" w:sz="0" w:space="0" w:color="auto"/>
        <w:left w:val="none" w:sz="0" w:space="0" w:color="auto"/>
        <w:bottom w:val="none" w:sz="0" w:space="0" w:color="auto"/>
        <w:right w:val="none" w:sz="0" w:space="0" w:color="auto"/>
      </w:divBdr>
    </w:div>
    <w:div w:id="1837187856">
      <w:bodyDiv w:val="1"/>
      <w:marLeft w:val="0"/>
      <w:marRight w:val="0"/>
      <w:marTop w:val="0"/>
      <w:marBottom w:val="0"/>
      <w:divBdr>
        <w:top w:val="none" w:sz="0" w:space="0" w:color="auto"/>
        <w:left w:val="none" w:sz="0" w:space="0" w:color="auto"/>
        <w:bottom w:val="none" w:sz="0" w:space="0" w:color="auto"/>
        <w:right w:val="none" w:sz="0" w:space="0" w:color="auto"/>
      </w:divBdr>
    </w:div>
    <w:div w:id="1924103867">
      <w:bodyDiv w:val="1"/>
      <w:marLeft w:val="0"/>
      <w:marRight w:val="0"/>
      <w:marTop w:val="0"/>
      <w:marBottom w:val="0"/>
      <w:divBdr>
        <w:top w:val="none" w:sz="0" w:space="0" w:color="auto"/>
        <w:left w:val="none" w:sz="0" w:space="0" w:color="auto"/>
        <w:bottom w:val="none" w:sz="0" w:space="0" w:color="auto"/>
        <w:right w:val="none" w:sz="0" w:space="0" w:color="auto"/>
      </w:divBdr>
    </w:div>
    <w:div w:id="2045204160">
      <w:bodyDiv w:val="1"/>
      <w:marLeft w:val="0"/>
      <w:marRight w:val="0"/>
      <w:marTop w:val="0"/>
      <w:marBottom w:val="0"/>
      <w:divBdr>
        <w:top w:val="none" w:sz="0" w:space="0" w:color="auto"/>
        <w:left w:val="none" w:sz="0" w:space="0" w:color="auto"/>
        <w:bottom w:val="none" w:sz="0" w:space="0" w:color="auto"/>
        <w:right w:val="none" w:sz="0" w:space="0" w:color="auto"/>
      </w:divBdr>
    </w:div>
    <w:div w:id="205187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ublimetro.com.mx/noticias/2025/07/03/pese-a-lluvias-torrenciales-en-mexico-se-" TargetMode="External"/><Relationship Id="rId21" Type="http://schemas.openxmlformats.org/officeDocument/2006/relationships/hyperlink" Target="https://www.dicyt.com/noticias/en-mexico-se-pierde-el-40-por-ciento-del-agua-potable-por-fugas-en-redes" TargetMode="External"/><Relationship Id="rId42" Type="http://schemas.openxmlformats.org/officeDocument/2006/relationships/hyperlink" Target="http://www.economia.gob.mx/datamexico/es/profile/product/live-plants-" TargetMode="External"/><Relationship Id="rId47" Type="http://schemas.openxmlformats.org/officeDocument/2006/relationships/hyperlink" Target="http://www.diputados.gob.mx/LeyesBiblio/pdf/CNPP.pdf" TargetMode="External"/><Relationship Id="rId63" Type="http://schemas.openxmlformats.org/officeDocument/2006/relationships/hyperlink" Target="https://legislacion.edomex.gob.mx/sites/legislacion.edomex.gob.mx/files/files/pdf/cod/codpenal.pdf" TargetMode="External"/><Relationship Id="rId68" Type="http://schemas.openxmlformats.org/officeDocument/2006/relationships/hyperlink" Target="%20https://www.inegi.org.mx/programas/ccpv/2020/" TargetMode="External"/><Relationship Id="rId84" Type="http://schemas.openxmlformats.org/officeDocument/2006/relationships/theme" Target="theme/theme1.xml"/><Relationship Id="rId16" Type="http://schemas.openxmlformats.org/officeDocument/2006/relationships/hyperlink" Target="https://www.fundacionaquae.org/wiki/cantidad-de-agua-potable-fuente-de-vida/" TargetMode="External"/><Relationship Id="rId11" Type="http://schemas.openxmlformats.org/officeDocument/2006/relationships/chart" Target="charts/chart5.xml"/><Relationship Id="rId32" Type="http://schemas.openxmlformats.org/officeDocument/2006/relationships/hyperlink" Target="https://ru.dgb.unam.mx/server/api/core/bitstreams/49f7677c-87d2-4286-b8c3-767e92003ae1/content" TargetMode="External"/><Relationship Id="rId37" Type="http://schemas.openxmlformats.org/officeDocument/2006/relationships/hyperlink" Target="https://sedema.cdmx.gob.mx/comunicacion/nota/concluye-sedema-instalacion-de-mas-de-73-mil-cosechadores-de-lluvia-en-viviendas-de-la-ciudad-de-mexico" TargetMode="External"/><Relationship Id="rId53" Type="http://schemas.openxmlformats.org/officeDocument/2006/relationships/hyperlink" Target="http://www.inegi.org.mx/contenidos/saladeprensa/boletines/2025/transporteurbano/trans_urb2025_07.pd" TargetMode="External"/><Relationship Id="rId58" Type="http://schemas.openxmlformats.org/officeDocument/2006/relationships/hyperlink" Target="https://www.diputados.gob.mx/LeyesBiblio/ref/cpeum.htm" TargetMode="External"/><Relationship Id="rId74" Type="http://schemas.openxmlformats.org/officeDocument/2006/relationships/hyperlink" Target="%20https://mexico.unfpa.org/sites/default/files/pubpdf/situacion_de_las_personas_adolescentes_y_joven" TargetMode="External"/><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tese.edomex.gob.mx/sites/tese.edomex.gob.mx/files/files/Marco%20Juridico/Constituciones/Constitucion-Politica-del-Estado-Libre-y-Soberano-de-MexicoJUNIO2025.pdf" TargetMode="External"/><Relationship Id="rId82" Type="http://schemas.openxmlformats.org/officeDocument/2006/relationships/footer" Target="footer3.xml"/><Relationship Id="rId19" Type="http://schemas.openxmlformats.org/officeDocument/2006/relationships/hyperlink" Target="https://www.fundacionaquae.org/conferencia-onu-agua-2023/" TargetMode="External"/><Relationship Id="rId14" Type="http://schemas.openxmlformats.org/officeDocument/2006/relationships/image" Target="media/image1.emf"/><Relationship Id="rId22" Type="http://schemas.openxmlformats.org/officeDocument/2006/relationships/hyperlink" Target="https://oem.com.mx/la-prensa/mexico/mexico-enfrenta-crisis-hidrica-por-mala-gestion-del-recurso-agua-rotoplas-26505502" TargetMode="External"/><Relationship Id="rId27" Type="http://schemas.openxmlformats.org/officeDocument/2006/relationships/hyperlink" Target="https://www.publimetro.com.mx/noticias/2025/07/03/pese-a-lluvias-torrenciales-en-mexico-se-desperdicia-casi-toda-el-agua-el-976-va-al-cano/" TargetMode="External"/><Relationship Id="rId30" Type="http://schemas.openxmlformats.org/officeDocument/2006/relationships/hyperlink" Target="https://www.zaragoza.unam.mx/wp-content/Portal2015/Licenciaturas/iq/tesis/tesis_bollas_yepez.pdf" TargetMode="External"/><Relationship Id="rId35" Type="http://schemas.openxmlformats.org/officeDocument/2006/relationships/hyperlink" Target="https://www.excelsior.com.mx/comunidad/agua-en-cdmx-recolectan-en-bj-agua-pluvial-de-edificios-publicos/1634459" TargetMode="External"/><Relationship Id="rId43" Type="http://schemas.openxmlformats.org/officeDocument/2006/relationships/hyperlink" Target="http://www.gob.mx/agricultura%7Cedomex/articulos/floricultura-actividad-economica-mas-importante-del-sector-agropecuario-en-" TargetMode="External"/><Relationship Id="rId48" Type="http://schemas.openxmlformats.org/officeDocument/2006/relationships/image" Target="media/image3.png"/><Relationship Id="rId56" Type="http://schemas.openxmlformats.org/officeDocument/2006/relationships/hyperlink" Target="http://www.inegi.org.mx/sistemas/olap/proyectos/bd/continuas/transporte/vehiculos.asp" TargetMode="External"/><Relationship Id="rId64" Type="http://schemas.openxmlformats.org/officeDocument/2006/relationships/hyperlink" Target="https://www.un.org/womenwatch/daw/vaw/v-handbook.htm" TargetMode="External"/><Relationship Id="rId69" Type="http://schemas.openxmlformats.org/officeDocument/2006/relationships/image" Target="media/image4.jpeg"/><Relationship Id="rId77" Type="http://schemas.openxmlformats.org/officeDocument/2006/relationships/header" Target="header1.xml"/><Relationship Id="rId8" Type="http://schemas.openxmlformats.org/officeDocument/2006/relationships/chart" Target="charts/chart2.xml"/><Relationship Id="rId51" Type="http://schemas.openxmlformats.org/officeDocument/2006/relationships/hyperlink" Target="http://www.diputados.gob.mx/LeyesBiblio/pdf/CMPP.pdf" TargetMode="External"/><Relationship Id="rId72" Type="http://schemas.openxmlformats.org/officeDocument/2006/relationships/hyperlink" Target="%20https://www.inegi.org.mx/contenidos/saladeprensa/aproposito/2025/EAP_Juventud.pdf" TargetMode="External"/><Relationship Id="rId80"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chart" Target="charts/chart6.xml"/><Relationship Id="rId17" Type="http://schemas.openxmlformats.org/officeDocument/2006/relationships/hyperlink" Target="https://www.puntualizando.com/solo-el-uno-por-ciento-del-agua-dulce-esta-accesible-para-consumo-humano-senala-especialista/" TargetMode="External"/><Relationship Id="rId25" Type="http://schemas.openxmlformats.org/officeDocument/2006/relationships/hyperlink" Target="https://www.milenio.com/ciencia-y-salud/cerca-del-50-del-agua-del-valle-de-mexico-se-pierde-a-donde-va" TargetMode="External"/><Relationship Id="rId33" Type="http://schemas.openxmlformats.org/officeDocument/2006/relationships/hyperlink" Target="https://hidropluviales.com/2012/11/29/captacion-en-el-mundo/" TargetMode="External"/><Relationship Id="rId38" Type="http://schemas.openxmlformats.org/officeDocument/2006/relationships/hyperlink" Target="https://elvalle.com.mx/2025/05/28/promueve-edomex-sistema-de-captacion-de-agua-pluvial-en-parques-estatales/" TargetMode="External"/><Relationship Id="rId46" Type="http://schemas.openxmlformats.org/officeDocument/2006/relationships/hyperlink" Target="http://www.diputados.gob.mx/LeyesBiblio/pdf/CNPP.pdf" TargetMode="External"/><Relationship Id="rId59" Type="http://schemas.openxmlformats.org/officeDocument/2006/relationships/hyperlink" Target="https://tese.edomex.gob.mx/sites/tese.edomex.gob.mx/files/files/Marco%20Juridico/Constituciones/Constitucion-Politica-del-Estado-Libre-y-Soberano-de-MexicoJUNIO2025.pdf" TargetMode="External"/><Relationship Id="rId67" Type="http://schemas.openxmlformats.org/officeDocument/2006/relationships/hyperlink" Target="%20https://www.frentealapobreza.mx/" TargetMode="External"/><Relationship Id="rId20" Type="http://schemas.openxmlformats.org/officeDocument/2006/relationships/hyperlink" Target="https://www.fundacionaquae.org/conferencia-onu-agua-2023/" TargetMode="External"/><Relationship Id="rId41" Type="http://schemas.openxmlformats.org/officeDocument/2006/relationships/image" Target="media/image2.png"/><Relationship Id="rId54" Type="http://schemas.openxmlformats.org/officeDocument/2006/relationships/hyperlink" Target="http://www.inegi.org.mx/contenidos/saladeprensa/boletines/2025/transporteurbano/trans_urb2025_07.pd" TargetMode="External"/><Relationship Id="rId62" Type="http://schemas.openxmlformats.org/officeDocument/2006/relationships/hyperlink" Target="https://legislacion.edomex.gob.mx/sites/legislacion.edomex.gob.mx/files/files/pdf/cod/codpenal.pdf" TargetMode="External"/><Relationship Id="rId70" Type="http://schemas.openxmlformats.org/officeDocument/2006/relationships/hyperlink" Target="%20https://mexico.unfpa.org/sites/default/files/pubpdf/situacion_de_las_personas_adolescentes_y_joven" TargetMode="External"/><Relationship Id="rId75" Type="http://schemas.openxmlformats.org/officeDocument/2006/relationships/hyperlink" Target="https://mexico.unfpa.org/sites/default/files/pubpdf/situacion_de_las_personas_adolescentes_y_jovenes_de_ciudad_de_mexico.pdf"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gle.com/search?sca_esv=827bd599c16e32c5&amp;rlz=1C1ONGR_esMX1168MX1168&amp;sxsrf=AE3TifPqiymWARy7rj80etr9urgmRmbmpw%3A1760383981843&amp;q=NOM-035-SCT-2-2022&amp;sa=X&amp;ved=2ahUKEwjhzJ-v9aGQAxU5JUQIHQe7NtoQxccNegQIOBAB&amp;mstk=AUtExfDdUPpvC89jTdmB5KTx7DvuqhN3frZtm00JR51EJzCgYo9vS8gAV4AoXdoWo1Tbi45Iw3zri1Bfj3A32ZaJA-q5xegbZ8FbIgk4FG8J9eYSuNGjUPLSYUx2eJXoKxTLyhb9wRcFwqJHdJbE3NcgTPqFLCyT1e0__VQFsSfttsHuEIPuc0bFaYwg4uTZB4cSw_RkRKoSu8uOzODboU9crQ8n2y2rbqiROlhG87bqLpCEm15jY8grIobvxiVyzatdWgSxcWWY9HHIa3RInqV8uOv9&amp;csui=3" TargetMode="External"/><Relationship Id="rId23" Type="http://schemas.openxmlformats.org/officeDocument/2006/relationships/hyperlink" Target="https://oem.com.mx/la-prensa/mexico/mexico-enfrenta-crisis-hidrica-por-mala-gestion-del-recurso-agua-rotoplas-26505502" TargetMode="External"/><Relationship Id="rId28" Type="http://schemas.openxmlformats.org/officeDocument/2006/relationships/hyperlink" Target="https://laverdadnoticias.com/mexico/sistema-cutzamala-alcanza-97-4-de-su-capacidad-su-nivel-mas-alto-en-10-anos-20251104" TargetMode="External"/><Relationship Id="rId36" Type="http://schemas.openxmlformats.org/officeDocument/2006/relationships/hyperlink" Target="https://sedema.cdmx.gob.mx/comunicacion/nota/concluye-sedema-instalacion-de-mas-de-73-mil-cosechadores-de-lluvia-en-viviendas-de-la-ciudad-de-mexico" TargetMode="External"/><Relationship Id="rId49" Type="http://schemas.openxmlformats.org/officeDocument/2006/relationships/hyperlink" Target="http://www.inegi.org.mx/contenidos/programas/envipe/2024/doc/envipe2024_mex.pdf" TargetMode="External"/><Relationship Id="rId57" Type="http://schemas.openxmlformats.org/officeDocument/2006/relationships/hyperlink" Target="http://www.inegi.org.mx/contenidos/saladeprensa/boletines/2025/endutih/ENDUTIH_24_RR.pdf" TargetMode="External"/><Relationship Id="rId10" Type="http://schemas.openxmlformats.org/officeDocument/2006/relationships/chart" Target="charts/chart4.xml"/><Relationship Id="rId31" Type="http://schemas.openxmlformats.org/officeDocument/2006/relationships/hyperlink" Target="https://www.zaragoza.unam.mx/wp-content/Portal2015/Licenciaturas/iq/tesis/tesis_bollas_yepez.pdf" TargetMode="External"/><Relationship Id="rId44" Type="http://schemas.openxmlformats.org/officeDocument/2006/relationships/hyperlink" Target="https://www.google.com/search?q=Agencia+de+Transformaci%C3%B3n+Digital+y+Telecomunicaciones+%28ATDT%29&amp;rlz=1C1VDKB_enMX1136MX1136&amp;oq=cambio+de+IFT+a+Atdt&amp;gs_lcrp=EgZjaHJvbWUyBggAEEUYOTIKCAEQABiABBiiBDIHCAIQABjvBTIKCAMQABiABBiiBDIHCAQQABjvBTIKCAUQABiABBiiBNIBCDc3NTNqMGo3qAIAsAIA&amp;sourceid=chrome&amp;ie=UTF-8&amp;mstk=AUtExfCNK6BvzaGcK2f7dSMV7AsVyGy1AxwToIUPwTThWyVWTYpGJY_rw26F5O4q3Li0pRRU6AEan4d_wWElwiBL7IjcWWxkPpBri9l_n3_MdaWVPOCoWcNlSFlf0fGXXwb6OatLm4y8cM_HNpcQOH26hBCI3RQMFjSZ6pMj4NbD66TArdS1GT7lLzc_cyBtPM7CwkVccF60VmGRp2IX2WnStNfnZbxx4KsPnWO_O85Vyr0rMu8mG773nGV3yn5II5nmdzg91ZJ7X1L4QQf9mD6cv9RVTl_df_iyaN_NNU8V4y07yA&amp;csui=3&amp;ved=2ahUKEwiXm5Pko_2QAxXxIEQIHRHPLMAQgK4QegQIARAD" TargetMode="External"/><Relationship Id="rId52" Type="http://schemas.openxmlformats.org/officeDocument/2006/relationships/hyperlink" Target="http://www.diputados.gob.mx/LeyesBiblio/pdf/LGV.pdf" TargetMode="External"/><Relationship Id="rId60" Type="http://schemas.openxmlformats.org/officeDocument/2006/relationships/hyperlink" Target="https://tese.edomex.gob.mx/sites/tese.edomex.gob.mx/files/files/Marco%20Juridico/Constituciones/Constitucion-Politica-del-Estado-Libre-y-Soberano-de-MexicoJUNIO2025.pdf" TargetMode="External"/><Relationship Id="rId65" Type="http://schemas.openxmlformats.org/officeDocument/2006/relationships/hyperlink" Target="https://onc.org.mx/publicaciones" TargetMode="External"/><Relationship Id="rId73" Type="http://schemas.openxmlformats.org/officeDocument/2006/relationships/image" Target="media/image5.jpeg"/><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chart" Target="charts/chart3.xml"/><Relationship Id="rId13" Type="http://schemas.openxmlformats.org/officeDocument/2006/relationships/chart" Target="charts/chart7.xml"/><Relationship Id="rId18" Type="http://schemas.openxmlformats.org/officeDocument/2006/relationships/hyperlink" Target="https://www.puntualizando.com/solo-el-uno-por-ciento-del-agua-dulce-esta-accesible-para-consumo-humano-senala-especialista/" TargetMode="External"/><Relationship Id="rId39" Type="http://schemas.openxmlformats.org/officeDocument/2006/relationships/hyperlink" Target="https://sistemamexiquense.mx/noticia/instalan-10-sistemas-captacion-agua-pluvial-el-valle-toluca-almacenaran-mas-1-millon-litros" TargetMode="External"/><Relationship Id="rId34" Type="http://schemas.openxmlformats.org/officeDocument/2006/relationships/hyperlink" Target="https://hidropluviales.com/2019/05/22/captacion-edificios-publicos-casas-de-la-cultura-scjn/" TargetMode="External"/><Relationship Id="rId50" Type="http://schemas.openxmlformats.org/officeDocument/2006/relationships/hyperlink" Target="http://www.inegi.org.mx/programas/cnpjf/2024/" TargetMode="External"/><Relationship Id="rId55" Type="http://schemas.openxmlformats.org/officeDocument/2006/relationships/hyperlink" Target="http://www.milenio.com/politica/comunidad/aplicaran-en-edomex-censo-para-ordenar-taxis-" TargetMode="External"/><Relationship Id="rId76" Type="http://schemas.openxmlformats.org/officeDocument/2006/relationships/hyperlink" Target="%20https://www.inegi.org.mx/programas/enoe/15ymas/" TargetMode="External"/><Relationship Id="rId7" Type="http://schemas.openxmlformats.org/officeDocument/2006/relationships/chart" Target="charts/chart1.xml"/><Relationship Id="rId71" Type="http://schemas.openxmlformats.org/officeDocument/2006/relationships/hyperlink" Target="https://mexico.unfpa.org/sites/default/files/pubpdf/situacion_de_las_personas_adolescentes_y_jovenes_de_ciudad_de_mexico.pdf" TargetMode="External"/><Relationship Id="rId2" Type="http://schemas.openxmlformats.org/officeDocument/2006/relationships/styles" Target="styles.xml"/><Relationship Id="rId29" Type="http://schemas.openxmlformats.org/officeDocument/2006/relationships/hyperlink" Target="https://laverdadnoticias.com/mexico/sistema-cutzamala-alcanza-97-4-de-su-capacidad-su-nivel-mas-alto-en-10-anos-20251104" TargetMode="External"/><Relationship Id="rId24" Type="http://schemas.openxmlformats.org/officeDocument/2006/relationships/hyperlink" Target="https://www.milenio.com/ciencia-y-salud/cerca-del-50-del-agua-del-valle-de-mexico-se-pierde-a-donde-va" TargetMode="External"/><Relationship Id="rId40" Type="http://schemas.openxmlformats.org/officeDocument/2006/relationships/hyperlink" Target="https://sistemamexiquense.mx/noticia/instalan-10-sistemas-captacion-agua-pluvial-el-valle-toluca-almacenaran-mas-1-millon-litros" TargetMode="External"/><Relationship Id="rId45" Type="http://schemas.openxmlformats.org/officeDocument/2006/relationships/hyperlink" Target="https://www.google.com/search?q=Agencia+de+Transformaci%C3%B3n+Digital+y+Telecomunicaciones+%28ATDT%29&amp;rlz=1C1VDKB_enMX1136MX1136&amp;oq=cambio+de+IFT+a+Atdt&amp;gs_lcrp=EgZjaHJvbWUyBggAEEUYOTIKCAEQABiABBiiBDIHCAIQABjvBTIKCAMQABiABBiiBDIHCAQQABjvBTIKCAUQABiABBiiBNIBCDc3NTNqMGo3qAIAsAIA&amp;sourceid=chrome&amp;ie=UTF-8&amp;mstk=AUtExfCNK6BvzaGcK2f7dSMV7AsVyGy1AxwToIUPwTThWyVWTYpGJY_rw26F5O4q3Li0pRRU6AEan4d_wWElwiBL7IjcWWxkPpBri9l_n3_MdaWVPOCoWcNlSFlf0fGXXwb6OatLm4y8cM_HNpcQOH26hBCI3RQMFjSZ6pMj4NbD66TArdS1GT7lLzc_cyBtPM7CwkVccF60VmGRp2IX2WnStNfnZbxx4KsPnWO_O85Vyr0rMu8mG773nGV3yn5II5nmdzg91ZJ7X1L4QQf9mD6cv9RVTl_df_iyaN_NNU8V4y07yA&amp;csui=3&amp;ved=2ahUKEwiXm5Pko_2QAxXxIEQIHRHPLMAQgK4QegQIARAD" TargetMode="External"/><Relationship Id="rId66" Type="http://schemas.openxmlformats.org/officeDocument/2006/relationships/hyperlink" Target="https://www.gob.mx/conavi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b.mx/cms/uploads/attachment/file/887106/17Mexico2024.pdf" TargetMode="External"/><Relationship Id="rId2" Type="http://schemas.openxmlformats.org/officeDocument/2006/relationships/hyperlink" Target="https://www.gob.mx/cms/uploads/attachment/file/887106/17Mexico2024.pdf" TargetMode="External"/><Relationship Id="rId1" Type="http://schemas.openxmlformats.org/officeDocument/2006/relationships/hyperlink" Target="https://www.coneval.org.mx/Medicion/IRS/Paginas/Indice_de_Rezago_Social_2020_anexos.asp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UsuarioGEM\Downloads\PIBO%203T202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uarioGEM\Downloads\Indicadores20251104192742.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UsuarioGEM\Downloads\Inflacio&#769;n%20septiembre%202025%20(1).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UsuarioGEM\Downloads\Ejemplos%20Graficas%20(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E:\LIEM%202026\3.%20Octubre\30.10.2025%20(Con%20info%20a%20septiembre%20y%20Ref.)\2.%20LIEM%202026%20(30.10.2025)%20PIB%201.8%20inf%203.0%20ver.%20DGPF%20Inf.%20SEP%20Portafolio%20PQT%20Fiscal.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E:\LIEM%202026\3.%20Octubre\30.10.2025%20(Con%20info%20a%20septiembre%20y%20Ref.)\2.%20LIEM%202026%20(30.10.2025)%20PIB%201.8%20inf%203.0%20ver.%20DGPF%20Inf.%20SEP%20Portafolio%20PQT%20Fiscal.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l">
              <a:defRPr sz="1000"/>
            </a:pPr>
            <a:r>
              <a:rPr lang="en-US" sz="1000" b="1">
                <a:latin typeface="Gotham Book" panose="02000603040000020004" pitchFamily="2" charset="0"/>
              </a:rPr>
              <a:t>Producto Interno Bruto </a:t>
            </a:r>
          </a:p>
          <a:p>
            <a:pPr algn="l">
              <a:defRPr sz="1000"/>
            </a:pPr>
            <a:r>
              <a:rPr lang="en-US" sz="900" i="1">
                <a:latin typeface="Gotham Book" panose="02000603040000020004" pitchFamily="2" charset="0"/>
              </a:rPr>
              <a:t>Variación trimestral</a:t>
            </a:r>
          </a:p>
        </c:rich>
      </c:tx>
      <c:layout>
        <c:manualLayout>
          <c:xMode val="edge"/>
          <c:yMode val="edge"/>
          <c:x val="4.3986801683923112E-2"/>
          <c:y val="4.0899795501022497E-2"/>
        </c:manualLayout>
      </c:layout>
      <c:overlay val="0"/>
    </c:title>
    <c:autoTitleDeleted val="0"/>
    <c:plotArea>
      <c:layout>
        <c:manualLayout>
          <c:layoutTarget val="inner"/>
          <c:xMode val="edge"/>
          <c:yMode val="edge"/>
          <c:x val="2.1766829152044927E-2"/>
          <c:y val="0.25100612423447072"/>
          <c:w val="0.97216123417246847"/>
          <c:h val="0.57129446242532567"/>
        </c:manualLayout>
      </c:layout>
      <c:lineChart>
        <c:grouping val="standard"/>
        <c:varyColors val="0"/>
        <c:ser>
          <c:idx val="1"/>
          <c:order val="0"/>
          <c:tx>
            <c:strRef>
              <c:f>'PIB Anual'!$G$8</c:f>
              <c:strCache>
                <c:ptCount val="1"/>
                <c:pt idx="0">
                  <c:v>Variación trimestral</c:v>
                </c:pt>
              </c:strCache>
            </c:strRef>
          </c:tx>
          <c:spPr>
            <a:ln>
              <a:solidFill>
                <a:schemeClr val="bg2">
                  <a:lumMod val="75000"/>
                </a:schemeClr>
              </a:solidFill>
            </a:ln>
          </c:spPr>
          <c:marker>
            <c:symbol val="none"/>
          </c:marker>
          <c:dPt>
            <c:idx val="13"/>
            <c:marker>
              <c:symbol val="circle"/>
              <c:size val="7"/>
              <c:spPr>
                <a:solidFill>
                  <a:schemeClr val="bg1"/>
                </a:solidFill>
                <a:ln>
                  <a:solidFill>
                    <a:schemeClr val="bg2">
                      <a:lumMod val="75000"/>
                    </a:schemeClr>
                  </a:solidFill>
                </a:ln>
              </c:spPr>
            </c:marker>
            <c:bubble3D val="0"/>
            <c:extLst>
              <c:ext xmlns:c16="http://schemas.microsoft.com/office/drawing/2014/chart" uri="{C3380CC4-5D6E-409C-BE32-E72D297353CC}">
                <c16:uniqueId val="{00000000-3E44-45D9-ACBF-145A755689D1}"/>
              </c:ext>
            </c:extLst>
          </c:dPt>
          <c:dLbls>
            <c:dLbl>
              <c:idx val="13"/>
              <c:spPr>
                <a:noFill/>
                <a:ln>
                  <a:noFill/>
                </a:ln>
                <a:effectLst/>
              </c:spPr>
              <c:txPr>
                <a:bodyPr wrap="square" lIns="38100" tIns="19050" rIns="38100" bIns="19050" anchor="ctr">
                  <a:spAutoFit/>
                </a:bodyPr>
                <a:lstStyle/>
                <a:p>
                  <a:pPr>
                    <a:defRPr sz="800" b="1"/>
                  </a:pPr>
                  <a:endParaRPr lang="es-MX"/>
                </a:p>
              </c:txPr>
              <c:dLblPos val="t"/>
              <c:showLegendKey val="0"/>
              <c:showVal val="1"/>
              <c:showCatName val="0"/>
              <c:showSerName val="0"/>
              <c:showPercent val="0"/>
              <c:showBubbleSize val="0"/>
              <c:extLst>
                <c:ext xmlns:c16="http://schemas.microsoft.com/office/drawing/2014/chart" uri="{C3380CC4-5D6E-409C-BE32-E72D297353CC}">
                  <c16:uniqueId val="{00000000-3E44-45D9-ACBF-145A755689D1}"/>
                </c:ext>
              </c:extLst>
            </c:dLbl>
            <c:spPr>
              <a:noFill/>
              <a:ln>
                <a:noFill/>
              </a:ln>
              <a:effectLst/>
            </c:spPr>
            <c:txPr>
              <a:bodyPr wrap="square" lIns="38100" tIns="19050" rIns="38100" bIns="19050" anchor="ctr">
                <a:spAutoFit/>
              </a:bodyPr>
              <a:lstStyle/>
              <a:p>
                <a:pPr>
                  <a:defRPr sz="800"/>
                </a:pPr>
                <a:endParaRPr lang="es-MX"/>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multiLvlStrRef>
              <c:f>'PIB Anual'!$A$121:$B$134</c:f>
              <c:multiLvlStrCache>
                <c:ptCount val="14"/>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lvl>
                <c:lvl>
                  <c:pt idx="0">
                    <c:v>2022</c:v>
                  </c:pt>
                  <c:pt idx="4">
                    <c:v>2023</c:v>
                  </c:pt>
                  <c:pt idx="8">
                    <c:v>2024</c:v>
                  </c:pt>
                  <c:pt idx="12">
                    <c:v>2025</c:v>
                  </c:pt>
                </c:lvl>
              </c:multiLvlStrCache>
              <c:extLst/>
            </c:multiLvlStrRef>
          </c:cat>
          <c:val>
            <c:numRef>
              <c:f>'PIB Anual'!$G$121:$G$134</c:f>
              <c:numCache>
                <c:formatCode>0.0%</c:formatCode>
                <c:ptCount val="14"/>
                <c:pt idx="0">
                  <c:v>1.5120190363979999E-2</c:v>
                </c:pt>
                <c:pt idx="1">
                  <c:v>1.1061449065149999E-2</c:v>
                </c:pt>
                <c:pt idx="2">
                  <c:v>6.7029593265900004E-3</c:v>
                </c:pt>
                <c:pt idx="3">
                  <c:v>1.2906039479869999E-2</c:v>
                </c:pt>
                <c:pt idx="4">
                  <c:v>7.8769495443699999E-3</c:v>
                </c:pt>
                <c:pt idx="5">
                  <c:v>7.6140615050199999E-3</c:v>
                </c:pt>
                <c:pt idx="6">
                  <c:v>5.6350025541799997E-3</c:v>
                </c:pt>
                <c:pt idx="7">
                  <c:v>4.0840486781200001E-3</c:v>
                </c:pt>
                <c:pt idx="8">
                  <c:v>4.7095155301000004E-4</c:v>
                </c:pt>
                <c:pt idx="9">
                  <c:v>1.24019875074E-3</c:v>
                </c:pt>
                <c:pt idx="10">
                  <c:v>8.7932215103599994E-3</c:v>
                </c:pt>
                <c:pt idx="11">
                  <c:v>-6.1012221048799995E-3</c:v>
                </c:pt>
                <c:pt idx="12">
                  <c:v>2.7303555378099999E-3</c:v>
                </c:pt>
                <c:pt idx="13">
                  <c:v>6.3853124978200003E-3</c:v>
                </c:pt>
              </c:numCache>
              <c:extLst/>
            </c:numRef>
          </c:val>
          <c:smooth val="0"/>
          <c:extLst>
            <c:ext xmlns:c16="http://schemas.microsoft.com/office/drawing/2014/chart" uri="{C3380CC4-5D6E-409C-BE32-E72D297353CC}">
              <c16:uniqueId val="{00000001-3E44-45D9-ACBF-145A755689D1}"/>
            </c:ext>
          </c:extLst>
        </c:ser>
        <c:dLbls>
          <c:showLegendKey val="0"/>
          <c:showVal val="0"/>
          <c:showCatName val="0"/>
          <c:showSerName val="0"/>
          <c:showPercent val="0"/>
          <c:showBubbleSize val="0"/>
        </c:dLbls>
        <c:smooth val="0"/>
        <c:axId val="432220160"/>
        <c:axId val="374634688"/>
      </c:lineChart>
      <c:catAx>
        <c:axId val="43222016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vert="horz"/>
          <a:lstStyle/>
          <a:p>
            <a:pPr>
              <a:defRPr sz="700"/>
            </a:pPr>
            <a:endParaRPr lang="es-MX"/>
          </a:p>
        </c:txPr>
        <c:crossAx val="374634688"/>
        <c:crosses val="autoZero"/>
        <c:auto val="1"/>
        <c:lblAlgn val="ctr"/>
        <c:lblOffset val="100"/>
        <c:noMultiLvlLbl val="0"/>
      </c:catAx>
      <c:valAx>
        <c:axId val="374634688"/>
        <c:scaling>
          <c:orientation val="minMax"/>
        </c:scaling>
        <c:delete val="1"/>
        <c:axPos val="l"/>
        <c:numFmt formatCode="0.0%" sourceLinked="1"/>
        <c:majorTickMark val="none"/>
        <c:minorTickMark val="none"/>
        <c:tickLblPos val="nextTo"/>
        <c:crossAx val="432220160"/>
        <c:crosses val="autoZero"/>
        <c:crossBetween val="between"/>
      </c:valAx>
      <c:spPr>
        <a:noFill/>
        <a:ln w="25400">
          <a:noFill/>
        </a:ln>
      </c:spPr>
    </c:plotArea>
    <c:plotVisOnly val="1"/>
    <c:dispBlanksAs val="gap"/>
    <c:showDLblsOverMax val="0"/>
  </c:chart>
  <c:spPr>
    <a:noFill/>
    <a:ln w="9525" cap="flat" cmpd="sng" algn="ctr">
      <a:noFill/>
      <a:round/>
    </a:ln>
    <a:effectLst/>
  </c:spPr>
  <c:txPr>
    <a:bodyPr/>
    <a:lstStyle/>
    <a:p>
      <a:pPr>
        <a:defRPr sz="1000" b="0" i="0" u="none" strike="noStrike" baseline="0">
          <a:solidFill>
            <a:srgbClr val="000000"/>
          </a:solidFill>
          <a:latin typeface="Montserrat" panose="00000500000000000000" pitchFamily="2" charset="0"/>
          <a:ea typeface="HelveticaNeueLT Std"/>
          <a:cs typeface="HelveticaNeueLT Std"/>
        </a:defRPr>
      </a:pPr>
      <a:endParaRPr lang="es-MX"/>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Montserrat" pitchFamily="2" charset="0"/>
                <a:ea typeface="+mn-ea"/>
                <a:cs typeface="+mn-cs"/>
              </a:defRPr>
            </a:pPr>
            <a:r>
              <a:rPr lang="es-MX" sz="1000" b="1">
                <a:solidFill>
                  <a:sysClr val="windowText" lastClr="000000"/>
                </a:solidFill>
                <a:latin typeface="Montserrat" pitchFamily="2" charset="0"/>
              </a:rPr>
              <a:t>Tasa de desocupación nacional</a:t>
            </a:r>
          </a:p>
          <a:p>
            <a:pPr algn="l">
              <a:defRPr sz="1400" b="0" i="0" u="none" strike="noStrike" kern="1200" spc="0" baseline="0">
                <a:solidFill>
                  <a:sysClr val="windowText" lastClr="000000"/>
                </a:solidFill>
                <a:latin typeface="Montserrat" pitchFamily="2" charset="0"/>
                <a:ea typeface="+mn-ea"/>
                <a:cs typeface="+mn-cs"/>
              </a:defRPr>
            </a:pPr>
            <a:r>
              <a:rPr lang="es-MX" sz="900" b="0" i="1">
                <a:solidFill>
                  <a:sysClr val="windowText" lastClr="000000"/>
                </a:solidFill>
                <a:latin typeface="Montserrat" pitchFamily="2" charset="0"/>
              </a:rPr>
              <a:t>Mensual</a:t>
            </a:r>
          </a:p>
        </c:rich>
      </c:tx>
      <c:layout>
        <c:manualLayout>
          <c:xMode val="edge"/>
          <c:yMode val="edge"/>
          <c:x val="2.8803825264416178E-2"/>
          <c:y val="4.0871934604904632E-2"/>
        </c:manualLayout>
      </c:layout>
      <c:overlay val="0"/>
      <c:spPr>
        <a:noFill/>
        <a:ln>
          <a:noFill/>
        </a:ln>
        <a:effectLst/>
      </c:spPr>
    </c:title>
    <c:autoTitleDeleted val="0"/>
    <c:plotArea>
      <c:layout/>
      <c:lineChart>
        <c:grouping val="standard"/>
        <c:varyColors val="0"/>
        <c:ser>
          <c:idx val="0"/>
          <c:order val="0"/>
          <c:spPr>
            <a:ln w="28575" cap="rnd">
              <a:solidFill>
                <a:schemeClr val="bg2">
                  <a:lumMod val="75000"/>
                </a:schemeClr>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600" b="0" i="0" u="none" strike="noStrike" kern="1200" baseline="0">
                    <a:solidFill>
                      <a:schemeClr val="tx1">
                        <a:lumMod val="75000"/>
                        <a:lumOff val="25000"/>
                      </a:schemeClr>
                    </a:solidFill>
                    <a:latin typeface="Montserrat" pitchFamily="2" charset="0"/>
                    <a:ea typeface="+mn-ea"/>
                    <a:cs typeface="+mn-cs"/>
                  </a:defRPr>
                </a:pPr>
                <a:endParaRPr lang="es-MX"/>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'Página 1'!$A$6:$A$50</c:f>
              <c:strCache>
                <c:ptCount val="45"/>
                <c:pt idx="0">
                  <c:v>2022/01</c:v>
                </c:pt>
                <c:pt idx="1">
                  <c:v>2022/02</c:v>
                </c:pt>
                <c:pt idx="2">
                  <c:v>2022/03</c:v>
                </c:pt>
                <c:pt idx="3">
                  <c:v>2022/04</c:v>
                </c:pt>
                <c:pt idx="4">
                  <c:v>2022/05</c:v>
                </c:pt>
                <c:pt idx="5">
                  <c:v>2022/06</c:v>
                </c:pt>
                <c:pt idx="6">
                  <c:v>2022/07</c:v>
                </c:pt>
                <c:pt idx="7">
                  <c:v>2022/08</c:v>
                </c:pt>
                <c:pt idx="8">
                  <c:v>2022/09</c:v>
                </c:pt>
                <c:pt idx="9">
                  <c:v>2022/10</c:v>
                </c:pt>
                <c:pt idx="10">
                  <c:v>2022/11</c:v>
                </c:pt>
                <c:pt idx="11">
                  <c:v>2022/12</c:v>
                </c:pt>
                <c:pt idx="12">
                  <c:v>2023/01</c:v>
                </c:pt>
                <c:pt idx="13">
                  <c:v>2023/02</c:v>
                </c:pt>
                <c:pt idx="14">
                  <c:v>2023/03</c:v>
                </c:pt>
                <c:pt idx="15">
                  <c:v>2023/04</c:v>
                </c:pt>
                <c:pt idx="16">
                  <c:v>2023/05</c:v>
                </c:pt>
                <c:pt idx="17">
                  <c:v>2023/06</c:v>
                </c:pt>
                <c:pt idx="18">
                  <c:v>2023/07</c:v>
                </c:pt>
                <c:pt idx="19">
                  <c:v>2023/08</c:v>
                </c:pt>
                <c:pt idx="20">
                  <c:v>2023/09</c:v>
                </c:pt>
                <c:pt idx="21">
                  <c:v>2023/10</c:v>
                </c:pt>
                <c:pt idx="22">
                  <c:v>2023/11</c:v>
                </c:pt>
                <c:pt idx="23">
                  <c:v>2023/12</c:v>
                </c:pt>
                <c:pt idx="24">
                  <c:v>2024/01</c:v>
                </c:pt>
                <c:pt idx="25">
                  <c:v>2024/02</c:v>
                </c:pt>
                <c:pt idx="26">
                  <c:v>2024/03</c:v>
                </c:pt>
                <c:pt idx="27">
                  <c:v>2024/04</c:v>
                </c:pt>
                <c:pt idx="28">
                  <c:v>2024/05</c:v>
                </c:pt>
                <c:pt idx="29">
                  <c:v>2024/06</c:v>
                </c:pt>
                <c:pt idx="30">
                  <c:v>2024/07</c:v>
                </c:pt>
                <c:pt idx="31">
                  <c:v>2024/08</c:v>
                </c:pt>
                <c:pt idx="32">
                  <c:v>2024/09</c:v>
                </c:pt>
                <c:pt idx="33">
                  <c:v>2024/10</c:v>
                </c:pt>
                <c:pt idx="34">
                  <c:v>2024/11</c:v>
                </c:pt>
                <c:pt idx="35">
                  <c:v>2024/12</c:v>
                </c:pt>
                <c:pt idx="36">
                  <c:v>2025/01</c:v>
                </c:pt>
                <c:pt idx="37">
                  <c:v>2025/02</c:v>
                </c:pt>
                <c:pt idx="38">
                  <c:v>2025/03</c:v>
                </c:pt>
                <c:pt idx="39">
                  <c:v>2025/04</c:v>
                </c:pt>
                <c:pt idx="40">
                  <c:v>2025/05</c:v>
                </c:pt>
                <c:pt idx="41">
                  <c:v>2025/06</c:v>
                </c:pt>
                <c:pt idx="42">
                  <c:v>2025/07</c:v>
                </c:pt>
                <c:pt idx="43">
                  <c:v>2025/08</c:v>
                </c:pt>
                <c:pt idx="44">
                  <c:v>2025/09</c:v>
                </c:pt>
              </c:strCache>
            </c:strRef>
          </c:cat>
          <c:val>
            <c:numRef>
              <c:f>'Página 1'!$B$6:$B$50</c:f>
              <c:numCache>
                <c:formatCode>0.0</c:formatCode>
                <c:ptCount val="45"/>
                <c:pt idx="0">
                  <c:v>3.574798613315</c:v>
                </c:pt>
                <c:pt idx="1">
                  <c:v>3.822617948999</c:v>
                </c:pt>
                <c:pt idx="2">
                  <c:v>3.4793208970479998</c:v>
                </c:pt>
                <c:pt idx="3">
                  <c:v>3.0688366554540001</c:v>
                </c:pt>
                <c:pt idx="4">
                  <c:v>3.318346291288</c:v>
                </c:pt>
                <c:pt idx="5">
                  <c:v>3.3134747379039999</c:v>
                </c:pt>
                <c:pt idx="6">
                  <c:v>3.2073218956790002</c:v>
                </c:pt>
                <c:pt idx="7">
                  <c:v>3.2375625162850001</c:v>
                </c:pt>
                <c:pt idx="8">
                  <c:v>3.1131825894089999</c:v>
                </c:pt>
                <c:pt idx="9">
                  <c:v>3.211971035481</c:v>
                </c:pt>
                <c:pt idx="10">
                  <c:v>2.9372034568749998</c:v>
                </c:pt>
                <c:pt idx="11">
                  <c:v>2.9605198382800002</c:v>
                </c:pt>
                <c:pt idx="12">
                  <c:v>2.9029417878800001</c:v>
                </c:pt>
                <c:pt idx="13">
                  <c:v>2.8384019059460002</c:v>
                </c:pt>
                <c:pt idx="14">
                  <c:v>2.8245801145549998</c:v>
                </c:pt>
                <c:pt idx="15">
                  <c:v>2.8743303624330001</c:v>
                </c:pt>
                <c:pt idx="16">
                  <c:v>2.9339724631080002</c:v>
                </c:pt>
                <c:pt idx="17">
                  <c:v>2.61734800244</c:v>
                </c:pt>
                <c:pt idx="18">
                  <c:v>2.9270875252919999</c:v>
                </c:pt>
                <c:pt idx="19">
                  <c:v>2.691015434134</c:v>
                </c:pt>
                <c:pt idx="20">
                  <c:v>2.6735982152119999</c:v>
                </c:pt>
                <c:pt idx="21">
                  <c:v>2.68026133553</c:v>
                </c:pt>
                <c:pt idx="22">
                  <c:v>2.7876318623379999</c:v>
                </c:pt>
                <c:pt idx="23">
                  <c:v>2.7905475979240002</c:v>
                </c:pt>
                <c:pt idx="24">
                  <c:v>2.7662340105909999</c:v>
                </c:pt>
                <c:pt idx="25">
                  <c:v>2.5913831297300001</c:v>
                </c:pt>
                <c:pt idx="26">
                  <c:v>2.704388344197</c:v>
                </c:pt>
                <c:pt idx="27">
                  <c:v>2.6734045044310002</c:v>
                </c:pt>
                <c:pt idx="28">
                  <c:v>2.6078835897460002</c:v>
                </c:pt>
                <c:pt idx="29">
                  <c:v>2.7332969531479998</c:v>
                </c:pt>
                <c:pt idx="30">
                  <c:v>2.7401932858240001</c:v>
                </c:pt>
                <c:pt idx="31">
                  <c:v>2.758527665301</c:v>
                </c:pt>
                <c:pt idx="32">
                  <c:v>2.7007674750800001</c:v>
                </c:pt>
                <c:pt idx="33">
                  <c:v>2.4482108678449999</c:v>
                </c:pt>
                <c:pt idx="34">
                  <c:v>2.6992521228380002</c:v>
                </c:pt>
                <c:pt idx="35">
                  <c:v>2.6147356099639998</c:v>
                </c:pt>
                <c:pt idx="36">
                  <c:v>2.6198581278919999</c:v>
                </c:pt>
                <c:pt idx="37">
                  <c:v>2.6578006892160002</c:v>
                </c:pt>
                <c:pt idx="38">
                  <c:v>2.631509598789</c:v>
                </c:pt>
                <c:pt idx="39">
                  <c:v>2.611872756581</c:v>
                </c:pt>
                <c:pt idx="40">
                  <c:v>2.7129131853340001</c:v>
                </c:pt>
                <c:pt idx="41">
                  <c:v>2.6430748336400001</c:v>
                </c:pt>
                <c:pt idx="42">
                  <c:v>2.5990199820359998</c:v>
                </c:pt>
                <c:pt idx="43">
                  <c:v>2.6616486275129998</c:v>
                </c:pt>
                <c:pt idx="44">
                  <c:v>2.7431588454529998</c:v>
                </c:pt>
              </c:numCache>
            </c:numRef>
          </c:val>
          <c:smooth val="0"/>
          <c:extLst>
            <c:ext xmlns:c16="http://schemas.microsoft.com/office/drawing/2014/chart" uri="{C3380CC4-5D6E-409C-BE32-E72D297353CC}">
              <c16:uniqueId val="{00000000-4AA5-44D4-A575-511E8BAF54C3}"/>
            </c:ext>
          </c:extLst>
        </c:ser>
        <c:dLbls>
          <c:showLegendKey val="0"/>
          <c:showVal val="0"/>
          <c:showCatName val="0"/>
          <c:showSerName val="0"/>
          <c:showPercent val="0"/>
          <c:showBubbleSize val="0"/>
        </c:dLbls>
        <c:smooth val="0"/>
        <c:axId val="454923776"/>
        <c:axId val="456925184"/>
      </c:lineChart>
      <c:catAx>
        <c:axId val="454923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ontserrat" pitchFamily="2" charset="0"/>
                <a:ea typeface="+mn-ea"/>
                <a:cs typeface="+mn-cs"/>
              </a:defRPr>
            </a:pPr>
            <a:endParaRPr lang="es-MX"/>
          </a:p>
        </c:txPr>
        <c:crossAx val="456925184"/>
        <c:crosses val="autoZero"/>
        <c:auto val="1"/>
        <c:lblAlgn val="ctr"/>
        <c:lblOffset val="100"/>
        <c:noMultiLvlLbl val="0"/>
      </c:catAx>
      <c:valAx>
        <c:axId val="456925184"/>
        <c:scaling>
          <c:orientation val="minMax"/>
        </c:scaling>
        <c:delete val="1"/>
        <c:axPos val="l"/>
        <c:numFmt formatCode="0.0" sourceLinked="1"/>
        <c:majorTickMark val="none"/>
        <c:minorTickMark val="none"/>
        <c:tickLblPos val="nextTo"/>
        <c:crossAx val="454923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MX"/>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lvl="0" indent="0" algn="l" defTabSz="914400" rtl="0" eaLnBrk="1" fontAlgn="auto" latinLnBrk="0" hangingPunct="1">
              <a:lnSpc>
                <a:spcPct val="100000"/>
              </a:lnSpc>
              <a:spcBef>
                <a:spcPts val="0"/>
              </a:spcBef>
              <a:spcAft>
                <a:spcPts val="0"/>
              </a:spcAft>
              <a:buClrTx/>
              <a:buSzTx/>
              <a:buFontTx/>
              <a:buNone/>
              <a:tabLst/>
              <a:defRPr sz="700" b="1" i="0" u="none" strike="noStrike" kern="1200" baseline="0">
                <a:solidFill>
                  <a:sysClr val="windowText" lastClr="000000"/>
                </a:solidFill>
                <a:latin typeface="HelveticaNeueLT Std" pitchFamily="34" charset="0"/>
                <a:ea typeface="+mn-ea"/>
                <a:cs typeface="+mn-cs"/>
              </a:defRPr>
            </a:pPr>
            <a:r>
              <a:rPr lang="es-MX" sz="900" b="1" i="0" u="none" strike="noStrike" kern="1200" baseline="0">
                <a:solidFill>
                  <a:sysClr val="windowText" lastClr="000000"/>
                </a:solidFill>
                <a:latin typeface="Gotham Book" panose="02000603040000020004" pitchFamily="2" charset="0"/>
              </a:rPr>
              <a:t>Inflación por objeto del gasto, Entidades Federativas. Septiembre 2025 </a:t>
            </a:r>
            <a:br>
              <a:rPr lang="es-MX" sz="900" b="1" i="0" u="none" strike="noStrike" kern="1200" baseline="0">
                <a:solidFill>
                  <a:sysClr val="windowText" lastClr="000000"/>
                </a:solidFill>
                <a:latin typeface="Gotham Book" panose="02000603040000020004" pitchFamily="2" charset="0"/>
              </a:rPr>
            </a:br>
            <a:r>
              <a:rPr lang="es-MX" sz="900" b="0" i="0" u="none" strike="noStrike" kern="1200" baseline="0">
                <a:solidFill>
                  <a:sysClr val="windowText" lastClr="000000"/>
                </a:solidFill>
                <a:latin typeface="Gotham Book" panose="02000603040000020004" pitchFamily="2" charset="0"/>
              </a:rPr>
              <a:t>Variación anual </a:t>
            </a:r>
            <a:endParaRPr lang="es-MX" sz="900" b="1" i="0" u="none" strike="noStrike" kern="1200" baseline="0">
              <a:solidFill>
                <a:sysClr val="windowText" lastClr="000000"/>
              </a:solidFill>
              <a:latin typeface="Gotham Book" panose="02000603040000020004" pitchFamily="2" charset="0"/>
            </a:endParaRPr>
          </a:p>
        </c:rich>
      </c:tx>
      <c:layout>
        <c:manualLayout>
          <c:xMode val="edge"/>
          <c:yMode val="edge"/>
          <c:x val="2.8644026421340903E-2"/>
          <c:y val="1.3523603528862749E-2"/>
        </c:manualLayout>
      </c:layout>
      <c:overlay val="0"/>
    </c:title>
    <c:autoTitleDeleted val="0"/>
    <c:plotArea>
      <c:layout>
        <c:manualLayout>
          <c:layoutTarget val="inner"/>
          <c:xMode val="edge"/>
          <c:yMode val="edge"/>
          <c:x val="9.6291701130410811E-3"/>
          <c:y val="0.20428663491381541"/>
          <c:w val="0.98074165977391781"/>
          <c:h val="0.4065462478055718"/>
        </c:manualLayout>
      </c:layout>
      <c:barChart>
        <c:barDir val="col"/>
        <c:grouping val="clustered"/>
        <c:varyColors val="0"/>
        <c:ser>
          <c:idx val="0"/>
          <c:order val="0"/>
          <c:spPr>
            <a:solidFill>
              <a:sysClr val="window" lastClr="FFFFFF">
                <a:lumMod val="85000"/>
              </a:sysClr>
            </a:solidFill>
            <a:ln>
              <a:noFill/>
            </a:ln>
          </c:spPr>
          <c:invertIfNegative val="0"/>
          <c:dPt>
            <c:idx val="1"/>
            <c:invertIfNegative val="0"/>
            <c:bubble3D val="0"/>
            <c:extLst>
              <c:ext xmlns:c16="http://schemas.microsoft.com/office/drawing/2014/chart" uri="{C3380CC4-5D6E-409C-BE32-E72D297353CC}">
                <c16:uniqueId val="{00000000-1E23-4E84-A961-F69D8EF0FB65}"/>
              </c:ext>
            </c:extLst>
          </c:dPt>
          <c:dPt>
            <c:idx val="3"/>
            <c:invertIfNegative val="0"/>
            <c:bubble3D val="0"/>
            <c:extLst>
              <c:ext xmlns:c16="http://schemas.microsoft.com/office/drawing/2014/chart" uri="{C3380CC4-5D6E-409C-BE32-E72D297353CC}">
                <c16:uniqueId val="{00000001-1E23-4E84-A961-F69D8EF0FB65}"/>
              </c:ext>
            </c:extLst>
          </c:dPt>
          <c:dPt>
            <c:idx val="5"/>
            <c:invertIfNegative val="0"/>
            <c:bubble3D val="0"/>
            <c:extLst>
              <c:ext xmlns:c16="http://schemas.microsoft.com/office/drawing/2014/chart" uri="{C3380CC4-5D6E-409C-BE32-E72D297353CC}">
                <c16:uniqueId val="{00000002-1E23-4E84-A961-F69D8EF0FB65}"/>
              </c:ext>
            </c:extLst>
          </c:dPt>
          <c:dPt>
            <c:idx val="11"/>
            <c:invertIfNegative val="0"/>
            <c:bubble3D val="0"/>
            <c:extLst>
              <c:ext xmlns:c16="http://schemas.microsoft.com/office/drawing/2014/chart" uri="{C3380CC4-5D6E-409C-BE32-E72D297353CC}">
                <c16:uniqueId val="{00000003-1E23-4E84-A961-F69D8EF0FB65}"/>
              </c:ext>
            </c:extLst>
          </c:dPt>
          <c:dPt>
            <c:idx val="12"/>
            <c:invertIfNegative val="0"/>
            <c:bubble3D val="0"/>
            <c:extLst>
              <c:ext xmlns:c16="http://schemas.microsoft.com/office/drawing/2014/chart" uri="{C3380CC4-5D6E-409C-BE32-E72D297353CC}">
                <c16:uniqueId val="{00000004-1E23-4E84-A961-F69D8EF0FB65}"/>
              </c:ext>
            </c:extLst>
          </c:dPt>
          <c:dPt>
            <c:idx val="13"/>
            <c:invertIfNegative val="0"/>
            <c:bubble3D val="0"/>
            <c:extLst>
              <c:ext xmlns:c16="http://schemas.microsoft.com/office/drawing/2014/chart" uri="{C3380CC4-5D6E-409C-BE32-E72D297353CC}">
                <c16:uniqueId val="{00000005-1E23-4E84-A961-F69D8EF0FB65}"/>
              </c:ext>
            </c:extLst>
          </c:dPt>
          <c:dPt>
            <c:idx val="18"/>
            <c:invertIfNegative val="0"/>
            <c:bubble3D val="0"/>
            <c:spPr>
              <a:solidFill>
                <a:sysClr val="windowText" lastClr="000000">
                  <a:lumMod val="85000"/>
                  <a:lumOff val="15000"/>
                </a:sysClr>
              </a:solidFill>
              <a:ln>
                <a:noFill/>
              </a:ln>
            </c:spPr>
            <c:extLst>
              <c:ext xmlns:c16="http://schemas.microsoft.com/office/drawing/2014/chart" uri="{C3380CC4-5D6E-409C-BE32-E72D297353CC}">
                <c16:uniqueId val="{00000007-1E23-4E84-A961-F69D8EF0FB65}"/>
              </c:ext>
            </c:extLst>
          </c:dPt>
          <c:dPt>
            <c:idx val="19"/>
            <c:invertIfNegative val="0"/>
            <c:bubble3D val="0"/>
            <c:extLst>
              <c:ext xmlns:c16="http://schemas.microsoft.com/office/drawing/2014/chart" uri="{C3380CC4-5D6E-409C-BE32-E72D297353CC}">
                <c16:uniqueId val="{00000008-1E23-4E84-A961-F69D8EF0FB65}"/>
              </c:ext>
            </c:extLst>
          </c:dPt>
          <c:dPt>
            <c:idx val="20"/>
            <c:invertIfNegative val="0"/>
            <c:bubble3D val="0"/>
            <c:extLst>
              <c:ext xmlns:c16="http://schemas.microsoft.com/office/drawing/2014/chart" uri="{C3380CC4-5D6E-409C-BE32-E72D297353CC}">
                <c16:uniqueId val="{00000009-1E23-4E84-A961-F69D8EF0FB65}"/>
              </c:ext>
            </c:extLst>
          </c:dPt>
          <c:dPt>
            <c:idx val="26"/>
            <c:invertIfNegative val="0"/>
            <c:bubble3D val="0"/>
            <c:extLst>
              <c:ext xmlns:c16="http://schemas.microsoft.com/office/drawing/2014/chart" uri="{C3380CC4-5D6E-409C-BE32-E72D297353CC}">
                <c16:uniqueId val="{0000000A-1E23-4E84-A961-F69D8EF0FB65}"/>
              </c:ext>
            </c:extLst>
          </c:dPt>
          <c:dPt>
            <c:idx val="30"/>
            <c:invertIfNegative val="0"/>
            <c:bubble3D val="0"/>
            <c:extLst>
              <c:ext xmlns:c16="http://schemas.microsoft.com/office/drawing/2014/chart" uri="{C3380CC4-5D6E-409C-BE32-E72D297353CC}">
                <c16:uniqueId val="{0000000B-1E23-4E84-A961-F69D8EF0FB65}"/>
              </c:ext>
            </c:extLst>
          </c:dPt>
          <c:dLbls>
            <c:dLbl>
              <c:idx val="18"/>
              <c:spPr>
                <a:noFill/>
                <a:ln>
                  <a:noFill/>
                </a:ln>
                <a:effectLst/>
              </c:spPr>
              <c:txPr>
                <a:bodyPr wrap="square" lIns="38100" tIns="19050" rIns="38100" bIns="19050" anchor="ctr">
                  <a:spAutoFit/>
                </a:bodyPr>
                <a:lstStyle/>
                <a:p>
                  <a:pPr>
                    <a:defRPr sz="600" b="1">
                      <a:latin typeface="Montserrat" panose="00000500000000000000" pitchFamily="2" charset="0"/>
                    </a:defRPr>
                  </a:pPr>
                  <a:endParaRPr lang="es-MX"/>
                </a:p>
              </c:txPr>
              <c:showLegendKey val="0"/>
              <c:showVal val="1"/>
              <c:showCatName val="0"/>
              <c:showSerName val="0"/>
              <c:showPercent val="0"/>
              <c:showBubbleSize val="0"/>
              <c:extLst>
                <c:ext xmlns:c16="http://schemas.microsoft.com/office/drawing/2014/chart" uri="{C3380CC4-5D6E-409C-BE32-E72D297353CC}">
                  <c16:uniqueId val="{00000007-1E23-4E84-A961-F69D8EF0FB65}"/>
                </c:ext>
              </c:extLst>
            </c:dLbl>
            <c:spPr>
              <a:noFill/>
              <a:ln>
                <a:noFill/>
              </a:ln>
              <a:effectLst/>
            </c:spPr>
            <c:txPr>
              <a:bodyPr wrap="square" lIns="38100" tIns="19050" rIns="38100" bIns="19050" anchor="ctr">
                <a:spAutoFit/>
              </a:bodyPr>
              <a:lstStyle/>
              <a:p>
                <a:pPr>
                  <a:defRPr sz="500">
                    <a:latin typeface="Montserrat" panose="00000500000000000000" pitchFamily="2"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'Por Entidad '!$B$3:$B$34</c:f>
              <c:strCache>
                <c:ptCount val="32"/>
                <c:pt idx="0">
                  <c:v>San Luis Potosí</c:v>
                </c:pt>
                <c:pt idx="1">
                  <c:v>Oaxaca</c:v>
                </c:pt>
                <c:pt idx="2">
                  <c:v>Tamaulipas</c:v>
                </c:pt>
                <c:pt idx="3">
                  <c:v>Querétaro</c:v>
                </c:pt>
                <c:pt idx="4">
                  <c:v>Nayarit</c:v>
                </c:pt>
                <c:pt idx="5">
                  <c:v>Quintana Roo</c:v>
                </c:pt>
                <c:pt idx="6">
                  <c:v>Durango</c:v>
                </c:pt>
                <c:pt idx="7">
                  <c:v>Michoacán</c:v>
                </c:pt>
                <c:pt idx="8">
                  <c:v>Veracruz</c:v>
                </c:pt>
                <c:pt idx="9">
                  <c:v>Jalisco</c:v>
                </c:pt>
                <c:pt idx="10">
                  <c:v>Ciudad de México</c:v>
                </c:pt>
                <c:pt idx="11">
                  <c:v>Hidalgo</c:v>
                </c:pt>
                <c:pt idx="12">
                  <c:v>Chihuahua</c:v>
                </c:pt>
                <c:pt idx="13">
                  <c:v>Aguascalientes</c:v>
                </c:pt>
                <c:pt idx="14">
                  <c:v>Yucatán</c:v>
                </c:pt>
                <c:pt idx="15">
                  <c:v>Colima</c:v>
                </c:pt>
                <c:pt idx="16">
                  <c:v>Guanajuato</c:v>
                </c:pt>
                <c:pt idx="17">
                  <c:v>Coahuila</c:v>
                </c:pt>
                <c:pt idx="18">
                  <c:v>México</c:v>
                </c:pt>
                <c:pt idx="19">
                  <c:v>Nuevo León</c:v>
                </c:pt>
                <c:pt idx="20">
                  <c:v>Chiapas</c:v>
                </c:pt>
                <c:pt idx="21">
                  <c:v>Campeche</c:v>
                </c:pt>
                <c:pt idx="22">
                  <c:v>Guerrero</c:v>
                </c:pt>
                <c:pt idx="23">
                  <c:v>Puebla</c:v>
                </c:pt>
                <c:pt idx="24">
                  <c:v>Zacatecas</c:v>
                </c:pt>
                <c:pt idx="25">
                  <c:v>Baja California</c:v>
                </c:pt>
                <c:pt idx="26">
                  <c:v>Morelos</c:v>
                </c:pt>
                <c:pt idx="27">
                  <c:v>Sinaloa</c:v>
                </c:pt>
                <c:pt idx="28">
                  <c:v>Tabasco</c:v>
                </c:pt>
                <c:pt idx="29">
                  <c:v>Tlaxcala</c:v>
                </c:pt>
                <c:pt idx="30">
                  <c:v>Sonora</c:v>
                </c:pt>
                <c:pt idx="31">
                  <c:v>Baja California Sur</c:v>
                </c:pt>
              </c:strCache>
            </c:strRef>
          </c:cat>
          <c:val>
            <c:numRef>
              <c:f>'Por Entidad '!$C$3:$C$34</c:f>
              <c:numCache>
                <c:formatCode>0.0</c:formatCode>
                <c:ptCount val="32"/>
                <c:pt idx="0">
                  <c:v>4.71</c:v>
                </c:pt>
                <c:pt idx="1">
                  <c:v>4.58</c:v>
                </c:pt>
                <c:pt idx="2">
                  <c:v>4.45</c:v>
                </c:pt>
                <c:pt idx="3">
                  <c:v>4.3600000000000003</c:v>
                </c:pt>
                <c:pt idx="4">
                  <c:v>4.3099999999999996</c:v>
                </c:pt>
                <c:pt idx="5">
                  <c:v>4.16</c:v>
                </c:pt>
                <c:pt idx="6">
                  <c:v>4.1500000000000004</c:v>
                </c:pt>
                <c:pt idx="7">
                  <c:v>4.13</c:v>
                </c:pt>
                <c:pt idx="8">
                  <c:v>4.13</c:v>
                </c:pt>
                <c:pt idx="9">
                  <c:v>3.97</c:v>
                </c:pt>
                <c:pt idx="10">
                  <c:v>3.93</c:v>
                </c:pt>
                <c:pt idx="11">
                  <c:v>3.88</c:v>
                </c:pt>
                <c:pt idx="12">
                  <c:v>3.87</c:v>
                </c:pt>
                <c:pt idx="13">
                  <c:v>3.82</c:v>
                </c:pt>
                <c:pt idx="14">
                  <c:v>3.68</c:v>
                </c:pt>
                <c:pt idx="15">
                  <c:v>3.63</c:v>
                </c:pt>
                <c:pt idx="16">
                  <c:v>3.63</c:v>
                </c:pt>
                <c:pt idx="17">
                  <c:v>3.58</c:v>
                </c:pt>
                <c:pt idx="18">
                  <c:v>3.56</c:v>
                </c:pt>
                <c:pt idx="19">
                  <c:v>3.54</c:v>
                </c:pt>
                <c:pt idx="20">
                  <c:v>3.38</c:v>
                </c:pt>
                <c:pt idx="21">
                  <c:v>3.36</c:v>
                </c:pt>
                <c:pt idx="22">
                  <c:v>3.35</c:v>
                </c:pt>
                <c:pt idx="23">
                  <c:v>3.24</c:v>
                </c:pt>
                <c:pt idx="24">
                  <c:v>3.21</c:v>
                </c:pt>
                <c:pt idx="25">
                  <c:v>3.2</c:v>
                </c:pt>
                <c:pt idx="26">
                  <c:v>3.11</c:v>
                </c:pt>
                <c:pt idx="27">
                  <c:v>3.04</c:v>
                </c:pt>
                <c:pt idx="28">
                  <c:v>2.93</c:v>
                </c:pt>
                <c:pt idx="29">
                  <c:v>2.88</c:v>
                </c:pt>
                <c:pt idx="30">
                  <c:v>2.86</c:v>
                </c:pt>
                <c:pt idx="31">
                  <c:v>2.35</c:v>
                </c:pt>
              </c:numCache>
            </c:numRef>
          </c:val>
          <c:extLst>
            <c:ext xmlns:c16="http://schemas.microsoft.com/office/drawing/2014/chart" uri="{C3380CC4-5D6E-409C-BE32-E72D297353CC}">
              <c16:uniqueId val="{0000000C-1E23-4E84-A961-F69D8EF0FB65}"/>
            </c:ext>
          </c:extLst>
        </c:ser>
        <c:dLbls>
          <c:showLegendKey val="0"/>
          <c:showVal val="0"/>
          <c:showCatName val="0"/>
          <c:showSerName val="0"/>
          <c:showPercent val="0"/>
          <c:showBubbleSize val="0"/>
        </c:dLbls>
        <c:gapWidth val="50"/>
        <c:axId val="432218624"/>
        <c:axId val="456926336"/>
      </c:barChart>
      <c:lineChart>
        <c:grouping val="standard"/>
        <c:varyColors val="0"/>
        <c:ser>
          <c:idx val="1"/>
          <c:order val="1"/>
          <c:spPr>
            <a:ln w="9525">
              <a:solidFill>
                <a:sysClr val="windowText" lastClr="000000">
                  <a:lumMod val="85000"/>
                  <a:lumOff val="15000"/>
                  <a:alpha val="69000"/>
                </a:sysClr>
              </a:solidFill>
              <a:prstDash val="sysDash"/>
            </a:ln>
          </c:spPr>
          <c:marker>
            <c:symbol val="none"/>
          </c:marker>
          <c:dLbls>
            <c:dLbl>
              <c:idx val="26"/>
              <c:layout>
                <c:manualLayout>
                  <c:x val="-0.11770667033322393"/>
                  <c:y val="-4.0901342251814847E-2"/>
                </c:manualLayout>
              </c:layout>
              <c:tx>
                <c:rich>
                  <a:bodyPr/>
                  <a:lstStyle/>
                  <a:p>
                    <a:r>
                      <a:rPr lang="en-US"/>
                      <a:t>Nacional</a:t>
                    </a:r>
                    <a:br>
                      <a:rPr lang="en-US"/>
                    </a:br>
                    <a:fld id="{E6DB0A56-7D2C-42D9-AE4E-0E2D330CADBE}" type="VALUE">
                      <a:rPr lang="en-US"/>
                      <a:pPr/>
                      <a:t>[VALOR]</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1E23-4E84-A961-F69D8EF0FB65}"/>
                </c:ext>
              </c:extLst>
            </c:dLbl>
            <c:numFmt formatCode="#,##0.00" sourceLinked="0"/>
            <c:spPr>
              <a:noFill/>
              <a:ln>
                <a:noFill/>
              </a:ln>
              <a:effectLst/>
            </c:spPr>
            <c:txPr>
              <a:bodyPr wrap="square" lIns="38100" tIns="19050" rIns="38100" bIns="19050" anchor="ctr">
                <a:spAutoFit/>
              </a:bodyPr>
              <a:lstStyle/>
              <a:p>
                <a:pPr>
                  <a:defRPr sz="800" b="1">
                    <a:latin typeface="Montserrat" panose="00000500000000000000" pitchFamily="2" charset="0"/>
                  </a:defRPr>
                </a:pPr>
                <a:endParaRPr lang="es-MX"/>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'Por Entidad '!$B$3:$B$34</c:f>
              <c:strCache>
                <c:ptCount val="32"/>
                <c:pt idx="0">
                  <c:v>San Luis Potosí</c:v>
                </c:pt>
                <c:pt idx="1">
                  <c:v>Oaxaca</c:v>
                </c:pt>
                <c:pt idx="2">
                  <c:v>Tamaulipas</c:v>
                </c:pt>
                <c:pt idx="3">
                  <c:v>Querétaro</c:v>
                </c:pt>
                <c:pt idx="4">
                  <c:v>Nayarit</c:v>
                </c:pt>
                <c:pt idx="5">
                  <c:v>Quintana Roo</c:v>
                </c:pt>
                <c:pt idx="6">
                  <c:v>Durango</c:v>
                </c:pt>
                <c:pt idx="7">
                  <c:v>Michoacán</c:v>
                </c:pt>
                <c:pt idx="8">
                  <c:v>Veracruz</c:v>
                </c:pt>
                <c:pt idx="9">
                  <c:v>Jalisco</c:v>
                </c:pt>
                <c:pt idx="10">
                  <c:v>Ciudad de México</c:v>
                </c:pt>
                <c:pt idx="11">
                  <c:v>Hidalgo</c:v>
                </c:pt>
                <c:pt idx="12">
                  <c:v>Chihuahua</c:v>
                </c:pt>
                <c:pt idx="13">
                  <c:v>Aguascalientes</c:v>
                </c:pt>
                <c:pt idx="14">
                  <c:v>Yucatán</c:v>
                </c:pt>
                <c:pt idx="15">
                  <c:v>Colima</c:v>
                </c:pt>
                <c:pt idx="16">
                  <c:v>Guanajuato</c:v>
                </c:pt>
                <c:pt idx="17">
                  <c:v>Coahuila</c:v>
                </c:pt>
                <c:pt idx="18">
                  <c:v>México</c:v>
                </c:pt>
                <c:pt idx="19">
                  <c:v>Nuevo León</c:v>
                </c:pt>
                <c:pt idx="20">
                  <c:v>Chiapas</c:v>
                </c:pt>
                <c:pt idx="21">
                  <c:v>Campeche</c:v>
                </c:pt>
                <c:pt idx="22">
                  <c:v>Guerrero</c:v>
                </c:pt>
                <c:pt idx="23">
                  <c:v>Puebla</c:v>
                </c:pt>
                <c:pt idx="24">
                  <c:v>Zacatecas</c:v>
                </c:pt>
                <c:pt idx="25">
                  <c:v>Baja California</c:v>
                </c:pt>
                <c:pt idx="26">
                  <c:v>Morelos</c:v>
                </c:pt>
                <c:pt idx="27">
                  <c:v>Sinaloa</c:v>
                </c:pt>
                <c:pt idx="28">
                  <c:v>Tabasco</c:v>
                </c:pt>
                <c:pt idx="29">
                  <c:v>Tlaxcala</c:v>
                </c:pt>
                <c:pt idx="30">
                  <c:v>Sonora</c:v>
                </c:pt>
                <c:pt idx="31">
                  <c:v>Baja California Sur</c:v>
                </c:pt>
              </c:strCache>
            </c:strRef>
          </c:cat>
          <c:val>
            <c:numRef>
              <c:f>'Por Entidad '!$D$3:$D$34</c:f>
              <c:numCache>
                <c:formatCode>General</c:formatCode>
                <c:ptCount val="32"/>
                <c:pt idx="0">
                  <c:v>3.76</c:v>
                </c:pt>
                <c:pt idx="1">
                  <c:v>3.76</c:v>
                </c:pt>
                <c:pt idx="2">
                  <c:v>3.76</c:v>
                </c:pt>
                <c:pt idx="3">
                  <c:v>3.76</c:v>
                </c:pt>
                <c:pt idx="4">
                  <c:v>3.76</c:v>
                </c:pt>
                <c:pt idx="5">
                  <c:v>3.76</c:v>
                </c:pt>
                <c:pt idx="6">
                  <c:v>3.76</c:v>
                </c:pt>
                <c:pt idx="7">
                  <c:v>3.76</c:v>
                </c:pt>
                <c:pt idx="8">
                  <c:v>3.76</c:v>
                </c:pt>
                <c:pt idx="9">
                  <c:v>3.76</c:v>
                </c:pt>
                <c:pt idx="10">
                  <c:v>3.76</c:v>
                </c:pt>
                <c:pt idx="11">
                  <c:v>3.76</c:v>
                </c:pt>
                <c:pt idx="12">
                  <c:v>3.76</c:v>
                </c:pt>
                <c:pt idx="13">
                  <c:v>3.76</c:v>
                </c:pt>
                <c:pt idx="14">
                  <c:v>3.76</c:v>
                </c:pt>
                <c:pt idx="15">
                  <c:v>3.76</c:v>
                </c:pt>
                <c:pt idx="16">
                  <c:v>3.76</c:v>
                </c:pt>
                <c:pt idx="17">
                  <c:v>3.76</c:v>
                </c:pt>
                <c:pt idx="18">
                  <c:v>3.76</c:v>
                </c:pt>
                <c:pt idx="19">
                  <c:v>3.76</c:v>
                </c:pt>
                <c:pt idx="20">
                  <c:v>3.76</c:v>
                </c:pt>
                <c:pt idx="21">
                  <c:v>3.76</c:v>
                </c:pt>
                <c:pt idx="22">
                  <c:v>3.76</c:v>
                </c:pt>
                <c:pt idx="23">
                  <c:v>3.76</c:v>
                </c:pt>
                <c:pt idx="24">
                  <c:v>3.76</c:v>
                </c:pt>
                <c:pt idx="25">
                  <c:v>3.76</c:v>
                </c:pt>
                <c:pt idx="26">
                  <c:v>3.76</c:v>
                </c:pt>
                <c:pt idx="27">
                  <c:v>3.76</c:v>
                </c:pt>
                <c:pt idx="28">
                  <c:v>3.76</c:v>
                </c:pt>
                <c:pt idx="29">
                  <c:v>3.76</c:v>
                </c:pt>
                <c:pt idx="30">
                  <c:v>3.76</c:v>
                </c:pt>
                <c:pt idx="31">
                  <c:v>3.76</c:v>
                </c:pt>
              </c:numCache>
            </c:numRef>
          </c:val>
          <c:smooth val="0"/>
          <c:extLst>
            <c:ext xmlns:c16="http://schemas.microsoft.com/office/drawing/2014/chart" uri="{C3380CC4-5D6E-409C-BE32-E72D297353CC}">
              <c16:uniqueId val="{0000000E-1E23-4E84-A961-F69D8EF0FB65}"/>
            </c:ext>
          </c:extLst>
        </c:ser>
        <c:dLbls>
          <c:showLegendKey val="0"/>
          <c:showVal val="0"/>
          <c:showCatName val="0"/>
          <c:showSerName val="0"/>
          <c:showPercent val="0"/>
          <c:showBubbleSize val="0"/>
        </c:dLbls>
        <c:marker val="1"/>
        <c:smooth val="0"/>
        <c:axId val="432218624"/>
        <c:axId val="456926336"/>
      </c:lineChart>
      <c:catAx>
        <c:axId val="432218624"/>
        <c:scaling>
          <c:orientation val="minMax"/>
        </c:scaling>
        <c:delete val="0"/>
        <c:axPos val="b"/>
        <c:numFmt formatCode="General" sourceLinked="0"/>
        <c:majorTickMark val="out"/>
        <c:minorTickMark val="none"/>
        <c:tickLblPos val="nextTo"/>
        <c:spPr>
          <a:ln>
            <a:noFill/>
          </a:ln>
        </c:spPr>
        <c:txPr>
          <a:bodyPr rot="-5400000" vert="horz"/>
          <a:lstStyle/>
          <a:p>
            <a:pPr>
              <a:defRPr sz="700">
                <a:latin typeface="Montserrat" panose="00000500000000000000" pitchFamily="2" charset="0"/>
              </a:defRPr>
            </a:pPr>
            <a:endParaRPr lang="es-MX"/>
          </a:p>
        </c:txPr>
        <c:crossAx val="456926336"/>
        <c:crosses val="autoZero"/>
        <c:auto val="1"/>
        <c:lblAlgn val="ctr"/>
        <c:lblOffset val="500"/>
        <c:noMultiLvlLbl val="0"/>
      </c:catAx>
      <c:valAx>
        <c:axId val="456926336"/>
        <c:scaling>
          <c:orientation val="minMax"/>
        </c:scaling>
        <c:delete val="1"/>
        <c:axPos val="l"/>
        <c:majorGridlines>
          <c:spPr>
            <a:ln>
              <a:noFill/>
            </a:ln>
          </c:spPr>
        </c:majorGridlines>
        <c:numFmt formatCode="0.0" sourceLinked="1"/>
        <c:majorTickMark val="out"/>
        <c:minorTickMark val="none"/>
        <c:tickLblPos val="nextTo"/>
        <c:crossAx val="432218624"/>
        <c:crosses val="autoZero"/>
        <c:crossBetween val="between"/>
      </c:valAx>
    </c:plotArea>
    <c:plotVisOnly val="1"/>
    <c:dispBlanksAs val="gap"/>
    <c:showDLblsOverMax val="0"/>
  </c:chart>
  <c:spPr>
    <a:ln>
      <a:noFill/>
    </a:ln>
  </c:spPr>
  <c:txPr>
    <a:bodyPr/>
    <a:lstStyle/>
    <a:p>
      <a:pPr>
        <a:defRPr sz="1800">
          <a:latin typeface="HelveticaNeueLT Std" pitchFamily="34" charset="0"/>
        </a:defRPr>
      </a:pPr>
      <a:endParaRPr lang="es-MX"/>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mn-lt"/>
                <a:ea typeface="+mn-ea"/>
                <a:cs typeface="+mn-cs"/>
              </a:defRPr>
            </a:pPr>
            <a:r>
              <a:rPr lang="es-MX" sz="900" b="1">
                <a:solidFill>
                  <a:sysClr val="windowText" lastClr="000000"/>
                </a:solidFill>
                <a:latin typeface="Gotham Book" panose="02000603040000020004" pitchFamily="2" charset="0"/>
              </a:rPr>
              <a:t>Distribución sectorial</a:t>
            </a:r>
            <a:r>
              <a:rPr lang="es-MX" sz="1200" b="1" baseline="0">
                <a:solidFill>
                  <a:sysClr val="windowText" lastClr="000000"/>
                </a:solidFill>
                <a:latin typeface="Gotham Book" panose="02000603040000020004" pitchFamily="2" charset="0"/>
              </a:rPr>
              <a:t> </a:t>
            </a:r>
          </a:p>
          <a:p>
            <a:pPr algn="l">
              <a:defRPr sz="1400" b="0" i="0" u="none" strike="noStrike" kern="1200" spc="0" baseline="0">
                <a:solidFill>
                  <a:sysClr val="windowText" lastClr="000000"/>
                </a:solidFill>
                <a:latin typeface="+mn-lt"/>
                <a:ea typeface="+mn-ea"/>
                <a:cs typeface="+mn-cs"/>
              </a:defRPr>
            </a:pPr>
            <a:r>
              <a:rPr lang="es-MX" sz="900" baseline="0">
                <a:solidFill>
                  <a:sysClr val="windowText" lastClr="000000"/>
                </a:solidFill>
                <a:latin typeface="Gotham Book" panose="02000603040000020004" pitchFamily="2" charset="0"/>
              </a:rPr>
              <a:t>Inversión Extranjera Directa </a:t>
            </a:r>
            <a:endParaRPr lang="es-MX" sz="900">
              <a:solidFill>
                <a:sysClr val="windowText" lastClr="000000"/>
              </a:solidFill>
              <a:latin typeface="Gotham Book" panose="02000603040000020004" pitchFamily="2" charset="0"/>
            </a:endParaRPr>
          </a:p>
        </c:rich>
      </c:tx>
      <c:layout>
        <c:manualLayout>
          <c:xMode val="edge"/>
          <c:yMode val="edge"/>
          <c:x val="3.2240437158469942E-2"/>
          <c:y val="1.8935807612194658E-2"/>
        </c:manualLayout>
      </c:layout>
      <c:overlay val="0"/>
      <c:spPr>
        <a:noFill/>
        <a:ln>
          <a:noFill/>
        </a:ln>
        <a:effectLst/>
      </c:spPr>
    </c:title>
    <c:autoTitleDeleted val="0"/>
    <c:plotArea>
      <c:layout>
        <c:manualLayout>
          <c:layoutTarget val="inner"/>
          <c:xMode val="edge"/>
          <c:yMode val="edge"/>
          <c:x val="0.30500477604233894"/>
          <c:y val="0.16968123729847157"/>
          <c:w val="0.33315984682242583"/>
          <c:h val="0.57724154486369939"/>
        </c:manualLayout>
      </c:layout>
      <c:doughnutChart>
        <c:varyColors val="1"/>
        <c:ser>
          <c:idx val="0"/>
          <c:order val="0"/>
          <c:dPt>
            <c:idx val="0"/>
            <c:bubble3D val="0"/>
            <c:spPr>
              <a:solidFill>
                <a:schemeClr val="accent6">
                  <a:tint val="50000"/>
                </a:schemeClr>
              </a:solidFill>
              <a:ln w="19050">
                <a:solidFill>
                  <a:schemeClr val="lt1"/>
                </a:solidFill>
              </a:ln>
              <a:effectLst/>
            </c:spPr>
            <c:extLst>
              <c:ext xmlns:c16="http://schemas.microsoft.com/office/drawing/2014/chart" uri="{C3380CC4-5D6E-409C-BE32-E72D297353CC}">
                <c16:uniqueId val="{00000001-5130-4F1A-BB76-ABDC0A278F9C}"/>
              </c:ext>
            </c:extLst>
          </c:dPt>
          <c:dPt>
            <c:idx val="1"/>
            <c:bubble3D val="0"/>
            <c:spPr>
              <a:solidFill>
                <a:schemeClr val="accent6">
                  <a:tint val="70000"/>
                </a:schemeClr>
              </a:solidFill>
              <a:ln w="19050">
                <a:solidFill>
                  <a:schemeClr val="lt1"/>
                </a:solidFill>
              </a:ln>
              <a:effectLst/>
            </c:spPr>
            <c:extLst>
              <c:ext xmlns:c16="http://schemas.microsoft.com/office/drawing/2014/chart" uri="{C3380CC4-5D6E-409C-BE32-E72D297353CC}">
                <c16:uniqueId val="{00000003-5130-4F1A-BB76-ABDC0A278F9C}"/>
              </c:ext>
            </c:extLst>
          </c:dPt>
          <c:dPt>
            <c:idx val="2"/>
            <c:bubble3D val="0"/>
            <c:spPr>
              <a:solidFill>
                <a:schemeClr val="accent6">
                  <a:tint val="90000"/>
                </a:schemeClr>
              </a:solidFill>
              <a:ln w="19050">
                <a:solidFill>
                  <a:schemeClr val="lt1"/>
                </a:solidFill>
              </a:ln>
              <a:effectLst/>
            </c:spPr>
            <c:extLst>
              <c:ext xmlns:c16="http://schemas.microsoft.com/office/drawing/2014/chart" uri="{C3380CC4-5D6E-409C-BE32-E72D297353CC}">
                <c16:uniqueId val="{00000005-5130-4F1A-BB76-ABDC0A278F9C}"/>
              </c:ext>
            </c:extLst>
          </c:dPt>
          <c:dPt>
            <c:idx val="3"/>
            <c:bubble3D val="0"/>
            <c:spPr>
              <a:solidFill>
                <a:schemeClr val="accent6">
                  <a:shade val="90000"/>
                </a:schemeClr>
              </a:solidFill>
              <a:ln w="19050">
                <a:solidFill>
                  <a:schemeClr val="lt1"/>
                </a:solidFill>
              </a:ln>
              <a:effectLst/>
            </c:spPr>
            <c:extLst>
              <c:ext xmlns:c16="http://schemas.microsoft.com/office/drawing/2014/chart" uri="{C3380CC4-5D6E-409C-BE32-E72D297353CC}">
                <c16:uniqueId val="{00000007-5130-4F1A-BB76-ABDC0A278F9C}"/>
              </c:ext>
            </c:extLst>
          </c:dPt>
          <c:dPt>
            <c:idx val="4"/>
            <c:bubble3D val="0"/>
            <c:spPr>
              <a:solidFill>
                <a:schemeClr val="accent6">
                  <a:shade val="70000"/>
                </a:schemeClr>
              </a:solidFill>
              <a:ln w="19050">
                <a:solidFill>
                  <a:schemeClr val="lt1"/>
                </a:solidFill>
              </a:ln>
              <a:effectLst/>
            </c:spPr>
            <c:extLst>
              <c:ext xmlns:c16="http://schemas.microsoft.com/office/drawing/2014/chart" uri="{C3380CC4-5D6E-409C-BE32-E72D297353CC}">
                <c16:uniqueId val="{00000009-5130-4F1A-BB76-ABDC0A278F9C}"/>
              </c:ext>
            </c:extLst>
          </c:dPt>
          <c:dPt>
            <c:idx val="5"/>
            <c:bubble3D val="0"/>
            <c:spPr>
              <a:solidFill>
                <a:schemeClr val="accent6">
                  <a:shade val="50000"/>
                </a:schemeClr>
              </a:solidFill>
              <a:ln w="19050">
                <a:solidFill>
                  <a:schemeClr val="lt1"/>
                </a:solidFill>
              </a:ln>
              <a:effectLst/>
            </c:spPr>
            <c:extLst>
              <c:ext xmlns:c16="http://schemas.microsoft.com/office/drawing/2014/chart" uri="{C3380CC4-5D6E-409C-BE32-E72D297353CC}">
                <c16:uniqueId val="{0000000B-5130-4F1A-BB76-ABDC0A278F9C}"/>
              </c:ext>
            </c:extLst>
          </c:dPt>
          <c:dLbls>
            <c:dLbl>
              <c:idx val="0"/>
              <c:layout>
                <c:manualLayout>
                  <c:x val="8.306010928961749E-2"/>
                  <c:y val="1.51486460897557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130-4F1A-BB76-ABDC0A278F9C}"/>
                </c:ext>
              </c:extLst>
            </c:dLbl>
            <c:dLbl>
              <c:idx val="1"/>
              <c:layout>
                <c:manualLayout>
                  <c:x val="6.1202185792349727E-2"/>
                  <c:y val="0.117276847436323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130-4F1A-BB76-ABDC0A278F9C}"/>
                </c:ext>
              </c:extLst>
            </c:dLbl>
            <c:dLbl>
              <c:idx val="2"/>
              <c:layout>
                <c:manualLayout>
                  <c:x val="-1.9672131147540985E-2"/>
                  <c:y val="0.1325506532853626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130-4F1A-BB76-ABDC0A278F9C}"/>
                </c:ext>
              </c:extLst>
            </c:dLbl>
            <c:dLbl>
              <c:idx val="3"/>
              <c:layout>
                <c:manualLayout>
                  <c:x val="-9.180327868852454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130-4F1A-BB76-ABDC0A278F9C}"/>
                </c:ext>
              </c:extLst>
            </c:dLbl>
            <c:dLbl>
              <c:idx val="4"/>
              <c:layout>
                <c:manualLayout>
                  <c:x val="-6.7759562841530049E-2"/>
                  <c:y val="-7.90610328638497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130-4F1A-BB76-ABDC0A278F9C}"/>
                </c:ext>
              </c:extLst>
            </c:dLbl>
            <c:dLbl>
              <c:idx val="5"/>
              <c:layout>
                <c:manualLayout>
                  <c:x val="-2.4043715846994617E-2"/>
                  <c:y val="-0.109827684150729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130-4F1A-BB76-ABDC0A278F9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ontserrat" panose="00000500000000000000" pitchFamily="2" charset="0"/>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extLst>
          </c:dLbls>
          <c:cat>
            <c:strRef>
              <c:f>IED!$B$4:$B$11</c:f>
              <c:strCache>
                <c:ptCount val="6"/>
                <c:pt idx="0">
                  <c:v>Industria manufacturera</c:v>
                </c:pt>
                <c:pt idx="1">
                  <c:v>Servicios Financieros</c:v>
                </c:pt>
                <c:pt idx="2">
                  <c:v>Comercio al por mayor</c:v>
                </c:pt>
                <c:pt idx="3">
                  <c:v>Construccion</c:v>
                </c:pt>
                <c:pt idx="4">
                  <c:v>Apoyo a negocios </c:v>
                </c:pt>
                <c:pt idx="5">
                  <c:v>Resto</c:v>
                </c:pt>
              </c:strCache>
              <c:extLst/>
            </c:strRef>
          </c:cat>
          <c:val>
            <c:numRef>
              <c:f>IED!$D$4:$D$11</c:f>
              <c:numCache>
                <c:formatCode>0%</c:formatCode>
                <c:ptCount val="6"/>
                <c:pt idx="0">
                  <c:v>0.46152585108533739</c:v>
                </c:pt>
                <c:pt idx="1">
                  <c:v>3.8496238971435219E-2</c:v>
                </c:pt>
                <c:pt idx="2">
                  <c:v>3.5619137595147982E-2</c:v>
                </c:pt>
                <c:pt idx="3">
                  <c:v>0.3601935262430695</c:v>
                </c:pt>
                <c:pt idx="4">
                  <c:v>9.6940973729616239E-3</c:v>
                </c:pt>
                <c:pt idx="5">
                  <c:v>9.4472981049802618E-2</c:v>
                </c:pt>
              </c:numCache>
              <c:extLst/>
            </c:numRef>
          </c:val>
          <c:extLst>
            <c:ext xmlns:c16="http://schemas.microsoft.com/office/drawing/2014/chart" uri="{C3380CC4-5D6E-409C-BE32-E72D297353CC}">
              <c16:uniqueId val="{0000000C-5130-4F1A-BB76-ABDC0A278F9C}"/>
            </c:ext>
          </c:extLst>
        </c:ser>
        <c:dLbls>
          <c:showLegendKey val="0"/>
          <c:showVal val="0"/>
          <c:showCatName val="0"/>
          <c:showSerName val="0"/>
          <c:showPercent val="0"/>
          <c:showBubbleSize val="0"/>
          <c:showLeaderLines val="0"/>
        </c:dLbls>
        <c:firstSliceAng val="0"/>
        <c:holeSize val="50"/>
      </c:doughnutChart>
      <c:spPr>
        <a:noFill/>
        <a:ln>
          <a:noFill/>
        </a:ln>
        <a:effectLst/>
      </c:spPr>
    </c:plotArea>
    <c:legend>
      <c:legendPos val="b"/>
      <c:layout>
        <c:manualLayout>
          <c:xMode val="edge"/>
          <c:yMode val="edge"/>
          <c:x val="2.2236908910976294E-2"/>
          <c:y val="0.88246827506720715"/>
          <c:w val="0.92695908093455526"/>
          <c:h val="9.0861459965676988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ontserrat" panose="00000500000000000000" pitchFamily="2" charset="0"/>
              <a:ea typeface="+mn-ea"/>
              <a:cs typeface="+mn-cs"/>
            </a:defRPr>
          </a:pPr>
          <a:endParaRPr lang="es-MX"/>
        </a:p>
      </c:txPr>
    </c:legend>
    <c:plotVisOnly val="1"/>
    <c:dispBlanksAs val="gap"/>
    <c:showDLblsOverMax val="0"/>
  </c:chart>
  <c:spPr>
    <a:noFill/>
    <a:ln w="9525" cap="flat" cmpd="sng" algn="ctr">
      <a:noFill/>
      <a:round/>
    </a:ln>
    <a:effectLst/>
  </c:spPr>
  <c:txPr>
    <a:bodyPr/>
    <a:lstStyle/>
    <a:p>
      <a:pPr>
        <a:defRPr/>
      </a:pPr>
      <a:endParaRPr lang="es-MX"/>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900" b="0" i="0" u="none" strike="noStrike" kern="1200" spc="0" baseline="0">
                <a:solidFill>
                  <a:sysClr val="windowText" lastClr="000000"/>
                </a:solidFill>
                <a:latin typeface="Montserrat" panose="00000500000000000000" pitchFamily="2" charset="0"/>
                <a:ea typeface="+mn-ea"/>
                <a:cs typeface="+mn-cs"/>
              </a:defRPr>
            </a:pPr>
            <a:r>
              <a:rPr lang="es-MX" sz="900" b="1">
                <a:solidFill>
                  <a:sysClr val="windowText" lastClr="000000"/>
                </a:solidFill>
                <a:latin typeface="Gotham Book" panose="02000603040000020004" pitchFamily="2" charset="0"/>
              </a:rPr>
              <a:t>Puestos de trabajo afiliados, Entidades Federativas </a:t>
            </a:r>
            <a:br>
              <a:rPr lang="es-MX" sz="900">
                <a:solidFill>
                  <a:sysClr val="windowText" lastClr="000000"/>
                </a:solidFill>
                <a:latin typeface="Gotham Book" panose="02000603040000020004" pitchFamily="2" charset="0"/>
              </a:rPr>
            </a:br>
            <a:r>
              <a:rPr lang="es-MX" sz="900">
                <a:solidFill>
                  <a:sysClr val="windowText" lastClr="000000"/>
                </a:solidFill>
                <a:latin typeface="Gotham Book" panose="02000603040000020004" pitchFamily="2" charset="0"/>
              </a:rPr>
              <a:t>Puestos creados/perdidos,  Enero-septiembre 2025</a:t>
            </a:r>
          </a:p>
        </c:rich>
      </c:tx>
      <c:layout>
        <c:manualLayout>
          <c:xMode val="edge"/>
          <c:yMode val="edge"/>
          <c:x val="0.14900542042737502"/>
          <c:y val="4.9886621315192746E-2"/>
        </c:manualLayout>
      </c:layout>
      <c:overlay val="0"/>
      <c:spPr>
        <a:noFill/>
        <a:ln>
          <a:noFill/>
        </a:ln>
        <a:effectLst/>
      </c:spPr>
    </c:title>
    <c:autoTitleDeleted val="0"/>
    <c:plotArea>
      <c:layout>
        <c:manualLayout>
          <c:layoutTarget val="inner"/>
          <c:xMode val="edge"/>
          <c:yMode val="edge"/>
          <c:x val="1.0588146127027437E-2"/>
          <c:y val="0.26304688010403282"/>
          <c:w val="0.97882370774594518"/>
          <c:h val="0.42949878203193781"/>
        </c:manualLayout>
      </c:layout>
      <c:barChart>
        <c:barDir val="col"/>
        <c:grouping val="clustered"/>
        <c:varyColors val="0"/>
        <c:ser>
          <c:idx val="0"/>
          <c:order val="0"/>
          <c:spPr>
            <a:solidFill>
              <a:schemeClr val="bg1">
                <a:lumMod val="95000"/>
              </a:schemeClr>
            </a:solidFill>
            <a:ln>
              <a:solidFill>
                <a:schemeClr val="bg1">
                  <a:lumMod val="85000"/>
                </a:schemeClr>
              </a:solidFill>
            </a:ln>
            <a:effectLst/>
          </c:spPr>
          <c:invertIfNegative val="0"/>
          <c:dPt>
            <c:idx val="0"/>
            <c:invertIfNegative val="0"/>
            <c:bubble3D val="0"/>
            <c:spPr>
              <a:solidFill>
                <a:schemeClr val="tx1"/>
              </a:solidFill>
              <a:ln>
                <a:solidFill>
                  <a:schemeClr val="tx1"/>
                </a:solidFill>
              </a:ln>
              <a:effectLst/>
            </c:spPr>
            <c:extLst>
              <c:ext xmlns:c16="http://schemas.microsoft.com/office/drawing/2014/chart" uri="{C3380CC4-5D6E-409C-BE32-E72D297353CC}">
                <c16:uniqueId val="{00000001-0129-4A67-8E1F-A93388E44AE1}"/>
              </c:ext>
            </c:extLst>
          </c:dPt>
          <c:dPt>
            <c:idx val="1"/>
            <c:invertIfNegative val="0"/>
            <c:bubble3D val="0"/>
            <c:extLst>
              <c:ext xmlns:c16="http://schemas.microsoft.com/office/drawing/2014/chart" uri="{C3380CC4-5D6E-409C-BE32-E72D297353CC}">
                <c16:uniqueId val="{00000002-0129-4A67-8E1F-A93388E44AE1}"/>
              </c:ext>
            </c:extLst>
          </c:dPt>
          <c:dPt>
            <c:idx val="2"/>
            <c:invertIfNegative val="0"/>
            <c:bubble3D val="0"/>
            <c:extLst>
              <c:ext xmlns:c16="http://schemas.microsoft.com/office/drawing/2014/chart" uri="{C3380CC4-5D6E-409C-BE32-E72D297353CC}">
                <c16:uniqueId val="{00000003-0129-4A67-8E1F-A93388E44AE1}"/>
              </c:ext>
            </c:extLst>
          </c:dPt>
          <c:dPt>
            <c:idx val="10"/>
            <c:invertIfNegative val="0"/>
            <c:bubble3D val="0"/>
            <c:extLst>
              <c:ext xmlns:c16="http://schemas.microsoft.com/office/drawing/2014/chart" uri="{C3380CC4-5D6E-409C-BE32-E72D297353CC}">
                <c16:uniqueId val="{00000004-0129-4A67-8E1F-A93388E44AE1}"/>
              </c:ext>
            </c:extLst>
          </c:dPt>
          <c:dPt>
            <c:idx val="23"/>
            <c:invertIfNegative val="0"/>
            <c:bubble3D val="0"/>
            <c:extLst>
              <c:ext xmlns:c16="http://schemas.microsoft.com/office/drawing/2014/chart" uri="{C3380CC4-5D6E-409C-BE32-E72D297353CC}">
                <c16:uniqueId val="{00000005-0129-4A67-8E1F-A93388E44AE1}"/>
              </c:ext>
            </c:extLst>
          </c:dPt>
          <c:dLbls>
            <c:dLbl>
              <c:idx val="0"/>
              <c:tx>
                <c:rich>
                  <a:bodyPr/>
                  <a:lstStyle/>
                  <a:p>
                    <a:r>
                      <a:rPr lang="en-US" b="1"/>
                      <a:t>36.5% </a:t>
                    </a:r>
                    <a:fld id="{F1726224-E708-427F-967B-31F8C3CC9F47}"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129-4A67-8E1F-A93388E44AE1}"/>
                </c:ext>
              </c:extLst>
            </c:dLbl>
            <c:dLbl>
              <c:idx val="1"/>
              <c:tx>
                <c:rich>
                  <a:bodyPr/>
                  <a:lstStyle/>
                  <a:p>
                    <a:r>
                      <a:rPr lang="en-US" b="1"/>
                      <a:t>20.7% </a:t>
                    </a:r>
                    <a:fld id="{B9C4E47A-048B-4224-97FA-00F524C172A9}"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0129-4A67-8E1F-A93388E44AE1}"/>
                </c:ext>
              </c:extLst>
            </c:dLbl>
            <c:dLbl>
              <c:idx val="2"/>
              <c:tx>
                <c:rich>
                  <a:bodyPr/>
                  <a:lstStyle/>
                  <a:p>
                    <a:r>
                      <a:rPr lang="en-US" b="1"/>
                      <a:t>13.6%</a:t>
                    </a:r>
                    <a:fld id="{1CA3E652-197F-45FB-ACA5-A944788292B3}"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129-4A67-8E1F-A93388E44AE1}"/>
                </c:ext>
              </c:extLst>
            </c:dLbl>
            <c:dLbl>
              <c:idx val="3"/>
              <c:tx>
                <c:rich>
                  <a:bodyPr/>
                  <a:lstStyle/>
                  <a:p>
                    <a:r>
                      <a:rPr lang="en-US" b="1"/>
                      <a:t>9.2% </a:t>
                    </a:r>
                    <a:fld id="{227E6D7F-D3A9-4469-BAB7-F2F2E9265A01}"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0129-4A67-8E1F-A93388E44AE1}"/>
                </c:ext>
              </c:extLst>
            </c:dLbl>
            <c:dLbl>
              <c:idx val="4"/>
              <c:tx>
                <c:rich>
                  <a:bodyPr/>
                  <a:lstStyle/>
                  <a:p>
                    <a:r>
                      <a:rPr lang="en-US" b="1"/>
                      <a:t>49% </a:t>
                    </a:r>
                    <a:fld id="{F4EBF671-53A1-4047-B089-A908B926A554}"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129-4A67-8E1F-A93388E44AE1}"/>
                </c:ext>
              </c:extLst>
            </c:dLbl>
            <c:dLbl>
              <c:idx val="5"/>
              <c:tx>
                <c:rich>
                  <a:bodyPr/>
                  <a:lstStyle/>
                  <a:p>
                    <a:r>
                      <a:rPr lang="en-US" b="1"/>
                      <a:t>4.2%</a:t>
                    </a:r>
                    <a:r>
                      <a:rPr lang="en-US" b="1" baseline="0"/>
                      <a:t> </a:t>
                    </a:r>
                    <a:fld id="{C42D4065-B36D-4281-982D-DB48C4559796}" type="VALUE">
                      <a:rPr lang="en-US"/>
                      <a:pPr/>
                      <a:t>[VALOR]</a:t>
                    </a:fld>
                    <a:endParaRPr lang="en-US" b="1"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0129-4A67-8E1F-A93388E44AE1}"/>
                </c:ext>
              </c:extLst>
            </c:dLbl>
            <c:dLbl>
              <c:idx val="6"/>
              <c:tx>
                <c:rich>
                  <a:bodyPr/>
                  <a:lstStyle/>
                  <a:p>
                    <a:r>
                      <a:rPr lang="en-US" b="1"/>
                      <a:t>3.8% </a:t>
                    </a:r>
                    <a:fld id="{16A800D5-FF94-4DD8-95D2-1E174D110FD3}"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0129-4A67-8E1F-A93388E44AE1}"/>
                </c:ext>
              </c:extLst>
            </c:dLbl>
            <c:dLbl>
              <c:idx val="7"/>
              <c:tx>
                <c:rich>
                  <a:bodyPr/>
                  <a:lstStyle/>
                  <a:p>
                    <a:r>
                      <a:rPr lang="en-US" b="1"/>
                      <a:t>3.6% </a:t>
                    </a:r>
                    <a:fld id="{6AFDD360-76E7-46AC-A0AF-AE10AAADA914}"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0129-4A67-8E1F-A93388E44AE1}"/>
                </c:ext>
              </c:extLst>
            </c:dLbl>
            <c:dLbl>
              <c:idx val="8"/>
              <c:tx>
                <c:rich>
                  <a:bodyPr/>
                  <a:lstStyle/>
                  <a:p>
                    <a:r>
                      <a:rPr lang="en-US" b="1"/>
                      <a:t>2.7% </a:t>
                    </a:r>
                    <a:fld id="{6B0ACC2F-A3C9-4C5E-91E5-C89B869E690A}"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0129-4A67-8E1F-A93388E44AE1}"/>
                </c:ext>
              </c:extLst>
            </c:dLbl>
            <c:dLbl>
              <c:idx val="9"/>
              <c:tx>
                <c:rich>
                  <a:bodyPr/>
                  <a:lstStyle/>
                  <a:p>
                    <a:r>
                      <a:rPr lang="en-US" b="1"/>
                      <a:t>2.6%</a:t>
                    </a:r>
                    <a:fld id="{5A70C811-E405-47BB-9710-D7E5A1246FBF}"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C-0129-4A67-8E1F-A93388E44AE1}"/>
                </c:ext>
              </c:extLst>
            </c:dLbl>
            <c:dLbl>
              <c:idx val="10"/>
              <c:tx>
                <c:rich>
                  <a:bodyPr/>
                  <a:lstStyle/>
                  <a:p>
                    <a:r>
                      <a:rPr lang="en-US" b="1"/>
                      <a:t>2.1% </a:t>
                    </a:r>
                    <a:fld id="{B918D2BD-BE53-4FB5-94FD-BBF4F35BB47E}"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0129-4A67-8E1F-A93388E44AE1}"/>
                </c:ext>
              </c:extLst>
            </c:dLbl>
            <c:dLbl>
              <c:idx val="11"/>
              <c:tx>
                <c:rich>
                  <a:bodyPr/>
                  <a:lstStyle/>
                  <a:p>
                    <a:r>
                      <a:rPr lang="en-US" b="1"/>
                      <a:t>2.0% </a:t>
                    </a:r>
                    <a:fld id="{53A9EF3E-F3AF-4B97-95E2-F82274B6C941}"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0129-4A67-8E1F-A93388E44AE1}"/>
                </c:ext>
              </c:extLst>
            </c:dLbl>
            <c:dLbl>
              <c:idx val="12"/>
              <c:tx>
                <c:rich>
                  <a:bodyPr/>
                  <a:lstStyle/>
                  <a:p>
                    <a:r>
                      <a:rPr lang="en-US" b="1"/>
                      <a:t>1.9% </a:t>
                    </a:r>
                    <a:fld id="{E1F12667-05D9-4803-A3F7-386055B21EFB}"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E-0129-4A67-8E1F-A93388E44AE1}"/>
                </c:ext>
              </c:extLst>
            </c:dLbl>
            <c:dLbl>
              <c:idx val="13"/>
              <c:tx>
                <c:rich>
                  <a:bodyPr/>
                  <a:lstStyle/>
                  <a:p>
                    <a:r>
                      <a:rPr lang="en-US" b="1"/>
                      <a:t>1.8% </a:t>
                    </a:r>
                    <a:fld id="{7CD4DEFB-5EB0-45B2-A483-86B604C703B3}"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0129-4A67-8E1F-A93388E44AE1}"/>
                </c:ext>
              </c:extLst>
            </c:dLbl>
            <c:dLbl>
              <c:idx val="14"/>
              <c:tx>
                <c:rich>
                  <a:bodyPr/>
                  <a:lstStyle/>
                  <a:p>
                    <a:r>
                      <a:rPr lang="en-US" b="1"/>
                      <a:t>1.6% </a:t>
                    </a:r>
                    <a:fld id="{2EDD1BB0-8F64-4C88-A6DA-7F56C1EB71EF}"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0-0129-4A67-8E1F-A93388E44AE1}"/>
                </c:ext>
              </c:extLst>
            </c:dLbl>
            <c:dLbl>
              <c:idx val="15"/>
              <c:tx>
                <c:rich>
                  <a:bodyPr/>
                  <a:lstStyle/>
                  <a:p>
                    <a:r>
                      <a:rPr lang="en-US" b="1"/>
                      <a:t>1.2% </a:t>
                    </a:r>
                    <a:fld id="{7CBDA08E-035A-49B8-99DE-2B6C6595A63D}"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0129-4A67-8E1F-A93388E44AE1}"/>
                </c:ext>
              </c:extLst>
            </c:dLbl>
            <c:dLbl>
              <c:idx val="16"/>
              <c:tx>
                <c:rich>
                  <a:bodyPr/>
                  <a:lstStyle/>
                  <a:p>
                    <a:r>
                      <a:rPr lang="en-US" b="1"/>
                      <a:t>0.9% </a:t>
                    </a:r>
                    <a:fld id="{443A80D7-2B28-4E23-A5F7-D67C96038A75}"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2-0129-4A67-8E1F-A93388E44AE1}"/>
                </c:ext>
              </c:extLst>
            </c:dLbl>
            <c:dLbl>
              <c:idx val="17"/>
              <c:tx>
                <c:rich>
                  <a:bodyPr/>
                  <a:lstStyle/>
                  <a:p>
                    <a:r>
                      <a:rPr lang="en-US" b="1"/>
                      <a:t>0.8%</a:t>
                    </a:r>
                    <a:fld id="{0BFBCD8D-D078-4830-B192-FC4AD4EA7735}"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0129-4A67-8E1F-A93388E44AE1}"/>
                </c:ext>
              </c:extLst>
            </c:dLbl>
            <c:dLbl>
              <c:idx val="18"/>
              <c:tx>
                <c:rich>
                  <a:bodyPr/>
                  <a:lstStyle/>
                  <a:p>
                    <a:r>
                      <a:rPr lang="en-US" b="1"/>
                      <a:t>0.6% </a:t>
                    </a:r>
                    <a:fld id="{4D7B4ED4-08F9-48D8-96FF-BDDA8163F775}"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4-0129-4A67-8E1F-A93388E44AE1}"/>
                </c:ext>
              </c:extLst>
            </c:dLbl>
            <c:dLbl>
              <c:idx val="19"/>
              <c:tx>
                <c:rich>
                  <a:bodyPr/>
                  <a:lstStyle/>
                  <a:p>
                    <a:r>
                      <a:rPr lang="en-US" b="1"/>
                      <a:t>0.2% </a:t>
                    </a:r>
                    <a:fld id="{F083A153-87CA-4FEF-97D8-5CEF30C56DF8}" type="VALUE">
                      <a:rPr lang="en-US"/>
                      <a:pPr/>
                      <a:t>[VALOR]</a:t>
                    </a:fld>
                    <a:endParaRPr lang="en-US" b="1"/>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0129-4A67-8E1F-A93388E44AE1}"/>
                </c:ext>
              </c:extLst>
            </c:dLbl>
            <c:dLbl>
              <c:idx val="20"/>
              <c:tx>
                <c:rich>
                  <a:bodyPr rot="-5400000" spcFirstLastPara="1" vertOverflow="ellipsis" wrap="square" lIns="38100" tIns="19050" rIns="38100" bIns="19050" anchor="b"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-0.0% </a:t>
                    </a:r>
                    <a:fld id="{17667190-429C-40FE-A8FA-F093F1788CB7}"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0_ ;\-#,##0\ "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6-0129-4A67-8E1F-A93388E44AE1}"/>
                </c:ext>
              </c:extLst>
            </c:dLbl>
            <c:dLbl>
              <c:idx val="21"/>
              <c:tx>
                <c:rich>
                  <a:bodyPr rot="-5400000" spcFirstLastPara="1" vertOverflow="ellipsis" wrap="square" lIns="38100" tIns="19050" rIns="38100" bIns="19050" anchor="ctr" anchorCtr="0">
                    <a:spAutoFit/>
                  </a:bodyPr>
                  <a:lstStyle/>
                  <a:p>
                    <a:pPr algn="ctr">
                      <a:defRPr sz="600" b="0" i="0" u="none" strike="noStrike" kern="1200" baseline="0">
                        <a:solidFill>
                          <a:sysClr val="windowText" lastClr="000000"/>
                        </a:solidFill>
                        <a:latin typeface="Montserrat" panose="00000500000000000000" pitchFamily="2" charset="0"/>
                        <a:ea typeface="+mn-ea"/>
                        <a:cs typeface="+mn-cs"/>
                      </a:defRPr>
                    </a:pPr>
                    <a:r>
                      <a:rPr lang="en-US" b="1"/>
                      <a:t>-0.1% </a:t>
                    </a:r>
                    <a:fld id="{38AD540F-572F-4241-AE44-99E59DDF2018}" type="VALUE">
                      <a:rPr lang="en-US"/>
                      <a:pPr algn="ct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7-0129-4A67-8E1F-A93388E44AE1}"/>
                </c:ext>
              </c:extLst>
            </c:dLbl>
            <c:dLbl>
              <c:idx val="22"/>
              <c:tx>
                <c:rich>
                  <a:bodyPr rot="-5400000" spcFirstLastPara="1" vertOverflow="ellipsis" wrap="square" lIns="38100" tIns="19050" rIns="38100" bIns="19050" anchor="b"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-0.2% </a:t>
                    </a:r>
                    <a:fld id="{8B0D6636-A0AC-4209-9BF3-6230B132BD3B}"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8-0129-4A67-8E1F-A93388E44AE1}"/>
                </c:ext>
              </c:extLst>
            </c:dLbl>
            <c:dLbl>
              <c:idx val="23"/>
              <c:tx>
                <c:rich>
                  <a:bodyPr rot="-5400000" spcFirstLastPara="1" vertOverflow="ellipsis" wrap="square" lIns="38100" tIns="19050" rIns="38100" bIns="19050" anchor="b"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-0.5% </a:t>
                    </a:r>
                    <a:fld id="{1E9C6E1C-6785-4BD2-96C8-B70663C7FBB4}"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129-4A67-8E1F-A93388E44AE1}"/>
                </c:ext>
              </c:extLst>
            </c:dLbl>
            <c:dLbl>
              <c:idx val="24"/>
              <c:tx>
                <c:rich>
                  <a:bodyPr rot="-5400000" spcFirstLastPara="1" vertOverflow="ellipsis" wrap="square" lIns="38100" tIns="19050" rIns="38100" bIns="19050" anchor="b"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-0.8% </a:t>
                    </a:r>
                    <a:fld id="{74EE59FD-D1EF-474F-9DB8-048EAABC5395}"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9-0129-4A67-8E1F-A93388E44AE1}"/>
                </c:ext>
              </c:extLst>
            </c:dLbl>
            <c:dLbl>
              <c:idx val="25"/>
              <c:tx>
                <c:rich>
                  <a:bodyPr rot="-5400000" spcFirstLastPara="1" vertOverflow="ellipsis" wrap="square" lIns="38100" tIns="19050" rIns="38100" bIns="19050" anchor="ctr"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-1.0% </a:t>
                    </a:r>
                    <a:fld id="{72AF52EF-CB1D-4420-A5C6-5C3344096D31}"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A-0129-4A67-8E1F-A93388E44AE1}"/>
                </c:ext>
              </c:extLst>
            </c:dLbl>
            <c:dLbl>
              <c:idx val="26"/>
              <c:tx>
                <c:rich>
                  <a:bodyPr rot="-5400000" spcFirstLastPara="1" vertOverflow="ellipsis" wrap="square" lIns="38100" tIns="19050" rIns="38100" bIns="19050" anchor="ctr"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-1.1% </a:t>
                    </a:r>
                    <a:fld id="{E6E237EE-7A7E-4EF7-9B71-C1B06C331F33}"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B-0129-4A67-8E1F-A93388E44AE1}"/>
                </c:ext>
              </c:extLst>
            </c:dLbl>
            <c:dLbl>
              <c:idx val="27"/>
              <c:tx>
                <c:rich>
                  <a:bodyPr rot="-5400000" spcFirstLastPara="1" vertOverflow="ellipsis" wrap="square" lIns="38100" tIns="19050" rIns="38100" bIns="19050" anchor="ctr"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-1.3% </a:t>
                    </a:r>
                    <a:fld id="{DE510F9E-1B84-4BF0-9F8D-FAB7D3341BDC}"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C-0129-4A67-8E1F-A93388E44AE1}"/>
                </c:ext>
              </c:extLst>
            </c:dLbl>
            <c:dLbl>
              <c:idx val="28"/>
              <c:tx>
                <c:rich>
                  <a:bodyPr rot="-5400000" spcFirstLastPara="1" vertOverflow="ellipsis" wrap="square" lIns="38100" tIns="19050" rIns="38100" bIns="19050" anchor="ctr"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-1.6%</a:t>
                    </a:r>
                    <a:fld id="{999A439B-035A-4231-AF0F-18AD74191173}"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D-0129-4A67-8E1F-A93388E44AE1}"/>
                </c:ext>
              </c:extLst>
            </c:dLbl>
            <c:dLbl>
              <c:idx val="29"/>
              <c:tx>
                <c:rich>
                  <a:bodyPr rot="-5400000" spcFirstLastPara="1" vertOverflow="ellipsis" wrap="square" lIns="38100" tIns="19050" rIns="38100" bIns="19050" anchor="ctr"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-2.5% </a:t>
                    </a:r>
                    <a:fld id="{8D84C94F-1145-41C2-B7CF-114D579F7FA5}"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E-0129-4A67-8E1F-A93388E44AE1}"/>
                </c:ext>
              </c:extLst>
            </c:dLbl>
            <c:dLbl>
              <c:idx val="30"/>
              <c:tx>
                <c:rich>
                  <a:bodyPr rot="-5400000" spcFirstLastPara="1" vertOverflow="ellipsis" wrap="square" lIns="38100" tIns="19050" rIns="38100" bIns="19050" anchor="ctr"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r>
                      <a:rPr lang="en-US" b="1"/>
                      <a:t>-2.5% </a:t>
                    </a:r>
                    <a:fld id="{8C424754-5D27-4067-A64F-2AC9261475D8}" type="VALUE">
                      <a:rPr lang="en-US"/>
                      <a:pPr>
                        <a:defRPr sz="600" b="0" i="0" u="none" strike="noStrike" kern="1200" baseline="0">
                          <a:solidFill>
                            <a:sysClr val="windowText" lastClr="000000"/>
                          </a:solidFill>
                          <a:latin typeface="Montserrat" panose="00000500000000000000" pitchFamily="2" charset="0"/>
                          <a:ea typeface="+mn-ea"/>
                          <a:cs typeface="+mn-cs"/>
                        </a:defRPr>
                      </a:pPr>
                      <a:t>[VALOR]</a:t>
                    </a:fld>
                    <a:endParaRPr lang="en-US" b="1"/>
                  </a:p>
                </c:rich>
              </c:tx>
              <c:numFmt formatCode="General" sourceLinked="0"/>
              <c:spPr>
                <a:noFill/>
                <a:ln>
                  <a:noFill/>
                </a:ln>
                <a:effectLst/>
              </c:spPr>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F-0129-4A67-8E1F-A93388E44AE1}"/>
                </c:ext>
              </c:extLst>
            </c:dLbl>
            <c:dLbl>
              <c:idx val="31"/>
              <c:tx>
                <c:rich>
                  <a:bodyPr/>
                  <a:lstStyle/>
                  <a:p>
                    <a:r>
                      <a:rPr lang="en-US" b="1">
                        <a:solidFill>
                          <a:sysClr val="windowText" lastClr="000000"/>
                        </a:solidFill>
                      </a:rPr>
                      <a:t>-3.2% </a:t>
                    </a:r>
                    <a:fld id="{E669F10F-2458-4AFC-9DFC-5A2F87FFA504}" type="VALUE">
                      <a:rPr lang="en-US">
                        <a:solidFill>
                          <a:sysClr val="windowText" lastClr="000000"/>
                        </a:solidFill>
                      </a:rPr>
                      <a:pPr/>
                      <a:t>[VALOR]</a:t>
                    </a:fld>
                    <a:endParaRPr lang="en-US" b="1">
                      <a:solidFill>
                        <a:sysClr val="windowText" lastClr="000000"/>
                      </a:solidFill>
                    </a:endParaRPr>
                  </a:p>
                </c:rich>
              </c:tx>
              <c:dLblPos val="inBase"/>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20-0129-4A67-8E1F-A93388E44AE1}"/>
                </c:ext>
              </c:extLst>
            </c:dLbl>
            <c:spPr>
              <a:noFill/>
              <a:ln>
                <a:noFill/>
              </a:ln>
              <a:effectLst/>
            </c:spPr>
            <c:txPr>
              <a:bodyPr rot="-5400000" spcFirstLastPara="1" vertOverflow="ellipsis" wrap="square" lIns="38100" tIns="19050" rIns="38100" bIns="19050" anchor="ctr" anchorCtr="1">
                <a:spAutoFit/>
              </a:bodyPr>
              <a:lstStyle/>
              <a:p>
                <a:pPr>
                  <a:defRPr sz="600" b="0" i="0" u="none" strike="noStrike" kern="1200" baseline="0">
                    <a:solidFill>
                      <a:sysClr val="windowText" lastClr="000000"/>
                    </a:solidFill>
                    <a:latin typeface="Montserrat" panose="00000500000000000000" pitchFamily="2" charset="0"/>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Empleo!$H$7:$H$38</c:f>
              <c:strCache>
                <c:ptCount val="32"/>
                <c:pt idx="0">
                  <c:v>México</c:v>
                </c:pt>
                <c:pt idx="1">
                  <c:v>CDMX</c:v>
                </c:pt>
                <c:pt idx="2">
                  <c:v>Nuevo León</c:v>
                </c:pt>
                <c:pt idx="3">
                  <c:v>Jalisco</c:v>
                </c:pt>
                <c:pt idx="4">
                  <c:v>Guanajuato</c:v>
                </c:pt>
                <c:pt idx="5">
                  <c:v>Hidalgo</c:v>
                </c:pt>
                <c:pt idx="6">
                  <c:v>Quintana Roo</c:v>
                </c:pt>
                <c:pt idx="7">
                  <c:v>Querétaro</c:v>
                </c:pt>
                <c:pt idx="8">
                  <c:v>Baja California Sur</c:v>
                </c:pt>
                <c:pt idx="9">
                  <c:v>Baja California</c:v>
                </c:pt>
                <c:pt idx="10">
                  <c:v>Campeche</c:v>
                </c:pt>
                <c:pt idx="11">
                  <c:v>Aguascalientes</c:v>
                </c:pt>
                <c:pt idx="12">
                  <c:v>Chihuahua</c:v>
                </c:pt>
                <c:pt idx="13">
                  <c:v>San Luis Potosí</c:v>
                </c:pt>
                <c:pt idx="14">
                  <c:v>Michoacán</c:v>
                </c:pt>
                <c:pt idx="15">
                  <c:v>Colima</c:v>
                </c:pt>
                <c:pt idx="16">
                  <c:v>Nayarit</c:v>
                </c:pt>
                <c:pt idx="17">
                  <c:v>Durango</c:v>
                </c:pt>
                <c:pt idx="18">
                  <c:v>Sonora</c:v>
                </c:pt>
                <c:pt idx="19">
                  <c:v>Tlaxcala</c:v>
                </c:pt>
                <c:pt idx="20">
                  <c:v>Yucatán</c:v>
                </c:pt>
                <c:pt idx="21">
                  <c:v>Morelos</c:v>
                </c:pt>
                <c:pt idx="22">
                  <c:v>Zacatecas</c:v>
                </c:pt>
                <c:pt idx="23">
                  <c:v>Tamaulipas</c:v>
                </c:pt>
                <c:pt idx="24">
                  <c:v>Guerrero</c:v>
                </c:pt>
                <c:pt idx="25">
                  <c:v>Coahuila</c:v>
                </c:pt>
                <c:pt idx="26">
                  <c:v>Puebla</c:v>
                </c:pt>
                <c:pt idx="27">
                  <c:v>Chiapas</c:v>
                </c:pt>
                <c:pt idx="28">
                  <c:v>Oaxaca</c:v>
                </c:pt>
                <c:pt idx="29">
                  <c:v>Veracruz</c:v>
                </c:pt>
                <c:pt idx="30">
                  <c:v>Tabasco</c:v>
                </c:pt>
                <c:pt idx="31">
                  <c:v>Sinaloa</c:v>
                </c:pt>
              </c:strCache>
            </c:strRef>
          </c:cat>
          <c:val>
            <c:numRef>
              <c:f>Empleo!$I$7:$I$38</c:f>
              <c:numCache>
                <c:formatCode>#,##0_ ;[Red]\-#,##0\ </c:formatCode>
                <c:ptCount val="32"/>
                <c:pt idx="0">
                  <c:v>121528</c:v>
                </c:pt>
                <c:pt idx="1">
                  <c:v>69064</c:v>
                </c:pt>
                <c:pt idx="2">
                  <c:v>45417</c:v>
                </c:pt>
                <c:pt idx="3">
                  <c:v>30722</c:v>
                </c:pt>
                <c:pt idx="4">
                  <c:v>16427</c:v>
                </c:pt>
                <c:pt idx="5">
                  <c:v>13891</c:v>
                </c:pt>
                <c:pt idx="6">
                  <c:v>12607</c:v>
                </c:pt>
                <c:pt idx="7">
                  <c:v>11840</c:v>
                </c:pt>
                <c:pt idx="8">
                  <c:v>8861</c:v>
                </c:pt>
                <c:pt idx="9">
                  <c:v>8726</c:v>
                </c:pt>
                <c:pt idx="10">
                  <c:v>7163</c:v>
                </c:pt>
                <c:pt idx="11">
                  <c:v>6751</c:v>
                </c:pt>
                <c:pt idx="12">
                  <c:v>6316</c:v>
                </c:pt>
                <c:pt idx="13">
                  <c:v>5973</c:v>
                </c:pt>
                <c:pt idx="14">
                  <c:v>5381</c:v>
                </c:pt>
                <c:pt idx="15">
                  <c:v>3895</c:v>
                </c:pt>
                <c:pt idx="16">
                  <c:v>2913</c:v>
                </c:pt>
                <c:pt idx="17">
                  <c:v>2593</c:v>
                </c:pt>
                <c:pt idx="18">
                  <c:v>2094</c:v>
                </c:pt>
                <c:pt idx="19">
                  <c:v>811</c:v>
                </c:pt>
                <c:pt idx="20">
                  <c:v>-89</c:v>
                </c:pt>
                <c:pt idx="21">
                  <c:v>-315</c:v>
                </c:pt>
                <c:pt idx="22">
                  <c:v>-743</c:v>
                </c:pt>
                <c:pt idx="23">
                  <c:v>-1591</c:v>
                </c:pt>
                <c:pt idx="24">
                  <c:v>-2681</c:v>
                </c:pt>
                <c:pt idx="25">
                  <c:v>-3478</c:v>
                </c:pt>
                <c:pt idx="26">
                  <c:v>-3524</c:v>
                </c:pt>
                <c:pt idx="27">
                  <c:v>-4471</c:v>
                </c:pt>
                <c:pt idx="28">
                  <c:v>-5399</c:v>
                </c:pt>
                <c:pt idx="29">
                  <c:v>-8208</c:v>
                </c:pt>
                <c:pt idx="30">
                  <c:v>-8497</c:v>
                </c:pt>
                <c:pt idx="31">
                  <c:v>-10674</c:v>
                </c:pt>
              </c:numCache>
            </c:numRef>
          </c:val>
          <c:extLst>
            <c:ext xmlns:c16="http://schemas.microsoft.com/office/drawing/2014/chart" uri="{C3380CC4-5D6E-409C-BE32-E72D297353CC}">
              <c16:uniqueId val="{00000021-0129-4A67-8E1F-A93388E44AE1}"/>
            </c:ext>
          </c:extLst>
        </c:ser>
        <c:dLbls>
          <c:showLegendKey val="0"/>
          <c:showVal val="0"/>
          <c:showCatName val="0"/>
          <c:showSerName val="0"/>
          <c:showPercent val="0"/>
          <c:showBubbleSize val="0"/>
        </c:dLbls>
        <c:gapWidth val="36"/>
        <c:overlap val="57"/>
        <c:axId val="432221696"/>
        <c:axId val="456929216"/>
        <c:extLst>
          <c:ext xmlns:c15="http://schemas.microsoft.com/office/drawing/2012/chart" uri="{02D57815-91ED-43cb-92C2-25804820EDAC}">
            <c15:filteredBarSeries>
              <c15:ser>
                <c:idx val="1"/>
                <c:order val="1"/>
                <c:tx>
                  <c:strRef>
                    <c:extLst>
                      <c:ext uri="{02D57815-91ED-43cb-92C2-25804820EDAC}">
                        <c15:formulaRef>
                          <c15:sqref>Empleo!$J$5</c15:sqref>
                        </c15:formulaRef>
                      </c:ext>
                    </c:extLst>
                    <c:strCache>
                      <c:ptCount val="1"/>
                      <c:pt idx="0">
                        <c:v>%</c:v>
                      </c:pt>
                    </c:strCache>
                  </c:strRef>
                </c:tx>
                <c:spPr>
                  <a:solidFill>
                    <a:schemeClr val="accent2"/>
                  </a:solidFill>
                  <a:ln>
                    <a:noFill/>
                  </a:ln>
                  <a:effectLst/>
                </c:spPr>
                <c:invertIfNegative val="0"/>
                <c:cat>
                  <c:strRef>
                    <c:extLst>
                      <c:ext uri="{02D57815-91ED-43cb-92C2-25804820EDAC}">
                        <c15:formulaRef>
                          <c15:sqref>Empleo!$H$7:$H$38</c15:sqref>
                        </c15:formulaRef>
                      </c:ext>
                    </c:extLst>
                    <c:strCache>
                      <c:ptCount val="32"/>
                      <c:pt idx="0">
                        <c:v>México</c:v>
                      </c:pt>
                      <c:pt idx="1">
                        <c:v>CDMX</c:v>
                      </c:pt>
                      <c:pt idx="2">
                        <c:v>Nuevo León</c:v>
                      </c:pt>
                      <c:pt idx="3">
                        <c:v>Jalisco</c:v>
                      </c:pt>
                      <c:pt idx="4">
                        <c:v>Guanajuato</c:v>
                      </c:pt>
                      <c:pt idx="5">
                        <c:v>Hidalgo</c:v>
                      </c:pt>
                      <c:pt idx="6">
                        <c:v>Quintana Roo</c:v>
                      </c:pt>
                      <c:pt idx="7">
                        <c:v>Querétaro</c:v>
                      </c:pt>
                      <c:pt idx="8">
                        <c:v>Baja California Sur</c:v>
                      </c:pt>
                      <c:pt idx="9">
                        <c:v>Baja California</c:v>
                      </c:pt>
                      <c:pt idx="10">
                        <c:v>Campeche</c:v>
                      </c:pt>
                      <c:pt idx="11">
                        <c:v>Aguascalientes</c:v>
                      </c:pt>
                      <c:pt idx="12">
                        <c:v>Chihuahua</c:v>
                      </c:pt>
                      <c:pt idx="13">
                        <c:v>San Luis Potosí</c:v>
                      </c:pt>
                      <c:pt idx="14">
                        <c:v>Michoacán</c:v>
                      </c:pt>
                      <c:pt idx="15">
                        <c:v>Colima</c:v>
                      </c:pt>
                      <c:pt idx="16">
                        <c:v>Nayarit</c:v>
                      </c:pt>
                      <c:pt idx="17">
                        <c:v>Durango</c:v>
                      </c:pt>
                      <c:pt idx="18">
                        <c:v>Sonora</c:v>
                      </c:pt>
                      <c:pt idx="19">
                        <c:v>Tlaxcala</c:v>
                      </c:pt>
                      <c:pt idx="20">
                        <c:v>Yucatán</c:v>
                      </c:pt>
                      <c:pt idx="21">
                        <c:v>Morelos</c:v>
                      </c:pt>
                      <c:pt idx="22">
                        <c:v>Zacatecas</c:v>
                      </c:pt>
                      <c:pt idx="23">
                        <c:v>Tamaulipas</c:v>
                      </c:pt>
                      <c:pt idx="24">
                        <c:v>Guerrero</c:v>
                      </c:pt>
                      <c:pt idx="25">
                        <c:v>Coahuila</c:v>
                      </c:pt>
                      <c:pt idx="26">
                        <c:v>Puebla</c:v>
                      </c:pt>
                      <c:pt idx="27">
                        <c:v>Chiapas</c:v>
                      </c:pt>
                      <c:pt idx="28">
                        <c:v>Oaxaca</c:v>
                      </c:pt>
                      <c:pt idx="29">
                        <c:v>Veracruz</c:v>
                      </c:pt>
                      <c:pt idx="30">
                        <c:v>Tabasco</c:v>
                      </c:pt>
                      <c:pt idx="31">
                        <c:v>Sinaloa</c:v>
                      </c:pt>
                    </c:strCache>
                  </c:strRef>
                </c:cat>
                <c:val>
                  <c:numRef>
                    <c:extLst>
                      <c:ext uri="{02D57815-91ED-43cb-92C2-25804820EDAC}">
                        <c15:formulaRef>
                          <c15:sqref>Empleo!$J$7:$J$24</c15:sqref>
                        </c15:formulaRef>
                      </c:ext>
                    </c:extLst>
                    <c:numCache>
                      <c:formatCode>0.0%</c:formatCode>
                      <c:ptCount val="18"/>
                      <c:pt idx="0">
                        <c:v>0.36461718016339489</c:v>
                      </c:pt>
                      <c:pt idx="1">
                        <c:v>0.2072108561879131</c:v>
                      </c:pt>
                      <c:pt idx="2">
                        <c:v>0.13626339996939721</c:v>
                      </c:pt>
                      <c:pt idx="3">
                        <c:v>9.2174387869296104E-2</c:v>
                      </c:pt>
                      <c:pt idx="4">
                        <c:v>4.9285484979133098E-2</c:v>
                      </c:pt>
                      <c:pt idx="5">
                        <c:v>4.1676792588125518E-2</c:v>
                      </c:pt>
                      <c:pt idx="6">
                        <c:v>3.7824442024224206E-2</c:v>
                      </c:pt>
                      <c:pt idx="7">
                        <c:v>3.5523232614167892E-2</c:v>
                      </c:pt>
                      <c:pt idx="8">
                        <c:v>2.6585419273153856E-2</c:v>
                      </c:pt>
                      <c:pt idx="9">
                        <c:v>2.6180382414799745E-2</c:v>
                      </c:pt>
                      <c:pt idx="10">
                        <c:v>2.1490955676966603E-2</c:v>
                      </c:pt>
                      <c:pt idx="11">
                        <c:v>2.0254843190730357E-2</c:v>
                      </c:pt>
                      <c:pt idx="12">
                        <c:v>1.8949724424922668E-2</c:v>
                      </c:pt>
                      <c:pt idx="13">
                        <c:v>1.7920630777400744E-2</c:v>
                      </c:pt>
                      <c:pt idx="14">
                        <c:v>1.6144469146692347E-2</c:v>
                      </c:pt>
                      <c:pt idx="15">
                        <c:v>1.1686063431772292E-2</c:v>
                      </c:pt>
                      <c:pt idx="16">
                        <c:v>8.7397953213742448E-3</c:v>
                      </c:pt>
                      <c:pt idx="17">
                        <c:v>7.7797079534237612E-3</c:v>
                      </c:pt>
                    </c:numCache>
                  </c:numRef>
                </c:val>
                <c:extLst>
                  <c:ext xmlns:c16="http://schemas.microsoft.com/office/drawing/2014/chart" uri="{C3380CC4-5D6E-409C-BE32-E72D297353CC}">
                    <c16:uniqueId val="{00000022-0129-4A67-8E1F-A93388E44AE1}"/>
                  </c:ext>
                </c:extLst>
              </c15:ser>
            </c15:filteredBarSeries>
          </c:ext>
        </c:extLst>
      </c:barChart>
      <c:catAx>
        <c:axId val="432221696"/>
        <c:scaling>
          <c:orientation val="minMax"/>
        </c:scaling>
        <c:delete val="0"/>
        <c:axPos val="b"/>
        <c:numFmt formatCode="General" sourceLinked="0"/>
        <c:majorTickMark val="out"/>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b" anchorCtr="0"/>
          <a:lstStyle/>
          <a:p>
            <a:pPr>
              <a:defRPr sz="550" b="0" i="0" u="none" strike="noStrike" kern="1200" baseline="0">
                <a:solidFill>
                  <a:sysClr val="windowText" lastClr="000000"/>
                </a:solidFill>
                <a:latin typeface="Montserrat" panose="00000500000000000000" pitchFamily="2" charset="0"/>
                <a:ea typeface="+mn-ea"/>
                <a:cs typeface="+mn-cs"/>
              </a:defRPr>
            </a:pPr>
            <a:endParaRPr lang="es-MX"/>
          </a:p>
        </c:txPr>
        <c:crossAx val="456929216"/>
        <c:crosses val="autoZero"/>
        <c:auto val="1"/>
        <c:lblAlgn val="ctr"/>
        <c:lblOffset val="800"/>
        <c:tickLblSkip val="1"/>
        <c:noMultiLvlLbl val="0"/>
      </c:catAx>
      <c:valAx>
        <c:axId val="456929216"/>
        <c:scaling>
          <c:orientation val="minMax"/>
          <c:max val="130000"/>
          <c:min val="-20000"/>
        </c:scaling>
        <c:delete val="1"/>
        <c:axPos val="l"/>
        <c:numFmt formatCode="#,##0_ ;[Red]\-#,##0\ " sourceLinked="1"/>
        <c:majorTickMark val="out"/>
        <c:minorTickMark val="none"/>
        <c:tickLblPos val="nextTo"/>
        <c:crossAx val="432221696"/>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MX"/>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100" b="0" i="0" u="none" strike="noStrike" kern="1200" spc="0" baseline="0">
                <a:solidFill>
                  <a:sysClr val="windowText" lastClr="000000"/>
                </a:solidFill>
                <a:latin typeface="Montserrat" panose="00000500000000000000" pitchFamily="2" charset="0"/>
                <a:ea typeface="+mn-ea"/>
                <a:cs typeface="+mn-cs"/>
              </a:defRPr>
            </a:pPr>
            <a:r>
              <a:rPr lang="es-MX" sz="1000" b="1">
                <a:solidFill>
                  <a:sysClr val="windowText" lastClr="000000"/>
                </a:solidFill>
                <a:latin typeface="Gotham Book" panose="02000603040000020004" pitchFamily="2" charset="0"/>
              </a:rPr>
              <a:t>Ingresos Propios 2020-2024</a:t>
            </a:r>
          </a:p>
          <a:p>
            <a:pPr algn="l">
              <a:defRPr sz="1100" b="0" i="0" u="none" strike="noStrike" kern="1200" spc="0" baseline="0">
                <a:solidFill>
                  <a:sysClr val="windowText" lastClr="000000"/>
                </a:solidFill>
                <a:latin typeface="Montserrat" panose="00000500000000000000" pitchFamily="2" charset="0"/>
                <a:ea typeface="+mn-ea"/>
                <a:cs typeface="+mn-cs"/>
              </a:defRPr>
            </a:pPr>
            <a:r>
              <a:rPr lang="es-MX" sz="1000" i="1">
                <a:solidFill>
                  <a:sysClr val="windowText" lastClr="000000"/>
                </a:solidFill>
                <a:latin typeface="Gotham Book" panose="02000603040000020004" pitchFamily="2" charset="0"/>
              </a:rPr>
              <a:t>(Millones de pesos)</a:t>
            </a:r>
          </a:p>
        </c:rich>
      </c:tx>
      <c:layout>
        <c:manualLayout>
          <c:xMode val="edge"/>
          <c:yMode val="edge"/>
          <c:x val="1.5680299544521405E-2"/>
          <c:y val="2.7777777777777776E-2"/>
        </c:manualLayout>
      </c:layout>
      <c:overlay val="0"/>
      <c:spPr>
        <a:noFill/>
        <a:ln>
          <a:noFill/>
        </a:ln>
        <a:effectLst/>
      </c:spPr>
    </c:title>
    <c:autoTitleDeleted val="0"/>
    <c:plotArea>
      <c:layout/>
      <c:barChart>
        <c:barDir val="col"/>
        <c:grouping val="clustered"/>
        <c:varyColors val="0"/>
        <c:ser>
          <c:idx val="0"/>
          <c:order val="0"/>
          <c:spPr>
            <a:solidFill>
              <a:schemeClr val="bg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ontserrat" panose="00000500000000000000" pitchFamily="2" charset="0"/>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'LIEM CP (2011-2025)'!$AH$7:$AL$8</c:f>
              <c:multiLvlStrCache>
                <c:ptCount val="5"/>
                <c:lvl>
                  <c:pt idx="0">
                    <c:v>2020</c:v>
                  </c:pt>
                  <c:pt idx="1">
                    <c:v>2021</c:v>
                  </c:pt>
                  <c:pt idx="2">
                    <c:v>2022</c:v>
                  </c:pt>
                  <c:pt idx="3">
                    <c:v>2023</c:v>
                  </c:pt>
                  <c:pt idx="4">
                    <c:v>2024</c:v>
                  </c:pt>
                </c:lvl>
                <c:lvl>
                  <c:pt idx="0">
                    <c:v>Cuenta Pública</c:v>
                  </c:pt>
                </c:lvl>
              </c:multiLvlStrCache>
            </c:multiLvlStrRef>
          </c:cat>
          <c:val>
            <c:numRef>
              <c:f>'LIEM CP (2011-2025)'!$AH$14:$AL$14</c:f>
              <c:numCache>
                <c:formatCode>#,##0</c:formatCode>
                <c:ptCount val="5"/>
                <c:pt idx="0">
                  <c:v>34088.092953489999</c:v>
                </c:pt>
                <c:pt idx="1">
                  <c:v>41132.942598859998</c:v>
                </c:pt>
                <c:pt idx="2">
                  <c:v>43760.695748869999</c:v>
                </c:pt>
                <c:pt idx="3">
                  <c:v>49535.234375009997</c:v>
                </c:pt>
                <c:pt idx="4">
                  <c:v>56083.375940179998</c:v>
                </c:pt>
              </c:numCache>
            </c:numRef>
          </c:val>
          <c:extLst>
            <c:ext xmlns:c16="http://schemas.microsoft.com/office/drawing/2014/chart" uri="{C3380CC4-5D6E-409C-BE32-E72D297353CC}">
              <c16:uniqueId val="{00000000-9290-48BB-B72B-7F5B401A5D78}"/>
            </c:ext>
          </c:extLst>
        </c:ser>
        <c:dLbls>
          <c:dLblPos val="outEnd"/>
          <c:showLegendKey val="0"/>
          <c:showVal val="1"/>
          <c:showCatName val="0"/>
          <c:showSerName val="0"/>
          <c:showPercent val="0"/>
          <c:showBubbleSize val="0"/>
        </c:dLbls>
        <c:gapWidth val="219"/>
        <c:overlap val="-27"/>
        <c:axId val="432219136"/>
        <c:axId val="456931520"/>
      </c:barChart>
      <c:catAx>
        <c:axId val="432219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s-MX"/>
          </a:p>
        </c:txPr>
        <c:crossAx val="456931520"/>
        <c:crosses val="autoZero"/>
        <c:auto val="1"/>
        <c:lblAlgn val="ctr"/>
        <c:lblOffset val="100"/>
        <c:noMultiLvlLbl val="0"/>
      </c:catAx>
      <c:valAx>
        <c:axId val="456931520"/>
        <c:scaling>
          <c:orientation val="minMax"/>
        </c:scaling>
        <c:delete val="1"/>
        <c:axPos val="l"/>
        <c:numFmt formatCode="#,##0" sourceLinked="1"/>
        <c:majorTickMark val="none"/>
        <c:minorTickMark val="none"/>
        <c:tickLblPos val="nextTo"/>
        <c:crossAx val="4322191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MX"/>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100" b="0" i="0" u="none" strike="noStrike" kern="1200" spc="0" baseline="0">
                <a:solidFill>
                  <a:sysClr val="windowText" lastClr="000000"/>
                </a:solidFill>
                <a:latin typeface="Montserrat" panose="00000500000000000000" pitchFamily="2" charset="0"/>
                <a:ea typeface="+mn-ea"/>
                <a:cs typeface="+mn-cs"/>
              </a:defRPr>
            </a:pPr>
            <a:r>
              <a:rPr lang="es-MX" sz="1000" b="1">
                <a:solidFill>
                  <a:sysClr val="windowText" lastClr="000000"/>
                </a:solidFill>
                <a:latin typeface="Gotham Book" panose="02000603040000020004" pitchFamily="2" charset="0"/>
              </a:rPr>
              <a:t>Participaciones Federales 2020-2024</a:t>
            </a:r>
          </a:p>
          <a:p>
            <a:pPr algn="l">
              <a:defRPr sz="1100" b="0" i="0" u="none" strike="noStrike" kern="1200" spc="0" baseline="0">
                <a:solidFill>
                  <a:sysClr val="windowText" lastClr="000000"/>
                </a:solidFill>
                <a:latin typeface="Montserrat" panose="00000500000000000000" pitchFamily="2" charset="0"/>
                <a:ea typeface="+mn-ea"/>
                <a:cs typeface="+mn-cs"/>
              </a:defRPr>
            </a:pPr>
            <a:r>
              <a:rPr lang="es-MX" sz="1000" i="1">
                <a:solidFill>
                  <a:sysClr val="windowText" lastClr="000000"/>
                </a:solidFill>
                <a:latin typeface="Gotham Book" panose="02000603040000020004" pitchFamily="2" charset="0"/>
              </a:rPr>
              <a:t>(Millones de pesos)</a:t>
            </a:r>
          </a:p>
        </c:rich>
      </c:tx>
      <c:layout>
        <c:manualLayout>
          <c:xMode val="edge"/>
          <c:yMode val="edge"/>
          <c:x val="3.0248802472155736E-2"/>
          <c:y val="2.3148148148148147E-2"/>
        </c:manualLayout>
      </c:layout>
      <c:overlay val="0"/>
      <c:spPr>
        <a:noFill/>
        <a:ln>
          <a:noFill/>
        </a:ln>
        <a:effectLst/>
      </c:spPr>
    </c:title>
    <c:autoTitleDeleted val="0"/>
    <c:plotArea>
      <c:layout/>
      <c:barChart>
        <c:barDir val="col"/>
        <c:grouping val="clustered"/>
        <c:varyColors val="0"/>
        <c:ser>
          <c:idx val="0"/>
          <c:order val="0"/>
          <c:spPr>
            <a:solidFill>
              <a:schemeClr val="bg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ontserrat" panose="00000500000000000000" pitchFamily="2" charset="0"/>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'LIEM CP (2011-2025)'!$AH$34:$AL$35</c:f>
              <c:multiLvlStrCache>
                <c:ptCount val="5"/>
                <c:lvl>
                  <c:pt idx="0">
                    <c:v>2020</c:v>
                  </c:pt>
                  <c:pt idx="1">
                    <c:v>2021</c:v>
                  </c:pt>
                  <c:pt idx="2">
                    <c:v>2022</c:v>
                  </c:pt>
                  <c:pt idx="3">
                    <c:v>2023</c:v>
                  </c:pt>
                  <c:pt idx="4">
                    <c:v>2024</c:v>
                  </c:pt>
                </c:lvl>
                <c:lvl>
                  <c:pt idx="0">
                    <c:v>Cuenta Pública</c:v>
                  </c:pt>
                </c:lvl>
              </c:multiLvlStrCache>
            </c:multiLvlStrRef>
          </c:cat>
          <c:val>
            <c:numRef>
              <c:f>'LIEM CP (2011-2025)'!$AH$36:$AL$36</c:f>
              <c:numCache>
                <c:formatCode>#,##0</c:formatCode>
                <c:ptCount val="5"/>
                <c:pt idx="0">
                  <c:v>109364.2766467211</c:v>
                </c:pt>
                <c:pt idx="1">
                  <c:v>118605.891882</c:v>
                </c:pt>
                <c:pt idx="2">
                  <c:v>133058.34742400001</c:v>
                </c:pt>
                <c:pt idx="3">
                  <c:v>143043.71610200001</c:v>
                </c:pt>
                <c:pt idx="4">
                  <c:v>153774.68972600001</c:v>
                </c:pt>
              </c:numCache>
            </c:numRef>
          </c:val>
          <c:extLst>
            <c:ext xmlns:c16="http://schemas.microsoft.com/office/drawing/2014/chart" uri="{C3380CC4-5D6E-409C-BE32-E72D297353CC}">
              <c16:uniqueId val="{00000000-3AF9-4CA9-B8B3-DB860B55E0EE}"/>
            </c:ext>
          </c:extLst>
        </c:ser>
        <c:dLbls>
          <c:dLblPos val="outEnd"/>
          <c:showLegendKey val="0"/>
          <c:showVal val="1"/>
          <c:showCatName val="0"/>
          <c:showSerName val="0"/>
          <c:showPercent val="0"/>
          <c:showBubbleSize val="0"/>
        </c:dLbls>
        <c:gapWidth val="219"/>
        <c:overlap val="-27"/>
        <c:axId val="432219648"/>
        <c:axId val="456966144"/>
      </c:barChart>
      <c:catAx>
        <c:axId val="432219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ontserrat" panose="00000500000000000000" pitchFamily="2" charset="0"/>
                <a:ea typeface="+mn-ea"/>
                <a:cs typeface="+mn-cs"/>
              </a:defRPr>
            </a:pPr>
            <a:endParaRPr lang="es-MX"/>
          </a:p>
        </c:txPr>
        <c:crossAx val="456966144"/>
        <c:crosses val="autoZero"/>
        <c:auto val="1"/>
        <c:lblAlgn val="ctr"/>
        <c:lblOffset val="100"/>
        <c:noMultiLvlLbl val="0"/>
      </c:catAx>
      <c:valAx>
        <c:axId val="456966144"/>
        <c:scaling>
          <c:orientation val="minMax"/>
        </c:scaling>
        <c:delete val="1"/>
        <c:axPos val="l"/>
        <c:numFmt formatCode="#,##0" sourceLinked="1"/>
        <c:majorTickMark val="none"/>
        <c:minorTickMark val="none"/>
        <c:tickLblPos val="nextTo"/>
        <c:crossAx val="4322196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MX"/>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ersonalizado 1">
    <a:dk1>
      <a:sysClr val="windowText" lastClr="000000"/>
    </a:dk1>
    <a:lt1>
      <a:sysClr val="window" lastClr="FFFFFF"/>
    </a:lt1>
    <a:dk2>
      <a:srgbClr val="7F7F7F"/>
    </a:dk2>
    <a:lt2>
      <a:srgbClr val="F2F2F2"/>
    </a:lt2>
    <a:accent1>
      <a:srgbClr val="8A2035"/>
    </a:accent1>
    <a:accent2>
      <a:srgbClr val="B99056"/>
    </a:accent2>
    <a:accent3>
      <a:srgbClr val="DAC4A2"/>
    </a:accent3>
    <a:accent4>
      <a:srgbClr val="FFC000"/>
    </a:accent4>
    <a:accent5>
      <a:srgbClr val="FF9900"/>
    </a:accent5>
    <a:accent6>
      <a:srgbClr val="D9D9D9"/>
    </a:accent6>
    <a:hlink>
      <a:srgbClr val="0563C1"/>
    </a:hlink>
    <a:folHlink>
      <a:srgbClr val="7F7F7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ersonalizado 1">
    <a:dk1>
      <a:sysClr val="windowText" lastClr="000000"/>
    </a:dk1>
    <a:lt1>
      <a:sysClr val="window" lastClr="FFFFFF"/>
    </a:lt1>
    <a:dk2>
      <a:srgbClr val="7F7F7F"/>
    </a:dk2>
    <a:lt2>
      <a:srgbClr val="F2F2F2"/>
    </a:lt2>
    <a:accent1>
      <a:srgbClr val="8A2035"/>
    </a:accent1>
    <a:accent2>
      <a:srgbClr val="B99056"/>
    </a:accent2>
    <a:accent3>
      <a:srgbClr val="DAC4A2"/>
    </a:accent3>
    <a:accent4>
      <a:srgbClr val="FFC000"/>
    </a:accent4>
    <a:accent5>
      <a:srgbClr val="FF9900"/>
    </a:accent5>
    <a:accent6>
      <a:srgbClr val="D9D9D9"/>
    </a:accent6>
    <a:hlink>
      <a:srgbClr val="0563C1"/>
    </a:hlink>
    <a:folHlink>
      <a:srgbClr val="7F7F7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ersonalizado 1">
    <a:dk1>
      <a:sysClr val="windowText" lastClr="000000"/>
    </a:dk1>
    <a:lt1>
      <a:sysClr val="window" lastClr="FFFFFF"/>
    </a:lt1>
    <a:dk2>
      <a:srgbClr val="7F7F7F"/>
    </a:dk2>
    <a:lt2>
      <a:srgbClr val="F2F2F2"/>
    </a:lt2>
    <a:accent1>
      <a:srgbClr val="8A2035"/>
    </a:accent1>
    <a:accent2>
      <a:srgbClr val="B99056"/>
    </a:accent2>
    <a:accent3>
      <a:srgbClr val="DAC4A2"/>
    </a:accent3>
    <a:accent4>
      <a:srgbClr val="FFC000"/>
    </a:accent4>
    <a:accent5>
      <a:srgbClr val="FF9900"/>
    </a:accent5>
    <a:accent6>
      <a:srgbClr val="D9D9D9"/>
    </a:accent6>
    <a:hlink>
      <a:srgbClr val="0563C1"/>
    </a:hlink>
    <a:folHlink>
      <a:srgbClr val="7F7F7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ersonalizado 1">
    <a:dk1>
      <a:sysClr val="windowText" lastClr="000000"/>
    </a:dk1>
    <a:lt1>
      <a:sysClr val="window" lastClr="FFFFFF"/>
    </a:lt1>
    <a:dk2>
      <a:srgbClr val="7F7F7F"/>
    </a:dk2>
    <a:lt2>
      <a:srgbClr val="F2F2F2"/>
    </a:lt2>
    <a:accent1>
      <a:srgbClr val="8A2035"/>
    </a:accent1>
    <a:accent2>
      <a:srgbClr val="B99056"/>
    </a:accent2>
    <a:accent3>
      <a:srgbClr val="DAC4A2"/>
    </a:accent3>
    <a:accent4>
      <a:srgbClr val="FFC000"/>
    </a:accent4>
    <a:accent5>
      <a:srgbClr val="FF9900"/>
    </a:accent5>
    <a:accent6>
      <a:srgbClr val="D9D9D9"/>
    </a:accent6>
    <a:hlink>
      <a:srgbClr val="0563C1"/>
    </a:hlink>
    <a:folHlink>
      <a:srgbClr val="7F7F7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ersonalizado 1">
    <a:dk1>
      <a:sysClr val="windowText" lastClr="000000"/>
    </a:dk1>
    <a:lt1>
      <a:sysClr val="window" lastClr="FFFFFF"/>
    </a:lt1>
    <a:dk2>
      <a:srgbClr val="7F7F7F"/>
    </a:dk2>
    <a:lt2>
      <a:srgbClr val="F2F2F2"/>
    </a:lt2>
    <a:accent1>
      <a:srgbClr val="8A2035"/>
    </a:accent1>
    <a:accent2>
      <a:srgbClr val="B99056"/>
    </a:accent2>
    <a:accent3>
      <a:srgbClr val="DAC4A2"/>
    </a:accent3>
    <a:accent4>
      <a:srgbClr val="FFC000"/>
    </a:accent4>
    <a:accent5>
      <a:srgbClr val="FF9900"/>
    </a:accent5>
    <a:accent6>
      <a:srgbClr val="D9D9D9"/>
    </a:accent6>
    <a:hlink>
      <a:srgbClr val="0563C1"/>
    </a:hlink>
    <a:folHlink>
      <a:srgbClr val="7F7F7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ersonalizado 1">
    <a:dk1>
      <a:sysClr val="windowText" lastClr="000000"/>
    </a:dk1>
    <a:lt1>
      <a:sysClr val="window" lastClr="FFFFFF"/>
    </a:lt1>
    <a:dk2>
      <a:srgbClr val="7F7F7F"/>
    </a:dk2>
    <a:lt2>
      <a:srgbClr val="F2F2F2"/>
    </a:lt2>
    <a:accent1>
      <a:srgbClr val="8A2035"/>
    </a:accent1>
    <a:accent2>
      <a:srgbClr val="B99056"/>
    </a:accent2>
    <a:accent3>
      <a:srgbClr val="DAC4A2"/>
    </a:accent3>
    <a:accent4>
      <a:srgbClr val="FFC000"/>
    </a:accent4>
    <a:accent5>
      <a:srgbClr val="FF9900"/>
    </a:accent5>
    <a:accent6>
      <a:srgbClr val="D9D9D9"/>
    </a:accent6>
    <a:hlink>
      <a:srgbClr val="0563C1"/>
    </a:hlink>
    <a:folHlink>
      <a:srgbClr val="7F7F7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732</TotalTime>
  <Pages>369</Pages>
  <Words>167782</Words>
  <Characters>922802</Characters>
  <Application>Microsoft Office Word</Application>
  <DocSecurity>0</DocSecurity>
  <Lines>7690</Lines>
  <Paragraphs>2176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1088408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133</cp:revision>
  <dcterms:created xsi:type="dcterms:W3CDTF">2025-11-20T19:43:00Z</dcterms:created>
  <dcterms:modified xsi:type="dcterms:W3CDTF">2025-11-26T22:42:00Z</dcterms:modified>
</cp:coreProperties>
</file>