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DC4DD" w14:textId="77777777" w:rsidR="00CB02B4" w:rsidRDefault="00CB02B4" w:rsidP="00CB0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 xml:space="preserve">LEY DE GOBIERNO DE COALICIÓN, REGLAMENTARIA DE LOS </w:t>
      </w:r>
    </w:p>
    <w:p w14:paraId="687DC4DE" w14:textId="77777777" w:rsidR="00CB02B4" w:rsidRDefault="00CB02B4" w:rsidP="00CB0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 xml:space="preserve">ARTÍCULOS 61 FRACCIÓN LI Y 77 FRACCIÓN XLVIII DE LA CONSTITUCIÓN </w:t>
      </w:r>
    </w:p>
    <w:p w14:paraId="687DC4DF" w14:textId="77777777" w:rsidR="00CB02B4" w:rsidRPr="000B6151" w:rsidRDefault="00CB02B4" w:rsidP="00CB0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POLÍTICA DEL ESTADO LIBRE Y SOBERANO DE MÉXICO.</w:t>
      </w:r>
    </w:p>
    <w:p w14:paraId="687DC4E0" w14:textId="77777777" w:rsidR="00CB02B4" w:rsidRDefault="00CB02B4" w:rsidP="00CB0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687DC4E1" w14:textId="77777777" w:rsidR="00CB02B4" w:rsidRPr="000B6151" w:rsidRDefault="00CB02B4" w:rsidP="00CB0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Capítulo I</w:t>
      </w:r>
    </w:p>
    <w:p w14:paraId="687DC4E2" w14:textId="77777777" w:rsidR="00CB02B4" w:rsidRPr="000B6151" w:rsidRDefault="00CB02B4" w:rsidP="00CB0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Disposiciones Generales</w:t>
      </w:r>
    </w:p>
    <w:p w14:paraId="687DC4E3" w14:textId="77777777" w:rsidR="00CB02B4" w:rsidRDefault="00CB02B4" w:rsidP="00CB02B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687DC4E4" w14:textId="77777777" w:rsidR="00CB02B4" w:rsidRPr="000B6151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Artículo 1.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 La presente ley es reglamentaria de la fracción LI del artículo 61 y de la fracción XLVIII del artículo 77 de la Constitución Política del Estado Libre y Soberano de México en materia de gobierno de coalición. </w:t>
      </w:r>
    </w:p>
    <w:p w14:paraId="687DC4E5" w14:textId="77777777" w:rsidR="00CB02B4" w:rsidRDefault="00CB02B4" w:rsidP="00CB02B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687DC4E6" w14:textId="77777777" w:rsidR="00CB02B4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Artículo 2.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 El gobierno de coalición es un instrumento de gobernabilidad democrática y constituye un régimen plural de corresponsabilidad en el ámbito legislativo y el ejecutivo, conformado por el partido que postuló al Gobernador </w:t>
      </w:r>
      <w:r>
        <w:rPr>
          <w:rFonts w:ascii="Arial" w:hAnsi="Arial" w:cs="Arial"/>
          <w:sz w:val="24"/>
          <w:szCs w:val="24"/>
          <w:lang w:val="es-ES_tradnl"/>
        </w:rPr>
        <w:t xml:space="preserve">o Gobernadora 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del Estado y uno o varios partidos políticos cuya suma alcance una representación parlamentaria mayoritaria en la Legislatura del Estado de México.  </w:t>
      </w:r>
    </w:p>
    <w:p w14:paraId="687DC4E7" w14:textId="77777777" w:rsidR="00CB02B4" w:rsidRPr="000B6151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87DC4E8" w14:textId="77777777" w:rsidR="00CB02B4" w:rsidRPr="000B6151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Artículo 3.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 El Gobernador </w:t>
      </w:r>
      <w:r>
        <w:rPr>
          <w:rFonts w:ascii="Arial" w:hAnsi="Arial" w:cs="Arial"/>
          <w:sz w:val="24"/>
          <w:szCs w:val="24"/>
          <w:lang w:val="es-ES_tradnl"/>
        </w:rPr>
        <w:t xml:space="preserve">o Gobernadora </w:t>
      </w:r>
      <w:r w:rsidRPr="000B6151">
        <w:rPr>
          <w:rFonts w:ascii="Arial" w:hAnsi="Arial" w:cs="Arial"/>
          <w:sz w:val="24"/>
          <w:szCs w:val="24"/>
          <w:lang w:val="es-ES_tradnl"/>
        </w:rPr>
        <w:t>del Estado establecerá un gobierno de coalición en los términos de la fracción XLVIII del artículo 77 de la Constitución Política del Estado Libre y Soberano de México.</w:t>
      </w:r>
    </w:p>
    <w:p w14:paraId="687DC4E9" w14:textId="77777777" w:rsidR="00CB02B4" w:rsidRDefault="00CB02B4" w:rsidP="00CB0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687DC4EA" w14:textId="77777777" w:rsidR="00CB02B4" w:rsidRPr="000B6151" w:rsidRDefault="00CB02B4" w:rsidP="00CB0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Capítulo II</w:t>
      </w:r>
    </w:p>
    <w:p w14:paraId="687DC4EB" w14:textId="77777777" w:rsidR="00CB02B4" w:rsidRDefault="00CB02B4" w:rsidP="00CB0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Procedimiento para instaurar y disolver el Gobierno de Coalición</w:t>
      </w:r>
    </w:p>
    <w:p w14:paraId="687DC4EC" w14:textId="77777777" w:rsidR="00CB02B4" w:rsidRPr="000B6151" w:rsidRDefault="00CB02B4" w:rsidP="00CB02B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_tradnl"/>
        </w:rPr>
      </w:pPr>
    </w:p>
    <w:p w14:paraId="687DC4ED" w14:textId="77777777" w:rsidR="00CB02B4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Artículo 4.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 Cuando el Gobernador </w:t>
      </w:r>
      <w:r>
        <w:rPr>
          <w:rFonts w:ascii="Arial" w:hAnsi="Arial" w:cs="Arial"/>
          <w:sz w:val="24"/>
          <w:szCs w:val="24"/>
          <w:lang w:val="es-ES_tradnl"/>
        </w:rPr>
        <w:t xml:space="preserve">o Gobernadora 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del Estado opte por conformar un gobierno de coalición, elaborará, en conjunto con el o los partidos que integran la coalición de gobierno, el convenio y el programa respectivo en el que se fijen la orientación de sus prioridades legislativas, políticas públicas y los compromisos de gobierno. </w:t>
      </w:r>
    </w:p>
    <w:p w14:paraId="687DC4EE" w14:textId="77777777" w:rsidR="00CB02B4" w:rsidRPr="000B6151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87DC4EF" w14:textId="77777777" w:rsidR="00CB02B4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Artículo 5.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 En el convenio se establecerá la conformación del gobierno de coalición, los motivos que lo promueven, las causales y el procedimiento para la disolución del gobierno de coalición.</w:t>
      </w:r>
    </w:p>
    <w:p w14:paraId="687DC4F0" w14:textId="77777777" w:rsidR="00CB02B4" w:rsidRPr="000B6151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87DC4F1" w14:textId="77777777" w:rsidR="00CB02B4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Artículo 6.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 El Gobernador </w:t>
      </w:r>
      <w:r>
        <w:rPr>
          <w:rFonts w:ascii="Arial" w:hAnsi="Arial" w:cs="Arial"/>
          <w:sz w:val="24"/>
          <w:szCs w:val="24"/>
          <w:lang w:val="es-ES_tradnl"/>
        </w:rPr>
        <w:t xml:space="preserve">o Gobernadora </w:t>
      </w:r>
      <w:r w:rsidRPr="000B6151">
        <w:rPr>
          <w:rFonts w:ascii="Arial" w:hAnsi="Arial" w:cs="Arial"/>
          <w:sz w:val="24"/>
          <w:szCs w:val="24"/>
          <w:lang w:val="es-ES_tradnl"/>
        </w:rPr>
        <w:t>del Estado enviará a la Legislatura del Estado</w:t>
      </w:r>
      <w:r>
        <w:rPr>
          <w:rFonts w:ascii="Arial" w:hAnsi="Arial" w:cs="Arial"/>
          <w:sz w:val="24"/>
          <w:szCs w:val="24"/>
          <w:lang w:val="es-ES_tradnl"/>
        </w:rPr>
        <w:t xml:space="preserve"> en un plazo de 5 días hábiles,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 el proyecto del programa y del convenio de coalición para su aprobación en los términos de la fracción XLVIII del artículo 77 de la Constitución local y el nombramiento de las y los servidores públicos que integrarán el gobierno.</w:t>
      </w:r>
    </w:p>
    <w:p w14:paraId="687DC4F2" w14:textId="77777777" w:rsidR="00CB02B4" w:rsidRPr="000B6151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87DC4F3" w14:textId="77777777" w:rsidR="00CB02B4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 xml:space="preserve">Artículo 7. </w:t>
      </w:r>
      <w:r w:rsidRPr="000B6151">
        <w:rPr>
          <w:rFonts w:ascii="Arial" w:hAnsi="Arial" w:cs="Arial"/>
          <w:sz w:val="24"/>
          <w:szCs w:val="24"/>
          <w:lang w:val="es-ES_tradnl"/>
        </w:rPr>
        <w:t>El gobierno de coalición podrá disolverse:</w:t>
      </w:r>
    </w:p>
    <w:p w14:paraId="687DC4F4" w14:textId="77777777" w:rsidR="00CB02B4" w:rsidRPr="000B6151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87DC4F5" w14:textId="77777777" w:rsidR="00CB02B4" w:rsidRPr="000B6151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DE1E57">
        <w:rPr>
          <w:rFonts w:ascii="Arial" w:hAnsi="Arial" w:cs="Arial"/>
          <w:b/>
          <w:sz w:val="24"/>
          <w:szCs w:val="24"/>
          <w:lang w:val="es-ES_tradnl"/>
        </w:rPr>
        <w:t>I.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 Por decisión de los partidos políticos que la conforman;</w:t>
      </w:r>
    </w:p>
    <w:p w14:paraId="687DC4F6" w14:textId="77777777" w:rsidR="00CB02B4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87DC4F7" w14:textId="77777777" w:rsidR="00CB02B4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DE1E57">
        <w:rPr>
          <w:rFonts w:ascii="Arial" w:hAnsi="Arial" w:cs="Arial"/>
          <w:b/>
          <w:sz w:val="24"/>
          <w:szCs w:val="24"/>
          <w:lang w:val="es-ES_tradnl"/>
        </w:rPr>
        <w:lastRenderedPageBreak/>
        <w:t>II.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 Por actualizarse alguna de las causas previstas en el convenio de coalición; </w:t>
      </w:r>
    </w:p>
    <w:p w14:paraId="687DC4F8" w14:textId="77777777" w:rsidR="00CB02B4" w:rsidRPr="000B6151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87DC4F9" w14:textId="77777777" w:rsidR="00CB02B4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DE1E57">
        <w:rPr>
          <w:rFonts w:ascii="Arial" w:hAnsi="Arial" w:cs="Arial"/>
          <w:b/>
          <w:sz w:val="24"/>
          <w:szCs w:val="24"/>
          <w:lang w:val="es-ES_tradnl"/>
        </w:rPr>
        <w:t>III.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 Por la salida de uno o más partidos políticos de la coalición que implique la pérdida de la mayoría parlamentaria.</w:t>
      </w:r>
    </w:p>
    <w:p w14:paraId="687DC4FA" w14:textId="77777777" w:rsidR="00CB02B4" w:rsidRPr="000B6151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87DC4FB" w14:textId="77777777" w:rsidR="00CB02B4" w:rsidRPr="000B6151" w:rsidRDefault="00CB02B4" w:rsidP="00CB0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Capítulo III</w:t>
      </w:r>
    </w:p>
    <w:p w14:paraId="687DC4FC" w14:textId="77777777" w:rsidR="00CB02B4" w:rsidRDefault="00CB02B4" w:rsidP="00CB0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 xml:space="preserve">De las facultades de la Legislatura Local para </w:t>
      </w:r>
    </w:p>
    <w:p w14:paraId="687DC4FD" w14:textId="77777777" w:rsidR="00CB02B4" w:rsidRDefault="00CB02B4" w:rsidP="00CB0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la integración del Gobierno de Coalición</w:t>
      </w:r>
    </w:p>
    <w:p w14:paraId="687DC4FE" w14:textId="77777777" w:rsidR="00CB02B4" w:rsidRPr="000B6151" w:rsidRDefault="00CB02B4" w:rsidP="00CB02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687DC4FF" w14:textId="77777777" w:rsidR="00CB02B4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Artículo 8.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 Aprobar, por mayoría de los miembros presentes, el convenio de coalición y el programa de gobierno que para tal efecto envíe el titular del Ejecutivo Local.</w:t>
      </w:r>
    </w:p>
    <w:p w14:paraId="687DC500" w14:textId="77777777" w:rsidR="00CB02B4" w:rsidRPr="000B6151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87DC501" w14:textId="77777777" w:rsidR="00CB02B4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Artículo 9.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 Una vez que la Legislatura apruebe el convenio de coalición y el programa, ratificará los nombramientos que haga el Ejecutivo Local de los servidores públicos que establece la fracción LI del artículo 61 de la Constitución del Estado Libre y Soberano de México.</w:t>
      </w:r>
    </w:p>
    <w:p w14:paraId="687DC502" w14:textId="77777777" w:rsidR="00CB02B4" w:rsidRPr="000B6151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87DC503" w14:textId="77777777" w:rsidR="00CB02B4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Artículo 10.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 La ratificación a que se refiere el artículo anterior se sujetara a lo establecido en la facción XLVIII del artículo 77 de la Constitución Local y deberá ser aprobada en un plazo de 10 días hábiles a partir del momento en que se apruebe el programa y el convenio de coalición.</w:t>
      </w:r>
    </w:p>
    <w:p w14:paraId="687DC504" w14:textId="77777777" w:rsidR="00CB02B4" w:rsidRPr="000B6151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87DC505" w14:textId="77777777" w:rsidR="00CB02B4" w:rsidRDefault="00CB02B4" w:rsidP="00CB02B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B6151">
        <w:rPr>
          <w:rFonts w:ascii="Arial" w:hAnsi="Arial" w:cs="Arial"/>
          <w:b/>
          <w:sz w:val="24"/>
          <w:szCs w:val="24"/>
          <w:lang w:val="es-ES_tradnl"/>
        </w:rPr>
        <w:t>Artículo 11.</w:t>
      </w:r>
      <w:r w:rsidRPr="000B6151">
        <w:rPr>
          <w:rFonts w:ascii="Arial" w:hAnsi="Arial" w:cs="Arial"/>
          <w:sz w:val="24"/>
          <w:szCs w:val="24"/>
          <w:lang w:val="es-ES_tradnl"/>
        </w:rPr>
        <w:t xml:space="preserve"> En caso de no lograr la mayoría a la que hace referencia el artículo anterior, las y los funcionarios en cuestión, dejarán de ejercer sus cargos, y el Ejecutivo Local en un plazo de 10 días hábiles someterá a consideración de la Legislatura Local otra propuesta para ocupar los cargo</w:t>
      </w:r>
      <w:r>
        <w:rPr>
          <w:rFonts w:ascii="Arial" w:hAnsi="Arial" w:cs="Arial"/>
          <w:sz w:val="24"/>
          <w:szCs w:val="24"/>
          <w:lang w:val="es-ES_tradnl"/>
        </w:rPr>
        <w:t>s</w:t>
      </w:r>
      <w:r w:rsidRPr="000B6151">
        <w:rPr>
          <w:rFonts w:ascii="Arial" w:hAnsi="Arial" w:cs="Arial"/>
          <w:sz w:val="24"/>
          <w:szCs w:val="24"/>
          <w:lang w:val="es-ES_tradnl"/>
        </w:rPr>
        <w:t>.</w:t>
      </w:r>
    </w:p>
    <w:p w14:paraId="687DC506" w14:textId="77777777" w:rsidR="003754C4" w:rsidRDefault="003754C4"/>
    <w:sectPr w:rsidR="003754C4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FBA03" w14:textId="77777777" w:rsidR="00B52BBD" w:rsidRDefault="00B52BBD" w:rsidP="00B52BBD">
      <w:pPr>
        <w:spacing w:after="0" w:line="240" w:lineRule="auto"/>
      </w:pPr>
      <w:r>
        <w:separator/>
      </w:r>
    </w:p>
  </w:endnote>
  <w:endnote w:type="continuationSeparator" w:id="0">
    <w:p w14:paraId="6C4A54D4" w14:textId="77777777" w:rsidR="00B52BBD" w:rsidRDefault="00B52BBD" w:rsidP="00B52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EBE65" w14:textId="77777777" w:rsidR="00B52BBD" w:rsidRDefault="00B52BBD" w:rsidP="00B52BBD">
      <w:pPr>
        <w:spacing w:after="0" w:line="240" w:lineRule="auto"/>
      </w:pPr>
      <w:r>
        <w:separator/>
      </w:r>
    </w:p>
  </w:footnote>
  <w:footnote w:type="continuationSeparator" w:id="0">
    <w:p w14:paraId="162FE0A8" w14:textId="77777777" w:rsidR="00B52BBD" w:rsidRDefault="00B52BBD" w:rsidP="00B52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020"/>
      <w:gridCol w:w="1818"/>
    </w:tblGrid>
    <w:tr w:rsidR="00B52BBD" w:rsidRPr="001B7CA0" w14:paraId="0BF0B61E" w14:textId="77777777" w:rsidTr="00B87ED0">
      <w:tc>
        <w:tcPr>
          <w:tcW w:w="7054" w:type="dxa"/>
          <w:shd w:val="clear" w:color="auto" w:fill="auto"/>
          <w:vAlign w:val="center"/>
        </w:tcPr>
        <w:bookmarkStart w:id="0" w:name="_Hlk197444903"/>
        <w:p w14:paraId="51DBE42C" w14:textId="77777777" w:rsidR="00B52BBD" w:rsidRPr="00BB44FD" w:rsidRDefault="00B52BBD" w:rsidP="00B52BBD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b/>
              <w:noProof/>
              <w:sz w:val="16"/>
              <w:szCs w:val="16"/>
              <w:lang w:eastAsia="es-MX"/>
            </w:rPr>
          </w:pPr>
          <w:r w:rsidRPr="001278AA">
            <w:rPr>
              <w:rFonts w:ascii="Arial" w:hAnsi="Arial" w:cs="Arial"/>
              <w:b/>
              <w:i/>
              <w:noProof/>
              <w:sz w:val="16"/>
              <w:szCs w:val="16"/>
              <w:lang w:eastAsia="es-MX"/>
            </w:rPr>
            <w:fldChar w:fldCharType="begin"/>
          </w:r>
          <w:r>
            <w:rPr>
              <w:rFonts w:ascii="Arial" w:hAnsi="Arial" w:cs="Arial"/>
              <w:b/>
              <w:i/>
              <w:noProof/>
              <w:sz w:val="16"/>
              <w:szCs w:val="16"/>
              <w:lang w:eastAsia="es-MX"/>
            </w:rPr>
            <w:instrText xml:space="preserve"> INCLUDEPICTURE "../../Users/dark_/Desktop/SAP%20logos/SAP%20Horizontal.png" \* MERGEFORMAT </w:instrText>
          </w:r>
          <w:r w:rsidRPr="001278AA">
            <w:rPr>
              <w:rFonts w:ascii="Arial" w:hAnsi="Arial" w:cs="Arial"/>
              <w:b/>
              <w:i/>
              <w:noProof/>
              <w:sz w:val="16"/>
              <w:szCs w:val="16"/>
              <w:lang w:eastAsia="es-MX"/>
            </w:rPr>
            <w:fldChar w:fldCharType="separate"/>
          </w:r>
          <w:r w:rsidRPr="001278AA">
            <w:rPr>
              <w:rFonts w:ascii="Arial" w:hAnsi="Arial" w:cs="Arial"/>
              <w:b/>
              <w:i/>
              <w:noProof/>
              <w:sz w:val="16"/>
              <w:szCs w:val="16"/>
              <w:lang w:eastAsia="es-MX"/>
            </w:rPr>
            <w:pict w14:anchorId="01C7322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38pt;height:50pt">
                <v:imagedata r:id="rId1" r:href="rId2" croptop="19962f" cropbottom="20339f"/>
              </v:shape>
            </w:pict>
          </w:r>
          <w:r w:rsidRPr="001278AA">
            <w:rPr>
              <w:rFonts w:ascii="Arial" w:hAnsi="Arial" w:cs="Arial"/>
              <w:b/>
              <w:i/>
              <w:noProof/>
              <w:sz w:val="16"/>
              <w:szCs w:val="16"/>
              <w:lang w:eastAsia="es-MX"/>
            </w:rPr>
            <w:fldChar w:fldCharType="end"/>
          </w:r>
        </w:p>
      </w:tc>
      <w:tc>
        <w:tcPr>
          <w:tcW w:w="3058" w:type="dxa"/>
          <w:shd w:val="clear" w:color="auto" w:fill="auto"/>
          <w:vAlign w:val="center"/>
        </w:tcPr>
        <w:p w14:paraId="105AF188" w14:textId="677A5BF8" w:rsidR="00B52BBD" w:rsidRPr="001B7CA0" w:rsidRDefault="00B52BBD" w:rsidP="00B52BBD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lang w:eastAsia="es-MX"/>
            </w:rPr>
          </w:pPr>
        </w:p>
      </w:tc>
    </w:tr>
    <w:bookmarkEnd w:id="0"/>
  </w:tbl>
  <w:p w14:paraId="0E2E0E57" w14:textId="77777777" w:rsidR="00B52BBD" w:rsidRDefault="00B52BB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4"/>
    <w:rsid w:val="003754C4"/>
    <w:rsid w:val="006818C5"/>
    <w:rsid w:val="00B52BBD"/>
    <w:rsid w:val="00CB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DC4DD"/>
  <w15:chartTrackingRefBased/>
  <w15:docId w15:val="{457EC9FA-F403-4B0A-BF16-97F572903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2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2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2BBD"/>
  </w:style>
  <w:style w:type="paragraph" w:styleId="Piedepgina">
    <w:name w:val="footer"/>
    <w:basedOn w:val="Normal"/>
    <w:link w:val="PiedepginaCar"/>
    <w:uiPriority w:val="99"/>
    <w:unhideWhenUsed/>
    <w:rsid w:val="00B52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../Users/dark_/Desktop/SAP%20logos/SAP%20Horizontal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Manuel Leopoldo Jurado Bernal</cp:lastModifiedBy>
  <cp:revision>2</cp:revision>
  <dcterms:created xsi:type="dcterms:W3CDTF">2022-10-07T15:42:00Z</dcterms:created>
  <dcterms:modified xsi:type="dcterms:W3CDTF">2025-05-06T23:38:00Z</dcterms:modified>
</cp:coreProperties>
</file>