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B9E20" w14:textId="77777777" w:rsidR="00F85BE6" w:rsidRDefault="00EF6F28">
      <w:pPr>
        <w:pBdr>
          <w:top w:val="nil"/>
          <w:left w:val="nil"/>
          <w:bottom w:val="nil"/>
          <w:right w:val="nil"/>
          <w:between w:val="nil"/>
        </w:pBdr>
        <w:tabs>
          <w:tab w:val="center" w:pos="4419"/>
          <w:tab w:val="right" w:pos="8838"/>
        </w:tabs>
        <w:spacing w:after="0" w:line="240" w:lineRule="auto"/>
        <w:jc w:val="center"/>
        <w:rPr>
          <w:b/>
          <w:color w:val="96174A"/>
          <w:sz w:val="16"/>
          <w:szCs w:val="16"/>
        </w:rPr>
      </w:pPr>
      <w:bookmarkStart w:id="0" w:name="_GoBack"/>
      <w:bookmarkEnd w:id="0"/>
      <w:r>
        <w:rPr>
          <w:b/>
          <w:color w:val="96174A"/>
          <w:sz w:val="16"/>
          <w:szCs w:val="16"/>
        </w:rPr>
        <w:t>DIP. MÓNICA ANGÉLICA ALVAREZ NEMER</w:t>
      </w:r>
    </w:p>
    <w:p w14:paraId="39AE3B6B" w14:textId="77777777" w:rsidR="00F85BE6" w:rsidRDefault="00F85BE6">
      <w:pPr>
        <w:spacing w:after="0"/>
        <w:jc w:val="right"/>
        <w:rPr>
          <w:rFonts w:ascii="Arial" w:eastAsia="Arial" w:hAnsi="Arial" w:cs="Arial"/>
          <w:sz w:val="24"/>
          <w:szCs w:val="24"/>
        </w:rPr>
      </w:pPr>
    </w:p>
    <w:p w14:paraId="6C2A5335" w14:textId="39A03E2C" w:rsidR="00F85BE6" w:rsidRDefault="00EF6F28">
      <w:pPr>
        <w:spacing w:after="674"/>
        <w:jc w:val="right"/>
        <w:rPr>
          <w:sz w:val="24"/>
          <w:szCs w:val="24"/>
        </w:rPr>
      </w:pPr>
      <w:r>
        <w:rPr>
          <w:rFonts w:ascii="Arial" w:eastAsia="Arial" w:hAnsi="Arial" w:cs="Arial"/>
          <w:sz w:val="24"/>
          <w:szCs w:val="24"/>
        </w:rPr>
        <w:t xml:space="preserve">Ciudad de Toluca, Estado México </w:t>
      </w:r>
      <w:r w:rsidR="00FF733F">
        <w:rPr>
          <w:rFonts w:ascii="Arial" w:eastAsia="Arial" w:hAnsi="Arial" w:cs="Arial"/>
          <w:sz w:val="24"/>
          <w:szCs w:val="24"/>
        </w:rPr>
        <w:t xml:space="preserve">a </w:t>
      </w:r>
      <w:r w:rsidR="00FE7721">
        <w:rPr>
          <w:rFonts w:ascii="Arial" w:eastAsia="Arial" w:hAnsi="Arial" w:cs="Arial"/>
          <w:sz w:val="24"/>
          <w:szCs w:val="24"/>
        </w:rPr>
        <w:t>20</w:t>
      </w:r>
      <w:r w:rsidR="00FF733F">
        <w:rPr>
          <w:rFonts w:ascii="Arial" w:eastAsia="Arial" w:hAnsi="Arial" w:cs="Arial"/>
          <w:sz w:val="24"/>
          <w:szCs w:val="24"/>
        </w:rPr>
        <w:t xml:space="preserve"> </w:t>
      </w:r>
      <w:r>
        <w:rPr>
          <w:rFonts w:ascii="Arial" w:eastAsia="Arial" w:hAnsi="Arial" w:cs="Arial"/>
          <w:sz w:val="24"/>
          <w:szCs w:val="24"/>
        </w:rPr>
        <w:t>de septiembre de 2022.</w:t>
      </w:r>
    </w:p>
    <w:p w14:paraId="2EC70234" w14:textId="0F793A4E" w:rsidR="00F85BE6" w:rsidRDefault="00EF6F28">
      <w:pPr>
        <w:spacing w:after="22" w:line="276" w:lineRule="auto"/>
        <w:ind w:left="-5"/>
        <w:rPr>
          <w:rFonts w:ascii="Arial" w:eastAsia="Arial" w:hAnsi="Arial" w:cs="Arial"/>
          <w:b/>
          <w:sz w:val="24"/>
          <w:szCs w:val="24"/>
        </w:rPr>
      </w:pPr>
      <w:bookmarkStart w:id="1" w:name="_gjdgxs" w:colFirst="0" w:colLast="0"/>
      <w:bookmarkEnd w:id="1"/>
      <w:r>
        <w:rPr>
          <w:rFonts w:ascii="Arial" w:eastAsia="Arial" w:hAnsi="Arial" w:cs="Arial"/>
          <w:b/>
          <w:sz w:val="24"/>
          <w:szCs w:val="24"/>
        </w:rPr>
        <w:t>DIPUTAD</w:t>
      </w:r>
      <w:r w:rsidR="00FF733F">
        <w:rPr>
          <w:rFonts w:ascii="Arial" w:eastAsia="Arial" w:hAnsi="Arial" w:cs="Arial"/>
          <w:b/>
          <w:sz w:val="24"/>
          <w:szCs w:val="24"/>
        </w:rPr>
        <w:t>O ENRIQUE JACOB ROCHA</w:t>
      </w:r>
    </w:p>
    <w:p w14:paraId="23AC58BD" w14:textId="4696CA3A" w:rsidR="00F85BE6" w:rsidRDefault="00EF6F28">
      <w:pPr>
        <w:spacing w:after="22" w:line="276" w:lineRule="auto"/>
        <w:ind w:left="-5"/>
        <w:rPr>
          <w:rFonts w:ascii="Arial" w:eastAsia="Arial" w:hAnsi="Arial" w:cs="Arial"/>
          <w:b/>
          <w:sz w:val="24"/>
          <w:szCs w:val="24"/>
        </w:rPr>
      </w:pPr>
      <w:r>
        <w:rPr>
          <w:rFonts w:ascii="Arial" w:eastAsia="Arial" w:hAnsi="Arial" w:cs="Arial"/>
          <w:b/>
          <w:sz w:val="24"/>
          <w:szCs w:val="24"/>
        </w:rPr>
        <w:t>PRESIDENT</w:t>
      </w:r>
      <w:r w:rsidR="00FF733F">
        <w:rPr>
          <w:rFonts w:ascii="Arial" w:eastAsia="Arial" w:hAnsi="Arial" w:cs="Arial"/>
          <w:b/>
          <w:sz w:val="24"/>
          <w:szCs w:val="24"/>
        </w:rPr>
        <w:t>E</w:t>
      </w:r>
      <w:r>
        <w:rPr>
          <w:rFonts w:ascii="Arial" w:eastAsia="Arial" w:hAnsi="Arial" w:cs="Arial"/>
          <w:b/>
          <w:sz w:val="24"/>
          <w:szCs w:val="24"/>
        </w:rPr>
        <w:t xml:space="preserve"> DE LA DI</w:t>
      </w:r>
      <w:r w:rsidR="00FF733F">
        <w:rPr>
          <w:rFonts w:ascii="Arial" w:eastAsia="Arial" w:hAnsi="Arial" w:cs="Arial"/>
          <w:b/>
          <w:sz w:val="24"/>
          <w:szCs w:val="24"/>
        </w:rPr>
        <w:t xml:space="preserve">RECTIVA </w:t>
      </w:r>
    </w:p>
    <w:p w14:paraId="25D507F4" w14:textId="77777777" w:rsidR="00F85BE6" w:rsidRDefault="00EF6F28">
      <w:pPr>
        <w:spacing w:after="22" w:line="276" w:lineRule="auto"/>
        <w:ind w:left="-5"/>
        <w:rPr>
          <w:rFonts w:ascii="Arial" w:eastAsia="Arial" w:hAnsi="Arial" w:cs="Arial"/>
          <w:b/>
          <w:sz w:val="24"/>
          <w:szCs w:val="24"/>
        </w:rPr>
      </w:pPr>
      <w:r>
        <w:rPr>
          <w:rFonts w:ascii="Arial" w:eastAsia="Arial" w:hAnsi="Arial" w:cs="Arial"/>
          <w:b/>
          <w:sz w:val="24"/>
          <w:szCs w:val="24"/>
        </w:rPr>
        <w:t>DE LA H.  “LXI” LEGISLATURA DEL ESTADO DE MÉXICO</w:t>
      </w:r>
    </w:p>
    <w:p w14:paraId="789EE571" w14:textId="77777777" w:rsidR="00F85BE6" w:rsidRDefault="00EF6F28">
      <w:pPr>
        <w:spacing w:after="536" w:line="276" w:lineRule="auto"/>
        <w:ind w:right="15"/>
        <w:rPr>
          <w:sz w:val="24"/>
          <w:szCs w:val="24"/>
        </w:rPr>
      </w:pPr>
      <w:r>
        <w:rPr>
          <w:rFonts w:ascii="Arial" w:eastAsia="Arial" w:hAnsi="Arial" w:cs="Arial"/>
          <w:b/>
          <w:sz w:val="24"/>
          <w:szCs w:val="24"/>
        </w:rPr>
        <w:t>P R E S E N T E.</w:t>
      </w:r>
    </w:p>
    <w:p w14:paraId="02D51D09" w14:textId="77777777" w:rsidR="00F85BE6" w:rsidRDefault="00EF6F28">
      <w:pPr>
        <w:spacing w:after="0" w:line="360" w:lineRule="auto"/>
        <w:jc w:val="both"/>
        <w:rPr>
          <w:rFonts w:ascii="Arial" w:eastAsia="Arial" w:hAnsi="Arial" w:cs="Arial"/>
          <w:b/>
          <w:sz w:val="24"/>
          <w:szCs w:val="24"/>
        </w:rPr>
      </w:pPr>
      <w:bookmarkStart w:id="2" w:name="_30j0zll" w:colFirst="0" w:colLast="0"/>
      <w:bookmarkEnd w:id="2"/>
      <w:r>
        <w:rPr>
          <w:rFonts w:ascii="Arial" w:eastAsia="Arial" w:hAnsi="Arial" w:cs="Arial"/>
          <w:b/>
          <w:sz w:val="24"/>
          <w:szCs w:val="24"/>
        </w:rPr>
        <w:t xml:space="preserve">Diputada Mónica Angélica Álvarez Nemer, </w:t>
      </w:r>
      <w:r>
        <w:rPr>
          <w:rFonts w:ascii="Arial" w:eastAsia="Arial" w:hAnsi="Arial" w:cs="Arial"/>
          <w:sz w:val="24"/>
          <w:szCs w:val="24"/>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Punto de Acuerdo de Urgente y Obvia resolución por el que </w:t>
      </w:r>
      <w:r>
        <w:rPr>
          <w:rFonts w:ascii="Arial" w:eastAsia="Arial" w:hAnsi="Arial" w:cs="Arial"/>
          <w:b/>
          <w:sz w:val="24"/>
          <w:szCs w:val="24"/>
        </w:rPr>
        <w:t xml:space="preserve">se Exhorta respetuosamente a la persona Titular de la Procuraduría Federal de Protección al Ambiente (PROFEPA) Delegación Estado de México; así como a las personas Titulares de la Dirección General de la Protectora de Bosques del Estado de México (PROBOSQUE)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w:t>
      </w:r>
      <w:r>
        <w:rPr>
          <w:rFonts w:ascii="Arial" w:eastAsia="Arial" w:hAnsi="Arial" w:cs="Arial"/>
          <w:sz w:val="24"/>
          <w:szCs w:val="24"/>
        </w:rPr>
        <w:t>Lo anterior, de conformidad con la siguiente:</w:t>
      </w:r>
    </w:p>
    <w:p w14:paraId="44C794D9" w14:textId="77777777" w:rsidR="00F85BE6" w:rsidRDefault="00F85BE6">
      <w:pPr>
        <w:spacing w:after="0" w:line="360" w:lineRule="auto"/>
        <w:jc w:val="both"/>
        <w:rPr>
          <w:rFonts w:ascii="Arial" w:eastAsia="Arial" w:hAnsi="Arial" w:cs="Arial"/>
          <w:sz w:val="24"/>
          <w:szCs w:val="24"/>
        </w:rPr>
      </w:pPr>
    </w:p>
    <w:p w14:paraId="37A6139D" w14:textId="77777777" w:rsidR="00F85BE6" w:rsidRDefault="00EF6F28">
      <w:pPr>
        <w:spacing w:line="360" w:lineRule="auto"/>
        <w:jc w:val="center"/>
        <w:rPr>
          <w:rFonts w:ascii="Arial" w:eastAsia="Arial" w:hAnsi="Arial" w:cs="Arial"/>
          <w:b/>
          <w:sz w:val="24"/>
          <w:szCs w:val="24"/>
        </w:rPr>
      </w:pPr>
      <w:r>
        <w:rPr>
          <w:rFonts w:ascii="Arial" w:eastAsia="Arial" w:hAnsi="Arial" w:cs="Arial"/>
          <w:b/>
          <w:sz w:val="24"/>
          <w:szCs w:val="24"/>
        </w:rPr>
        <w:t>EXPOSICIÓN DE MOTIVOS</w:t>
      </w:r>
    </w:p>
    <w:p w14:paraId="794B4327" w14:textId="77777777" w:rsidR="00F85BE6" w:rsidRDefault="00F85BE6">
      <w:pPr>
        <w:spacing w:after="0" w:line="360" w:lineRule="auto"/>
        <w:jc w:val="both"/>
        <w:rPr>
          <w:rFonts w:ascii="Arial" w:eastAsia="Arial" w:hAnsi="Arial" w:cs="Arial"/>
          <w:sz w:val="24"/>
          <w:szCs w:val="24"/>
        </w:rPr>
      </w:pPr>
    </w:p>
    <w:p w14:paraId="575C1631" w14:textId="77777777" w:rsidR="00F85BE6" w:rsidRDefault="00F85BE6">
      <w:pPr>
        <w:spacing w:after="0" w:line="360" w:lineRule="auto"/>
        <w:jc w:val="both"/>
        <w:rPr>
          <w:rFonts w:ascii="Arial" w:eastAsia="Arial" w:hAnsi="Arial" w:cs="Arial"/>
          <w:sz w:val="24"/>
          <w:szCs w:val="24"/>
        </w:rPr>
      </w:pPr>
    </w:p>
    <w:p w14:paraId="02CC4CB7"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El Estado de México resguarda en su territorio una importante riqueza forestal, patrimonio de los mexiquenses, que debemos aprovechar de manera sustentable, pero sobre todo preservarlos y protegerlos.</w:t>
      </w:r>
    </w:p>
    <w:p w14:paraId="72A7C612" w14:textId="77777777" w:rsidR="00F85BE6" w:rsidRDefault="00F85BE6">
      <w:pPr>
        <w:spacing w:after="0" w:line="360" w:lineRule="auto"/>
        <w:jc w:val="both"/>
        <w:rPr>
          <w:rFonts w:ascii="Arial" w:eastAsia="Arial" w:hAnsi="Arial" w:cs="Arial"/>
          <w:sz w:val="24"/>
          <w:szCs w:val="24"/>
        </w:rPr>
      </w:pPr>
    </w:p>
    <w:p w14:paraId="29668639"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En ese tenor, recordemos que entre marzo del año 2013 y julio del 2014, 30 países miembros de la Organización de Naciones Unidas, México incluido obviamente, emitieron Objetivos de Desarrollo Sostenible y las metas concretas para la nueva agenda mundial.</w:t>
      </w:r>
    </w:p>
    <w:p w14:paraId="5D37EF7A" w14:textId="77777777" w:rsidR="00F85BE6" w:rsidRDefault="00F85BE6">
      <w:pPr>
        <w:spacing w:after="0" w:line="360" w:lineRule="auto"/>
        <w:jc w:val="both"/>
        <w:rPr>
          <w:rFonts w:ascii="Arial" w:eastAsia="Arial" w:hAnsi="Arial" w:cs="Arial"/>
          <w:sz w:val="24"/>
          <w:szCs w:val="24"/>
        </w:rPr>
      </w:pPr>
    </w:p>
    <w:p w14:paraId="45EB130E"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De igual manera, tras la cumbre de Desarrollo Sostenible de las Naciones Unidas celebrada en Nueva York del 25 al 27 de septiembre del año 2015, la Asamblea General de la ONU aprobó el instrumento llamado: “TRANSFORMAR NUESTRO MUNDO: LA AGENDA 2030 PARA EL DESARROLLO SOSTENIBLE” lo que coloquialmente conocemos como agenda 2030.</w:t>
      </w:r>
    </w:p>
    <w:p w14:paraId="6646E3F7" w14:textId="77777777" w:rsidR="00F85BE6" w:rsidRDefault="00F85BE6">
      <w:pPr>
        <w:spacing w:after="0" w:line="360" w:lineRule="auto"/>
        <w:jc w:val="both"/>
        <w:rPr>
          <w:rFonts w:ascii="Arial" w:eastAsia="Arial" w:hAnsi="Arial" w:cs="Arial"/>
          <w:sz w:val="24"/>
          <w:szCs w:val="24"/>
        </w:rPr>
      </w:pPr>
    </w:p>
    <w:p w14:paraId="48A45971"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Documento que fue concebido como la oportunidad que tendremos las sociedades de cada país para implementar políticas públicas, acciones y estrategias que impliquen entre otras cosas, el combate al cambio climático y la defensa del medio ambiente, con el objetivo de mejorar la vida de todos los habitantes.</w:t>
      </w:r>
    </w:p>
    <w:p w14:paraId="64080E4E" w14:textId="77777777" w:rsidR="00F85BE6" w:rsidRDefault="00F85BE6">
      <w:pPr>
        <w:spacing w:after="0" w:line="360" w:lineRule="auto"/>
        <w:jc w:val="both"/>
        <w:rPr>
          <w:rFonts w:ascii="Arial" w:eastAsia="Arial" w:hAnsi="Arial" w:cs="Arial"/>
          <w:sz w:val="24"/>
          <w:szCs w:val="24"/>
        </w:rPr>
      </w:pPr>
    </w:p>
    <w:p w14:paraId="2419A067"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Luego entonces, es una responsabilidad gubernamental vigilar que se preserven los servicios que el medio ambiente nos brinda como satisfactor de las actividades humanas, en particular la recarga natural de mantos acuíferos, controlar la erosión de suelos evitando y controlando la deforestación y tala de bosques, evitar emisiones contaminantes, manejar correctamente los residuos sólidos, pero sobre todo promover que la producción y el consumo de bienes y servicios en la entidad sea sustentable.</w:t>
      </w:r>
    </w:p>
    <w:p w14:paraId="062B4FA3" w14:textId="77777777" w:rsidR="00F85BE6" w:rsidRDefault="00F85BE6">
      <w:pPr>
        <w:spacing w:after="0" w:line="360" w:lineRule="auto"/>
        <w:jc w:val="both"/>
        <w:rPr>
          <w:rFonts w:ascii="Arial" w:eastAsia="Arial" w:hAnsi="Arial" w:cs="Arial"/>
          <w:sz w:val="24"/>
          <w:szCs w:val="24"/>
        </w:rPr>
      </w:pPr>
    </w:p>
    <w:p w14:paraId="469AC6E1"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Ahora bien, en el caso del emprendimiento de acciones orientadas al desarrollo forestal sustentable en el Estado de México, así como el manejo de bosques, corresponde la Secretaria del Campo por medio de la Protectora de Bosques del Estado de México (PROBOSQUE).</w:t>
      </w:r>
    </w:p>
    <w:p w14:paraId="3ACC7517" w14:textId="77777777" w:rsidR="00F85BE6" w:rsidRDefault="00F85BE6">
      <w:pPr>
        <w:spacing w:after="0" w:line="360" w:lineRule="auto"/>
        <w:jc w:val="both"/>
        <w:rPr>
          <w:rFonts w:ascii="Arial" w:eastAsia="Arial" w:hAnsi="Arial" w:cs="Arial"/>
          <w:sz w:val="24"/>
          <w:szCs w:val="24"/>
        </w:rPr>
      </w:pPr>
    </w:p>
    <w:p w14:paraId="50B4B48B"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Las funciones de la Protectora de Bosques del Estado de México, se basan en el desarrollo de las actividades consientes del aprovechamiento del bosque, reconociendo la labor que lo dueños y/o poseedores realizan sobre el bosque y poder brindarles apoyo o capacitación integral para el mejor aprovechamiento de la tierra.</w:t>
      </w:r>
    </w:p>
    <w:p w14:paraId="3F7F1362" w14:textId="77777777" w:rsidR="00F85BE6" w:rsidRDefault="00F85BE6">
      <w:pPr>
        <w:spacing w:after="0" w:line="360" w:lineRule="auto"/>
        <w:jc w:val="both"/>
        <w:rPr>
          <w:rFonts w:ascii="Arial" w:eastAsia="Arial" w:hAnsi="Arial" w:cs="Arial"/>
          <w:sz w:val="24"/>
          <w:szCs w:val="24"/>
        </w:rPr>
      </w:pPr>
    </w:p>
    <w:p w14:paraId="09177D1B"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Otra de las funciones de PROBOSQUE es la Conservación Forestal ya que desarrolla acciones para el cuidado de los bosques mexiquenses mediante la ejecución de programas que permitan mantener y preservar la masa forestal, para lo cual lleva a cabo actividades de prevención y combate de incendios, sanidad e inspección y vigilancia, orientado a un manejo sustentable de los recursos forestales en beneficio de los dueños y poseedores del bosque y los habitantes del Estado de México.</w:t>
      </w:r>
    </w:p>
    <w:p w14:paraId="65273ADD" w14:textId="77777777" w:rsidR="00F85BE6" w:rsidRDefault="00F85BE6">
      <w:pPr>
        <w:spacing w:after="0" w:line="360" w:lineRule="auto"/>
        <w:jc w:val="both"/>
        <w:rPr>
          <w:rFonts w:ascii="Arial" w:eastAsia="Arial" w:hAnsi="Arial" w:cs="Arial"/>
          <w:sz w:val="24"/>
          <w:szCs w:val="24"/>
        </w:rPr>
      </w:pPr>
    </w:p>
    <w:p w14:paraId="2D0A2A1F"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Aquí vale la pena hacer hincapié, porque para que PROBOSQUE ejerza sus funciones maneja programas y uno de ellos es el denominado “DE INSPECCIÓN Y VIGILACIA FORESTAL” este programa tiene por objeto salvaguardar los recursos forestales a través de la evaluación y seguimiento técnico de las actividades de protección, conservación, dictaminación, capacitación, restauración y fomento de los recursos forestales en la entidad, realizando la verificación física en campo de manera coordinada, con el fin orientar, inducir y dar seguimiento para su cumplimiento, contribuyendo al desarrollo forestal sustentable.</w:t>
      </w:r>
    </w:p>
    <w:p w14:paraId="79FEA812"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Este programa deriva en coadyuvancia con la Fiscalía General de Justicia del Estado de México, cuando se tiene conocimiento de acciones o conductas relacionadas con daños al medio ambiente.</w:t>
      </w:r>
    </w:p>
    <w:p w14:paraId="3982BF50" w14:textId="77777777" w:rsidR="00F85BE6" w:rsidRDefault="00F85BE6">
      <w:pPr>
        <w:spacing w:after="0" w:line="360" w:lineRule="auto"/>
        <w:jc w:val="both"/>
        <w:rPr>
          <w:rFonts w:ascii="Arial" w:eastAsia="Arial" w:hAnsi="Arial" w:cs="Arial"/>
          <w:sz w:val="24"/>
          <w:szCs w:val="24"/>
          <w:highlight w:val="white"/>
        </w:rPr>
      </w:pPr>
    </w:p>
    <w:p w14:paraId="67F234CE" w14:textId="77777777" w:rsidR="00F85BE6" w:rsidRDefault="00EF6F28">
      <w:pPr>
        <w:spacing w:after="0" w:line="360" w:lineRule="auto"/>
        <w:jc w:val="both"/>
        <w:rPr>
          <w:rFonts w:ascii="Arial" w:eastAsia="Arial" w:hAnsi="Arial" w:cs="Arial"/>
          <w:sz w:val="24"/>
          <w:szCs w:val="24"/>
          <w:highlight w:val="white"/>
        </w:rPr>
      </w:pPr>
      <w:bookmarkStart w:id="3" w:name="_1fob9te" w:colFirst="0" w:colLast="0"/>
      <w:bookmarkEnd w:id="3"/>
      <w:r>
        <w:rPr>
          <w:rFonts w:ascii="Arial" w:eastAsia="Arial" w:hAnsi="Arial" w:cs="Arial"/>
          <w:sz w:val="24"/>
          <w:szCs w:val="24"/>
          <w:highlight w:val="white"/>
        </w:rPr>
        <w:t xml:space="preserve">En ese sentido, en fecha 12 de octubre de 2020 la Protectora de Bosques del Estado de México "PROBOSQUE" autorizó a los representantes del Ejido de La Cima perteneciente al poblado de San Mateo Atarasquillo, Lerma, México, el aprovechamiento forestal maderable y la ejecución del programa de manejo forestal a nivel intermedio, emitiendo para ello el dictamen jurídico positivo número 225C0201000100S/0070/2020 de fecha 8 de diciembre de 2020 relacionado con el dictamen técnico positivo número 225C0201020006L/DT/106/2020 de fecha 11 de diciembre de 2020, considerando también la opinión positiva del Comité de fomento a la producción forestal dependiente del Consejo Forestal del Estado de México de fecha 18 de diciembre de 2020. </w:t>
      </w:r>
    </w:p>
    <w:p w14:paraId="51E0AD62" w14:textId="77777777" w:rsidR="00F85BE6" w:rsidRDefault="00F85BE6">
      <w:pPr>
        <w:spacing w:after="0" w:line="360" w:lineRule="auto"/>
        <w:jc w:val="both"/>
        <w:rPr>
          <w:rFonts w:ascii="Arial" w:eastAsia="Arial" w:hAnsi="Arial" w:cs="Arial"/>
          <w:sz w:val="24"/>
          <w:szCs w:val="24"/>
          <w:highlight w:val="white"/>
        </w:rPr>
      </w:pPr>
    </w:p>
    <w:p w14:paraId="33686DAE" w14:textId="77777777" w:rsidR="00F85BE6" w:rsidRDefault="00EF6F28">
      <w:pPr>
        <w:spacing w:after="0" w:line="360" w:lineRule="auto"/>
        <w:jc w:val="both"/>
        <w:rPr>
          <w:rFonts w:ascii="Arial" w:eastAsia="Arial" w:hAnsi="Arial" w:cs="Arial"/>
          <w:sz w:val="24"/>
          <w:szCs w:val="24"/>
          <w:highlight w:val="white"/>
        </w:rPr>
      </w:pPr>
      <w:r>
        <w:rPr>
          <w:rFonts w:ascii="Arial" w:eastAsia="Arial" w:hAnsi="Arial" w:cs="Arial"/>
          <w:sz w:val="24"/>
          <w:szCs w:val="24"/>
          <w:highlight w:val="white"/>
        </w:rPr>
        <w:t>Ese permiso, pese a tener especificaciones y condiciones para su otorgamiento, este no ha sido cumplido a cabalidad. Pues, los residentes de la comunidad de la cañada de alférez, del municipio de Lerma, han notado con profunda preocupación entre otras cosas:</w:t>
      </w:r>
    </w:p>
    <w:p w14:paraId="48448753" w14:textId="77777777" w:rsidR="00F85BE6" w:rsidRDefault="00F85BE6">
      <w:pPr>
        <w:spacing w:after="0" w:line="360" w:lineRule="auto"/>
        <w:jc w:val="both"/>
        <w:rPr>
          <w:rFonts w:ascii="Arial" w:eastAsia="Arial" w:hAnsi="Arial" w:cs="Arial"/>
          <w:sz w:val="24"/>
          <w:szCs w:val="24"/>
          <w:highlight w:val="white"/>
        </w:rPr>
      </w:pPr>
    </w:p>
    <w:p w14:paraId="08085033" w14:textId="77777777" w:rsidR="00F85BE6" w:rsidRDefault="00EF6F28">
      <w:pPr>
        <w:numPr>
          <w:ilvl w:val="0"/>
          <w:numId w:val="1"/>
        </w:numPr>
        <w:pBdr>
          <w:top w:val="nil"/>
          <w:left w:val="nil"/>
          <w:bottom w:val="nil"/>
          <w:right w:val="nil"/>
          <w:between w:val="nil"/>
        </w:pBdr>
        <w:spacing w:after="0" w:line="360" w:lineRule="auto"/>
        <w:ind w:right="900"/>
        <w:jc w:val="both"/>
        <w:rPr>
          <w:color w:val="000000"/>
          <w:sz w:val="24"/>
          <w:szCs w:val="24"/>
          <w:highlight w:val="white"/>
        </w:rPr>
      </w:pPr>
      <w:r>
        <w:rPr>
          <w:rFonts w:ascii="Arial" w:eastAsia="Arial" w:hAnsi="Arial" w:cs="Arial"/>
          <w:color w:val="000000"/>
          <w:sz w:val="24"/>
          <w:szCs w:val="24"/>
          <w:highlight w:val="white"/>
        </w:rPr>
        <w:t xml:space="preserve">El derribo de árboles con una intensidad excesiva;  </w:t>
      </w:r>
    </w:p>
    <w:p w14:paraId="41F96E39" w14:textId="77777777" w:rsidR="00F85BE6" w:rsidRDefault="00F85BE6">
      <w:pPr>
        <w:pBdr>
          <w:top w:val="nil"/>
          <w:left w:val="nil"/>
          <w:bottom w:val="nil"/>
          <w:right w:val="nil"/>
          <w:between w:val="nil"/>
        </w:pBdr>
        <w:spacing w:after="0" w:line="360" w:lineRule="auto"/>
        <w:ind w:left="1287" w:right="900"/>
        <w:jc w:val="both"/>
        <w:rPr>
          <w:rFonts w:ascii="Arial" w:eastAsia="Arial" w:hAnsi="Arial" w:cs="Arial"/>
          <w:color w:val="000000"/>
          <w:sz w:val="24"/>
          <w:szCs w:val="24"/>
          <w:highlight w:val="white"/>
        </w:rPr>
      </w:pPr>
    </w:p>
    <w:p w14:paraId="1906554E" w14:textId="77777777" w:rsidR="00F85BE6" w:rsidRDefault="00EF6F28">
      <w:pPr>
        <w:numPr>
          <w:ilvl w:val="0"/>
          <w:numId w:val="1"/>
        </w:numPr>
        <w:pBdr>
          <w:top w:val="nil"/>
          <w:left w:val="nil"/>
          <w:bottom w:val="nil"/>
          <w:right w:val="nil"/>
          <w:between w:val="nil"/>
        </w:pBdr>
        <w:spacing w:after="0" w:line="360" w:lineRule="auto"/>
        <w:ind w:right="900"/>
        <w:jc w:val="both"/>
        <w:rPr>
          <w:color w:val="000000"/>
          <w:sz w:val="24"/>
          <w:szCs w:val="24"/>
          <w:highlight w:val="white"/>
        </w:rPr>
      </w:pPr>
      <w:r>
        <w:rPr>
          <w:rFonts w:ascii="Arial" w:eastAsia="Arial" w:hAnsi="Arial" w:cs="Arial"/>
          <w:color w:val="000000"/>
          <w:sz w:val="24"/>
          <w:szCs w:val="24"/>
          <w:highlight w:val="white"/>
        </w:rPr>
        <w:t>Que el ritmo de extracción de trozas se ha acelerado en los últimos meses con un número de entre 5 y 8 camiones diarios que circulan día y noche la mayoría con placas de Michoacán;</w:t>
      </w:r>
    </w:p>
    <w:p w14:paraId="23034796" w14:textId="77777777" w:rsidR="00F85BE6" w:rsidRDefault="00F85BE6">
      <w:pPr>
        <w:pBdr>
          <w:top w:val="nil"/>
          <w:left w:val="nil"/>
          <w:bottom w:val="nil"/>
          <w:right w:val="nil"/>
          <w:between w:val="nil"/>
        </w:pBdr>
        <w:spacing w:after="0"/>
        <w:ind w:left="720"/>
        <w:rPr>
          <w:rFonts w:ascii="Arial" w:eastAsia="Arial" w:hAnsi="Arial" w:cs="Arial"/>
          <w:color w:val="000000"/>
          <w:sz w:val="24"/>
          <w:szCs w:val="24"/>
          <w:highlight w:val="white"/>
        </w:rPr>
      </w:pPr>
    </w:p>
    <w:p w14:paraId="4FDE0C73" w14:textId="77777777" w:rsidR="00F85BE6" w:rsidRDefault="00F85BE6">
      <w:pPr>
        <w:pBdr>
          <w:top w:val="nil"/>
          <w:left w:val="nil"/>
          <w:bottom w:val="nil"/>
          <w:right w:val="nil"/>
          <w:between w:val="nil"/>
        </w:pBdr>
        <w:spacing w:after="0" w:line="360" w:lineRule="auto"/>
        <w:ind w:left="1287" w:right="900"/>
        <w:jc w:val="both"/>
        <w:rPr>
          <w:rFonts w:ascii="Arial" w:eastAsia="Arial" w:hAnsi="Arial" w:cs="Arial"/>
          <w:color w:val="000000"/>
          <w:sz w:val="24"/>
          <w:szCs w:val="24"/>
          <w:highlight w:val="white"/>
        </w:rPr>
      </w:pPr>
    </w:p>
    <w:p w14:paraId="14907225" w14:textId="77777777" w:rsidR="00F85BE6" w:rsidRDefault="00EF6F28">
      <w:pPr>
        <w:numPr>
          <w:ilvl w:val="0"/>
          <w:numId w:val="1"/>
        </w:numPr>
        <w:pBdr>
          <w:top w:val="nil"/>
          <w:left w:val="nil"/>
          <w:bottom w:val="nil"/>
          <w:right w:val="nil"/>
          <w:between w:val="nil"/>
        </w:pBdr>
        <w:spacing w:after="0" w:line="360" w:lineRule="auto"/>
        <w:ind w:right="900"/>
        <w:jc w:val="both"/>
        <w:rPr>
          <w:color w:val="000000"/>
          <w:sz w:val="24"/>
          <w:szCs w:val="24"/>
          <w:highlight w:val="white"/>
        </w:rPr>
      </w:pPr>
      <w:r>
        <w:rPr>
          <w:rFonts w:ascii="Arial" w:eastAsia="Arial" w:hAnsi="Arial" w:cs="Arial"/>
          <w:color w:val="000000"/>
          <w:sz w:val="24"/>
          <w:szCs w:val="24"/>
          <w:highlight w:val="white"/>
        </w:rPr>
        <w:t xml:space="preserve">Que esos vehículos al inicio del año próximo pasado portaban una manta con licencia de "aprovechamiento forestal, cuyo vencimiento era en diciembre de 2021. </w:t>
      </w:r>
    </w:p>
    <w:p w14:paraId="0477AB2B" w14:textId="77777777" w:rsidR="00F85BE6" w:rsidRDefault="00F85BE6">
      <w:pPr>
        <w:pBdr>
          <w:top w:val="nil"/>
          <w:left w:val="nil"/>
          <w:bottom w:val="nil"/>
          <w:right w:val="nil"/>
          <w:between w:val="nil"/>
        </w:pBdr>
        <w:spacing w:after="0" w:line="360" w:lineRule="auto"/>
        <w:ind w:left="1287" w:right="900"/>
        <w:jc w:val="both"/>
        <w:rPr>
          <w:rFonts w:ascii="Arial" w:eastAsia="Arial" w:hAnsi="Arial" w:cs="Arial"/>
          <w:color w:val="000000"/>
          <w:sz w:val="24"/>
          <w:szCs w:val="24"/>
          <w:highlight w:val="white"/>
        </w:rPr>
      </w:pPr>
    </w:p>
    <w:p w14:paraId="7DEE4D29" w14:textId="77777777" w:rsidR="00F85BE6" w:rsidRDefault="00EF6F28">
      <w:pPr>
        <w:numPr>
          <w:ilvl w:val="0"/>
          <w:numId w:val="1"/>
        </w:numPr>
        <w:pBdr>
          <w:top w:val="nil"/>
          <w:left w:val="nil"/>
          <w:bottom w:val="nil"/>
          <w:right w:val="nil"/>
          <w:between w:val="nil"/>
        </w:pBdr>
        <w:spacing w:after="0" w:line="360" w:lineRule="auto"/>
        <w:ind w:right="900"/>
        <w:jc w:val="both"/>
        <w:rPr>
          <w:color w:val="000000"/>
          <w:sz w:val="24"/>
          <w:szCs w:val="24"/>
          <w:highlight w:val="white"/>
        </w:rPr>
      </w:pPr>
      <w:r>
        <w:rPr>
          <w:rFonts w:ascii="Arial" w:eastAsia="Arial" w:hAnsi="Arial" w:cs="Arial"/>
          <w:color w:val="000000"/>
          <w:sz w:val="24"/>
          <w:szCs w:val="24"/>
          <w:highlight w:val="white"/>
        </w:rPr>
        <w:t>Que actualmente los vehículos portan otras mantas con diversos vencimientos.</w:t>
      </w:r>
    </w:p>
    <w:p w14:paraId="3A13151B" w14:textId="77777777" w:rsidR="00F85BE6" w:rsidRDefault="00F85BE6">
      <w:pPr>
        <w:spacing w:after="0" w:line="360" w:lineRule="auto"/>
        <w:jc w:val="both"/>
        <w:rPr>
          <w:rFonts w:ascii="Arial" w:eastAsia="Arial" w:hAnsi="Arial" w:cs="Arial"/>
          <w:sz w:val="24"/>
          <w:szCs w:val="24"/>
          <w:highlight w:val="white"/>
        </w:rPr>
      </w:pPr>
    </w:p>
    <w:p w14:paraId="091D865A" w14:textId="77777777" w:rsidR="00F85BE6" w:rsidRDefault="00EF6F28">
      <w:pPr>
        <w:spacing w:after="0" w:line="360" w:lineRule="auto"/>
        <w:jc w:val="both"/>
        <w:rPr>
          <w:rFonts w:ascii="Arial" w:eastAsia="Arial" w:hAnsi="Arial" w:cs="Arial"/>
          <w:sz w:val="24"/>
          <w:szCs w:val="24"/>
          <w:highlight w:val="white"/>
        </w:rPr>
      </w:pPr>
      <w:r>
        <w:rPr>
          <w:rFonts w:ascii="Arial" w:eastAsia="Arial" w:hAnsi="Arial" w:cs="Arial"/>
          <w:sz w:val="24"/>
          <w:szCs w:val="24"/>
          <w:highlight w:val="white"/>
        </w:rPr>
        <w:t>Pero lo más grave aún, pese a ser una condicionante del permiso y una obligación de PROBOSQUE es que no se ha llevado a cabo una supervisión periódica del cumplimiento de la autorización; por lo que ciudadanos preocupados por la situación, han hecho distintas denuncias tanto a la Fiscalía General de Justicia del Estado de México, como a la Procuraduría Federal de Protección al Ambiente, sin obtener respuesta alguna o bien seguimiento a las denuncias respectivas, mismas que se identifican con los siguientes datos:</w:t>
      </w:r>
    </w:p>
    <w:p w14:paraId="4CB7E07E" w14:textId="77777777" w:rsidR="00F85BE6" w:rsidRDefault="00F85BE6">
      <w:pPr>
        <w:spacing w:after="0" w:line="360" w:lineRule="auto"/>
        <w:jc w:val="both"/>
        <w:rPr>
          <w:rFonts w:ascii="Arial" w:eastAsia="Arial" w:hAnsi="Arial" w:cs="Arial"/>
          <w:sz w:val="24"/>
          <w:szCs w:val="24"/>
          <w:highlight w:val="white"/>
        </w:rPr>
      </w:pPr>
    </w:p>
    <w:p w14:paraId="452C2BA6" w14:textId="77777777" w:rsidR="00F85BE6" w:rsidRDefault="00EF6F28">
      <w:pPr>
        <w:spacing w:after="0" w:line="360" w:lineRule="auto"/>
        <w:ind w:left="1134" w:right="1183"/>
        <w:jc w:val="both"/>
        <w:rPr>
          <w:rFonts w:ascii="Arial" w:eastAsia="Arial" w:hAnsi="Arial" w:cs="Arial"/>
          <w:sz w:val="24"/>
          <w:szCs w:val="24"/>
          <w:highlight w:val="white"/>
        </w:rPr>
      </w:pPr>
      <w:r>
        <w:rPr>
          <w:rFonts w:ascii="Arial" w:eastAsia="Arial" w:hAnsi="Arial" w:cs="Arial"/>
          <w:sz w:val="24"/>
          <w:szCs w:val="24"/>
          <w:highlight w:val="white"/>
        </w:rPr>
        <w:t>DENUNCIA PROFEPA DELEGACIÓN ESTADO DE MEXICO Folio 154-21 de fecha 2 de Junio del 2021.</w:t>
      </w:r>
    </w:p>
    <w:p w14:paraId="4A934C08" w14:textId="77777777" w:rsidR="00F85BE6" w:rsidRDefault="00F85BE6">
      <w:pPr>
        <w:spacing w:after="0" w:line="360" w:lineRule="auto"/>
        <w:ind w:left="1134" w:right="1183"/>
        <w:jc w:val="both"/>
        <w:rPr>
          <w:rFonts w:ascii="Arial" w:eastAsia="Arial" w:hAnsi="Arial" w:cs="Arial"/>
          <w:sz w:val="24"/>
          <w:szCs w:val="24"/>
          <w:highlight w:val="white"/>
        </w:rPr>
      </w:pPr>
    </w:p>
    <w:p w14:paraId="0FD8A8C0" w14:textId="77777777" w:rsidR="00F85BE6" w:rsidRDefault="00EF6F28">
      <w:pPr>
        <w:spacing w:after="0" w:line="360" w:lineRule="auto"/>
        <w:ind w:left="1134" w:right="1183"/>
        <w:jc w:val="both"/>
        <w:rPr>
          <w:rFonts w:ascii="Arial" w:eastAsia="Arial" w:hAnsi="Arial" w:cs="Arial"/>
          <w:sz w:val="24"/>
          <w:szCs w:val="24"/>
          <w:highlight w:val="white"/>
        </w:rPr>
      </w:pPr>
      <w:r>
        <w:rPr>
          <w:rFonts w:ascii="Arial" w:eastAsia="Arial" w:hAnsi="Arial" w:cs="Arial"/>
          <w:sz w:val="24"/>
          <w:szCs w:val="24"/>
          <w:highlight w:val="white"/>
        </w:rPr>
        <w:t>DENUNCIA FISCALÍA GENERAL DE JUSTICIA DEL ESTADO DE MEXICO Folio PREDENUNCIA/WEB/0275463/22/03  de fecha 12 de agosto de 2021.</w:t>
      </w:r>
    </w:p>
    <w:p w14:paraId="05CE7910" w14:textId="77777777" w:rsidR="00F85BE6" w:rsidRDefault="00F85BE6">
      <w:pPr>
        <w:spacing w:after="0" w:line="360" w:lineRule="auto"/>
        <w:jc w:val="both"/>
        <w:rPr>
          <w:rFonts w:ascii="Arial" w:eastAsia="Arial" w:hAnsi="Arial" w:cs="Arial"/>
          <w:sz w:val="24"/>
          <w:szCs w:val="24"/>
        </w:rPr>
      </w:pPr>
    </w:p>
    <w:p w14:paraId="5D070DD6"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 xml:space="preserve">Denuncias que al día de hoy no han hecho eco en las autoridades, razón que es suficiente para hacer uso de la máxima tribuna estatal con la finalidad de externar válidamente la preocupación de ciudadanos por el deterioro y la posible tala clandestina de bosques en territorio mexiquense.   </w:t>
      </w:r>
    </w:p>
    <w:p w14:paraId="72AABF54" w14:textId="77777777" w:rsidR="00F85BE6" w:rsidRDefault="00F85BE6">
      <w:pPr>
        <w:spacing w:after="0" w:line="360" w:lineRule="auto"/>
        <w:jc w:val="both"/>
        <w:rPr>
          <w:rFonts w:ascii="Arial" w:eastAsia="Arial" w:hAnsi="Arial" w:cs="Arial"/>
          <w:sz w:val="24"/>
          <w:szCs w:val="24"/>
        </w:rPr>
      </w:pPr>
    </w:p>
    <w:p w14:paraId="1B7AEBA2" w14:textId="77777777" w:rsidR="00F85BE6" w:rsidRDefault="00F85BE6">
      <w:pPr>
        <w:spacing w:after="0" w:line="360" w:lineRule="auto"/>
        <w:jc w:val="both"/>
        <w:rPr>
          <w:rFonts w:ascii="Arial" w:eastAsia="Arial" w:hAnsi="Arial" w:cs="Arial"/>
          <w:sz w:val="24"/>
          <w:szCs w:val="24"/>
        </w:rPr>
      </w:pPr>
    </w:p>
    <w:p w14:paraId="55AE71E7" w14:textId="77777777" w:rsidR="00F85BE6" w:rsidRDefault="00EF6F28">
      <w:pPr>
        <w:spacing w:after="0" w:line="360" w:lineRule="auto"/>
        <w:jc w:val="both"/>
        <w:rPr>
          <w:rFonts w:ascii="Arial" w:eastAsia="Arial" w:hAnsi="Arial" w:cs="Arial"/>
          <w:sz w:val="24"/>
          <w:szCs w:val="24"/>
        </w:rPr>
      </w:pPr>
      <w:r>
        <w:rPr>
          <w:rFonts w:ascii="Arial" w:eastAsia="Arial" w:hAnsi="Arial" w:cs="Arial"/>
          <w:sz w:val="24"/>
          <w:szCs w:val="24"/>
        </w:rPr>
        <w:t>Por lo anteriormente expuesto y fundado, se somete a la consideración esta Honorable Legislatura, el proyecto de Acuerdo de urgente y obvia resolución adjunto, para que dé estimarlo procedente, se apruebe en sus términos.</w:t>
      </w:r>
    </w:p>
    <w:p w14:paraId="205492C5" w14:textId="77777777" w:rsidR="00F85BE6" w:rsidRDefault="00F85BE6">
      <w:pPr>
        <w:spacing w:after="0" w:line="360" w:lineRule="auto"/>
        <w:jc w:val="both"/>
        <w:rPr>
          <w:rFonts w:ascii="Arial" w:eastAsia="Arial" w:hAnsi="Arial" w:cs="Arial"/>
          <w:sz w:val="24"/>
          <w:szCs w:val="24"/>
        </w:rPr>
      </w:pPr>
    </w:p>
    <w:p w14:paraId="678F5FF6" w14:textId="77777777" w:rsidR="00F85BE6" w:rsidRDefault="00F85BE6">
      <w:pPr>
        <w:spacing w:after="0" w:line="360" w:lineRule="auto"/>
        <w:jc w:val="both"/>
        <w:rPr>
          <w:rFonts w:ascii="Arial" w:eastAsia="Arial" w:hAnsi="Arial" w:cs="Arial"/>
          <w:sz w:val="24"/>
          <w:szCs w:val="24"/>
        </w:rPr>
      </w:pPr>
    </w:p>
    <w:p w14:paraId="02615CC1" w14:textId="77777777" w:rsidR="00F85BE6" w:rsidRDefault="00EF6F28">
      <w:pPr>
        <w:spacing w:after="0" w:line="360" w:lineRule="auto"/>
        <w:jc w:val="center"/>
        <w:rPr>
          <w:rFonts w:ascii="Arial" w:eastAsia="Arial" w:hAnsi="Arial" w:cs="Arial"/>
          <w:b/>
          <w:sz w:val="24"/>
          <w:szCs w:val="24"/>
        </w:rPr>
      </w:pPr>
      <w:r>
        <w:rPr>
          <w:rFonts w:ascii="Arial" w:eastAsia="Arial" w:hAnsi="Arial" w:cs="Arial"/>
          <w:b/>
          <w:sz w:val="24"/>
          <w:szCs w:val="24"/>
        </w:rPr>
        <w:t>ATENTAMENTE</w:t>
      </w:r>
    </w:p>
    <w:p w14:paraId="6C2FF94E" w14:textId="77777777" w:rsidR="00F85BE6" w:rsidRDefault="00F85BE6">
      <w:pPr>
        <w:spacing w:after="0" w:line="240" w:lineRule="auto"/>
        <w:jc w:val="center"/>
        <w:rPr>
          <w:rFonts w:ascii="Arial" w:eastAsia="Arial" w:hAnsi="Arial" w:cs="Arial"/>
          <w:b/>
          <w:sz w:val="24"/>
          <w:szCs w:val="24"/>
        </w:rPr>
      </w:pPr>
    </w:p>
    <w:p w14:paraId="077C1117" w14:textId="77777777" w:rsidR="00F85BE6" w:rsidRDefault="00F85BE6">
      <w:pPr>
        <w:spacing w:after="0" w:line="240" w:lineRule="auto"/>
        <w:jc w:val="center"/>
        <w:rPr>
          <w:rFonts w:ascii="Arial" w:eastAsia="Arial" w:hAnsi="Arial" w:cs="Arial"/>
          <w:b/>
          <w:sz w:val="24"/>
          <w:szCs w:val="24"/>
        </w:rPr>
      </w:pPr>
    </w:p>
    <w:p w14:paraId="3DA84B30" w14:textId="77777777" w:rsidR="00F85BE6" w:rsidRDefault="00EF6F28">
      <w:pPr>
        <w:spacing w:after="0" w:line="240" w:lineRule="auto"/>
        <w:jc w:val="center"/>
        <w:rPr>
          <w:rFonts w:ascii="Arial" w:eastAsia="Arial" w:hAnsi="Arial" w:cs="Arial"/>
          <w:b/>
          <w:sz w:val="24"/>
          <w:szCs w:val="24"/>
        </w:rPr>
      </w:pPr>
      <w:r>
        <w:rPr>
          <w:rFonts w:ascii="Arial" w:eastAsia="Arial" w:hAnsi="Arial" w:cs="Arial"/>
          <w:b/>
          <w:sz w:val="24"/>
          <w:szCs w:val="24"/>
        </w:rPr>
        <w:t>DIP. MONICA ANGELICA ALVAREZ NEMER</w:t>
      </w:r>
    </w:p>
    <w:p w14:paraId="7C59543D" w14:textId="77777777" w:rsidR="00F85BE6" w:rsidRDefault="00EF6F28">
      <w:pPr>
        <w:spacing w:after="0" w:line="240" w:lineRule="auto"/>
        <w:jc w:val="center"/>
        <w:rPr>
          <w:rFonts w:ascii="Arial" w:eastAsia="Arial" w:hAnsi="Arial" w:cs="Arial"/>
          <w:b/>
          <w:sz w:val="24"/>
          <w:szCs w:val="24"/>
        </w:rPr>
      </w:pPr>
      <w:r>
        <w:rPr>
          <w:rFonts w:ascii="Arial" w:eastAsia="Arial" w:hAnsi="Arial" w:cs="Arial"/>
          <w:b/>
          <w:sz w:val="24"/>
          <w:szCs w:val="24"/>
        </w:rPr>
        <w:t>PRESENTANTE</w:t>
      </w:r>
    </w:p>
    <w:p w14:paraId="0A01A645" w14:textId="77777777" w:rsidR="00F85BE6" w:rsidRDefault="00F85BE6">
      <w:pPr>
        <w:spacing w:after="0" w:line="240" w:lineRule="auto"/>
        <w:jc w:val="center"/>
        <w:rPr>
          <w:rFonts w:ascii="Arial" w:eastAsia="Arial" w:hAnsi="Arial" w:cs="Arial"/>
          <w:b/>
          <w:sz w:val="24"/>
          <w:szCs w:val="24"/>
        </w:rPr>
      </w:pPr>
    </w:p>
    <w:p w14:paraId="7C544D26" w14:textId="77777777" w:rsidR="00F85BE6" w:rsidRDefault="00F85BE6">
      <w:pPr>
        <w:spacing w:after="0" w:line="240" w:lineRule="auto"/>
        <w:jc w:val="center"/>
        <w:rPr>
          <w:rFonts w:ascii="Arial" w:eastAsia="Arial" w:hAnsi="Arial" w:cs="Arial"/>
          <w:b/>
          <w:sz w:val="24"/>
          <w:szCs w:val="24"/>
        </w:rPr>
      </w:pPr>
    </w:p>
    <w:p w14:paraId="4920B1D3" w14:textId="77777777" w:rsidR="00F85BE6" w:rsidRDefault="00F85BE6">
      <w:pPr>
        <w:spacing w:after="0" w:line="240" w:lineRule="auto"/>
        <w:jc w:val="center"/>
        <w:rPr>
          <w:rFonts w:ascii="Arial" w:eastAsia="Arial" w:hAnsi="Arial" w:cs="Arial"/>
          <w:b/>
          <w:sz w:val="24"/>
          <w:szCs w:val="24"/>
        </w:rPr>
      </w:pPr>
    </w:p>
    <w:tbl>
      <w:tblPr>
        <w:tblStyle w:val="a"/>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F85BE6" w14:paraId="6B807CC8"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652D1C9"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246AF3D"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CBD78DF"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ANAIS MIRIAM BURGOS HERNÁNDEZ</w:t>
            </w:r>
          </w:p>
          <w:p w14:paraId="6BD2E850"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527351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C2C2F63"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622AAC0"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AFD740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858CFB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225688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ADRIAN MANUEL GALICIA SALCEDA</w:t>
            </w:r>
          </w:p>
          <w:p w14:paraId="40282D6E"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063B0B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85BE6" w14:paraId="02534501" w14:textId="77777777">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3B3FE5FD"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ELBA ALDANA DUARTE</w:t>
            </w:r>
          </w:p>
          <w:p w14:paraId="1D66F2F4"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1833E8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3028A3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37E7E7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6C72E97"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AZUCENA CISNEROS COSS</w:t>
            </w:r>
          </w:p>
        </w:tc>
      </w:tr>
      <w:tr w:rsidR="00F85BE6" w14:paraId="7A446E72"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F8AEB4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MAURILIO HERNÁNDEZ GONZÁLEZ</w:t>
            </w:r>
          </w:p>
          <w:p w14:paraId="1F714B0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8573D0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5CD2351"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9D091D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17901BC"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MARCO ANTONIO CRUZ CRUZ</w:t>
            </w:r>
          </w:p>
        </w:tc>
      </w:tr>
      <w:tr w:rsidR="00F85BE6" w14:paraId="180A4145" w14:textId="77777777">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E4E13DC"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MARIO ARIEL JUAREZ RODRÍGUEZ</w:t>
            </w:r>
          </w:p>
          <w:p w14:paraId="045CAFE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2D5B1C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B11C5E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3E1378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321D353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FAUSTINO DE LA CRUZ PÉREZ</w:t>
            </w:r>
          </w:p>
          <w:p w14:paraId="258FC87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85BE6" w14:paraId="3E7DD3F2"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C76A4D8"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4E9ED5D3"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NAZARIO GUTIÉRREZ MARTÍNEZ</w:t>
            </w:r>
          </w:p>
        </w:tc>
      </w:tr>
      <w:tr w:rsidR="00F85BE6" w14:paraId="75F1E977"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C38D203"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ADDBAE5"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1757BC2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BD92F22"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GERARDO ULLOA PÉREZ</w:t>
            </w:r>
          </w:p>
        </w:tc>
      </w:tr>
      <w:tr w:rsidR="00F85BE6" w14:paraId="7F9C2817" w14:textId="77777777">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C966A5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179C1CE"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70CB28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YESICA YANET ROJAS HERNÁNDEZ</w:t>
            </w:r>
          </w:p>
          <w:p w14:paraId="0D29FC2D"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EBC0BFD"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F24A0E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B3CCBE1"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6663F0B"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14:paraId="2B8D6DB4"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BB64AA9"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B5B1F0B"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DIP. BEATRIZ GARCÍA VILLEGAS </w:t>
            </w:r>
          </w:p>
          <w:p w14:paraId="01C2C756"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865D5A8"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5C25656"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B771CF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39E6BD8"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ROSA MARÍA ZETINA GONZÁLEZ</w:t>
            </w:r>
          </w:p>
        </w:tc>
      </w:tr>
      <w:tr w:rsidR="00F85BE6" w14:paraId="3443E297"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4BAE66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125D490"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358554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ECD65A1"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68C0B896"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476504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9F34C7A"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5C9A821"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KARINA LABASTIDA SOTELO</w:t>
            </w:r>
          </w:p>
        </w:tc>
      </w:tr>
      <w:tr w:rsidR="00F85BE6" w14:paraId="14831CB6" w14:textId="77777777">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B588436" w14:textId="77777777" w:rsidR="00F85BE6" w:rsidRDefault="00F85BE6">
            <w:pPr>
              <w:jc w:val="center"/>
              <w:rPr>
                <w:rFonts w:ascii="Arial" w:eastAsia="Arial" w:hAnsi="Arial" w:cs="Arial"/>
                <w:b/>
                <w:color w:val="000000"/>
              </w:rPr>
            </w:pPr>
          </w:p>
          <w:p w14:paraId="7DD4DEC9" w14:textId="77777777" w:rsidR="00F85BE6" w:rsidRDefault="00EF6F28">
            <w:pPr>
              <w:jc w:val="center"/>
              <w:rPr>
                <w:rFonts w:ascii="Arial" w:eastAsia="Arial" w:hAnsi="Arial" w:cs="Arial"/>
                <w:b/>
                <w:color w:val="000000"/>
              </w:rPr>
            </w:pPr>
            <w:r>
              <w:rPr>
                <w:rFonts w:ascii="Arial" w:eastAsia="Arial" w:hAnsi="Arial" w:cs="Arial"/>
                <w:b/>
                <w:color w:val="000000"/>
                <w:sz w:val="24"/>
                <w:szCs w:val="24"/>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6A73B6AF"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434468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ISAAC MARTÍN MONTOYA MÁRQUEZ</w:t>
            </w:r>
          </w:p>
        </w:tc>
      </w:tr>
      <w:tr w:rsidR="00F85BE6" w14:paraId="1E3F8A4C" w14:textId="77777777">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4F14045" w14:textId="77777777" w:rsidR="00F85BE6" w:rsidRDefault="00F85BE6">
            <w:pPr>
              <w:rPr>
                <w:rFonts w:ascii="Arial" w:eastAsia="Arial" w:hAnsi="Arial" w:cs="Arial"/>
                <w:b/>
                <w:color w:val="000000"/>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63B5BDA" w14:textId="77777777" w:rsidR="00F85BE6" w:rsidRDefault="00F85BE6">
            <w:pPr>
              <w:rPr>
                <w:rFonts w:ascii="Arial" w:eastAsia="Arial" w:hAnsi="Arial" w:cs="Arial"/>
                <w:b/>
                <w:color w:val="000000"/>
              </w:rPr>
            </w:pPr>
          </w:p>
        </w:tc>
      </w:tr>
      <w:tr w:rsidR="00F85BE6" w14:paraId="03243C1E" w14:textId="77777777">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6A93FC2"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5FFA728"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BBC6D6A"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MAX AGUSTIN CORREA HERNÁNDEZ</w:t>
            </w:r>
          </w:p>
          <w:p w14:paraId="66BE6B13"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21EA380"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C73390B"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4B604924"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14:paraId="47E2C45E"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61941F44"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0A805ABC"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LUZ MA. HERNÁNDEZ BERMUDEZ</w:t>
            </w:r>
          </w:p>
          <w:p w14:paraId="79258867"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FEEDAC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94B7B13"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5FBD7AFE"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ALICIA MERCADO MORENO</w:t>
            </w:r>
          </w:p>
        </w:tc>
      </w:tr>
      <w:tr w:rsidR="00F85BE6" w14:paraId="6989E484" w14:textId="77777777">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022F636"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84C28A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CC0272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12AB85C0"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5936C428"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5100F38"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424A544"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CE51E4F"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EDITH MARISOL MERCADO TORRES</w:t>
            </w:r>
          </w:p>
          <w:p w14:paraId="3CC8993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76AB7925"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2B53854A"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E2D43AC"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r>
      <w:tr w:rsidR="00F85BE6" w14:paraId="14DD4755" w14:textId="77777777">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A107D48"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 EMILIANO AGUIRRE CRUZ</w:t>
            </w:r>
          </w:p>
          <w:p w14:paraId="15A3317D"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p w14:paraId="30AE4554" w14:textId="77777777" w:rsidR="00F85BE6" w:rsidRDefault="00F85BE6">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28A674D8" w14:textId="77777777" w:rsidR="00F85BE6" w:rsidRDefault="00EF6F28">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rPr>
            </w:pPr>
            <w:r>
              <w:rPr>
                <w:rFonts w:ascii="Arial" w:eastAsia="Arial" w:hAnsi="Arial" w:cs="Arial"/>
                <w:b/>
                <w:color w:val="000000"/>
                <w:sz w:val="24"/>
                <w:szCs w:val="24"/>
              </w:rPr>
              <w:t>DIP. MARÍA DEL CARMEN DE LA ROSA MENDOZA</w:t>
            </w:r>
          </w:p>
        </w:tc>
      </w:tr>
    </w:tbl>
    <w:p w14:paraId="08063896" w14:textId="77777777" w:rsidR="00F85BE6" w:rsidRDefault="00F85BE6">
      <w:pPr>
        <w:spacing w:line="360" w:lineRule="auto"/>
        <w:jc w:val="center"/>
        <w:rPr>
          <w:rFonts w:ascii="Arial" w:eastAsia="Arial" w:hAnsi="Arial" w:cs="Arial"/>
          <w:b/>
          <w:color w:val="000000"/>
          <w:sz w:val="24"/>
          <w:szCs w:val="24"/>
        </w:rPr>
      </w:pPr>
    </w:p>
    <w:p w14:paraId="71B58883" w14:textId="77777777" w:rsidR="00F85BE6" w:rsidRDefault="00EF6F2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PROYECTO DE ACUERDO</w:t>
      </w:r>
    </w:p>
    <w:p w14:paraId="5C43085E" w14:textId="77777777" w:rsidR="00F85BE6" w:rsidRDefault="00EF6F28">
      <w:pPr>
        <w:spacing w:line="360" w:lineRule="auto"/>
        <w:ind w:right="49"/>
        <w:jc w:val="both"/>
        <w:rPr>
          <w:rFonts w:ascii="Arial" w:eastAsia="Arial" w:hAnsi="Arial" w:cs="Arial"/>
          <w:b/>
          <w:sz w:val="24"/>
          <w:szCs w:val="24"/>
        </w:rPr>
      </w:pPr>
      <w:r>
        <w:rPr>
          <w:rFonts w:ascii="Arial" w:eastAsia="Arial" w:hAnsi="Arial" w:cs="Arial"/>
          <w:b/>
          <w:sz w:val="24"/>
          <w:szCs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12A4E4E1" w14:textId="77777777" w:rsidR="00F85BE6" w:rsidRDefault="00F85BE6">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sz w:val="24"/>
          <w:szCs w:val="24"/>
        </w:rPr>
      </w:pPr>
    </w:p>
    <w:p w14:paraId="5AED4056" w14:textId="77777777" w:rsidR="00F85BE6" w:rsidRDefault="00EF6F28">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ACUERDO</w:t>
      </w:r>
    </w:p>
    <w:p w14:paraId="5ACA10B6" w14:textId="77777777" w:rsidR="00F85BE6" w:rsidRDefault="00EF6F28">
      <w:pPr>
        <w:pBdr>
          <w:top w:val="nil"/>
          <w:left w:val="nil"/>
          <w:bottom w:val="nil"/>
          <w:right w:val="nil"/>
          <w:between w:val="nil"/>
        </w:pBdr>
        <w:spacing w:line="360" w:lineRule="auto"/>
        <w:jc w:val="both"/>
        <w:rPr>
          <w:rFonts w:ascii="Arial" w:eastAsia="Arial" w:hAnsi="Arial" w:cs="Arial"/>
          <w:color w:val="000000"/>
          <w:sz w:val="24"/>
          <w:szCs w:val="24"/>
        </w:rPr>
      </w:pPr>
      <w:bookmarkStart w:id="4" w:name="_3znysh7" w:colFirst="0" w:colLast="0"/>
      <w:bookmarkEnd w:id="4"/>
      <w:r>
        <w:rPr>
          <w:rFonts w:ascii="Arial" w:eastAsia="Arial" w:hAnsi="Arial" w:cs="Arial"/>
          <w:b/>
          <w:color w:val="000000"/>
          <w:sz w:val="24"/>
          <w:szCs w:val="24"/>
        </w:rPr>
        <w:t>PRIMERO</w:t>
      </w:r>
      <w:r>
        <w:rPr>
          <w:rFonts w:ascii="Arial" w:eastAsia="Arial" w:hAnsi="Arial" w:cs="Arial"/>
          <w:color w:val="000000"/>
          <w:sz w:val="24"/>
          <w:szCs w:val="24"/>
        </w:rPr>
        <w:t xml:space="preserve">. Se </w:t>
      </w:r>
      <w:r>
        <w:rPr>
          <w:rFonts w:ascii="Arial" w:eastAsia="Arial" w:hAnsi="Arial" w:cs="Arial"/>
          <w:sz w:val="24"/>
          <w:szCs w:val="24"/>
        </w:rPr>
        <w:t>EXHORTA respetuosamente a la persona Titular de la Procuraduría Federal de Protección al Ambiente (PROFEPA) Delegación Estado de México; así como a las personas Titulares de la Dirección General de la Protectora de Bosques del Estado de México (PROBOSQUE)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así como para agilizar las denuncias que tienen respectivamente a su cargo, ante la posible comisión de delitos contra el ambiente y la tala clandestina de bosques.</w:t>
      </w:r>
    </w:p>
    <w:p w14:paraId="14EFFE6C" w14:textId="77777777" w:rsidR="00F85BE6" w:rsidRDefault="00F85BE6">
      <w:pPr>
        <w:pBdr>
          <w:top w:val="nil"/>
          <w:left w:val="nil"/>
          <w:bottom w:val="nil"/>
          <w:right w:val="nil"/>
          <w:between w:val="nil"/>
        </w:pBdr>
        <w:spacing w:line="360" w:lineRule="auto"/>
        <w:jc w:val="both"/>
        <w:rPr>
          <w:rFonts w:ascii="Arial" w:eastAsia="Arial" w:hAnsi="Arial" w:cs="Arial"/>
          <w:color w:val="000000"/>
          <w:sz w:val="24"/>
          <w:szCs w:val="24"/>
        </w:rPr>
      </w:pPr>
    </w:p>
    <w:p w14:paraId="560022B7" w14:textId="77777777" w:rsidR="00F85BE6" w:rsidRPr="00FF733F" w:rsidRDefault="00EF6F28">
      <w:pPr>
        <w:pBdr>
          <w:top w:val="nil"/>
          <w:left w:val="nil"/>
          <w:bottom w:val="nil"/>
          <w:right w:val="nil"/>
          <w:between w:val="nil"/>
        </w:pBdr>
        <w:spacing w:after="0" w:line="360" w:lineRule="auto"/>
        <w:jc w:val="center"/>
        <w:rPr>
          <w:rFonts w:ascii="Arial" w:eastAsia="Arial" w:hAnsi="Arial" w:cs="Arial"/>
          <w:b/>
          <w:color w:val="000000"/>
          <w:sz w:val="24"/>
          <w:szCs w:val="24"/>
          <w:lang w:val="en-US"/>
        </w:rPr>
      </w:pPr>
      <w:r w:rsidRPr="00FF733F">
        <w:rPr>
          <w:rFonts w:ascii="Arial" w:eastAsia="Arial" w:hAnsi="Arial" w:cs="Arial"/>
          <w:b/>
          <w:color w:val="000000"/>
          <w:sz w:val="24"/>
          <w:szCs w:val="24"/>
          <w:lang w:val="en-US"/>
        </w:rPr>
        <w:t>T R A N S I T O R I O S</w:t>
      </w:r>
    </w:p>
    <w:p w14:paraId="5E40AA22" w14:textId="77777777" w:rsidR="00F85BE6" w:rsidRDefault="00EF6F28">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ARTÍCULO PRIMERO.</w:t>
      </w:r>
      <w:r>
        <w:rPr>
          <w:rFonts w:ascii="Arial" w:eastAsia="Arial" w:hAnsi="Arial" w:cs="Arial"/>
          <w:color w:val="000000"/>
          <w:sz w:val="24"/>
          <w:szCs w:val="24"/>
        </w:rPr>
        <w:t xml:space="preserve"> - Publíquese el presente Acuerdo en el Periódico Oficial “</w:t>
      </w:r>
      <w:r>
        <w:rPr>
          <w:rFonts w:ascii="Arial" w:eastAsia="Arial" w:hAnsi="Arial" w:cs="Arial"/>
          <w:i/>
          <w:color w:val="000000"/>
          <w:sz w:val="24"/>
          <w:szCs w:val="24"/>
        </w:rPr>
        <w:t>Gaceta del Gobierno</w:t>
      </w:r>
      <w:r>
        <w:rPr>
          <w:rFonts w:ascii="Arial" w:eastAsia="Arial" w:hAnsi="Arial" w:cs="Arial"/>
          <w:color w:val="000000"/>
          <w:sz w:val="24"/>
          <w:szCs w:val="24"/>
        </w:rPr>
        <w:t>” del Estado Libre y Soberano de México.</w:t>
      </w:r>
    </w:p>
    <w:p w14:paraId="71CBCA84" w14:textId="77777777" w:rsidR="00F85BE6" w:rsidRDefault="00F85BE6">
      <w:pPr>
        <w:pBdr>
          <w:top w:val="nil"/>
          <w:left w:val="nil"/>
          <w:bottom w:val="nil"/>
          <w:right w:val="nil"/>
          <w:between w:val="nil"/>
        </w:pBdr>
        <w:spacing w:after="0" w:line="360" w:lineRule="auto"/>
        <w:jc w:val="both"/>
        <w:rPr>
          <w:rFonts w:ascii="Arial" w:eastAsia="Arial" w:hAnsi="Arial" w:cs="Arial"/>
          <w:color w:val="000000"/>
          <w:sz w:val="24"/>
          <w:szCs w:val="24"/>
        </w:rPr>
      </w:pPr>
    </w:p>
    <w:p w14:paraId="322526EF" w14:textId="77777777" w:rsidR="00F85BE6" w:rsidRDefault="00EF6F28">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ARTÍCULO SEGUNDO</w:t>
      </w:r>
      <w:r>
        <w:rPr>
          <w:rFonts w:ascii="Arial" w:eastAsia="Arial" w:hAnsi="Arial" w:cs="Arial"/>
          <w:color w:val="000000"/>
          <w:sz w:val="24"/>
          <w:szCs w:val="24"/>
        </w:rPr>
        <w:t>. Comuníquese el presente Acuerdo a las autoridades correspondientes, para los efectos competentes.</w:t>
      </w:r>
    </w:p>
    <w:p w14:paraId="565377C3" w14:textId="77777777" w:rsidR="00F85BE6" w:rsidRDefault="00F85BE6">
      <w:pPr>
        <w:pBdr>
          <w:top w:val="nil"/>
          <w:left w:val="nil"/>
          <w:bottom w:val="nil"/>
          <w:right w:val="nil"/>
          <w:between w:val="nil"/>
        </w:pBdr>
        <w:spacing w:after="0" w:line="360" w:lineRule="auto"/>
        <w:jc w:val="both"/>
        <w:rPr>
          <w:rFonts w:ascii="Arial" w:eastAsia="Arial" w:hAnsi="Arial" w:cs="Arial"/>
          <w:color w:val="000000"/>
          <w:sz w:val="24"/>
          <w:szCs w:val="24"/>
        </w:rPr>
      </w:pPr>
    </w:p>
    <w:p w14:paraId="5B2664FB" w14:textId="77777777" w:rsidR="00F85BE6" w:rsidRDefault="00EF6F28">
      <w:pPr>
        <w:pBdr>
          <w:top w:val="nil"/>
          <w:left w:val="nil"/>
          <w:bottom w:val="nil"/>
          <w:right w:val="nil"/>
          <w:between w:val="nil"/>
        </w:pBdr>
        <w:spacing w:after="0" w:line="360" w:lineRule="auto"/>
        <w:jc w:val="both"/>
        <w:rPr>
          <w:rFonts w:ascii="Helvetica Neue" w:eastAsia="Helvetica Neue" w:hAnsi="Helvetica Neue" w:cs="Helvetica Neue"/>
          <w:color w:val="000000"/>
          <w:sz w:val="24"/>
          <w:szCs w:val="24"/>
        </w:rPr>
      </w:pPr>
      <w:r>
        <w:rPr>
          <w:rFonts w:ascii="Arial" w:eastAsia="Arial" w:hAnsi="Arial" w:cs="Arial"/>
          <w:color w:val="000000"/>
          <w:sz w:val="24"/>
          <w:szCs w:val="24"/>
        </w:rPr>
        <w:t>Dado en el Palacio del Poder Legislativo, en la Ciudad de Toluca de Lerdo, capital del Estado de México, a los ______ días del mes de septiembre del año dos mil veintidós.</w:t>
      </w:r>
    </w:p>
    <w:p w14:paraId="6AFCD5A9" w14:textId="77777777" w:rsidR="00F85BE6" w:rsidRDefault="00F85BE6">
      <w:pPr>
        <w:spacing w:after="0" w:line="360" w:lineRule="auto"/>
        <w:jc w:val="both"/>
        <w:rPr>
          <w:sz w:val="24"/>
          <w:szCs w:val="24"/>
        </w:rPr>
      </w:pPr>
    </w:p>
    <w:p w14:paraId="009DA47E" w14:textId="77777777" w:rsidR="00F85BE6" w:rsidRDefault="00F85BE6">
      <w:pPr>
        <w:spacing w:after="0" w:line="360" w:lineRule="auto"/>
        <w:jc w:val="both"/>
        <w:rPr>
          <w:sz w:val="24"/>
          <w:szCs w:val="24"/>
        </w:rPr>
      </w:pPr>
    </w:p>
    <w:p w14:paraId="3ABC1F0F" w14:textId="77777777" w:rsidR="00F85BE6" w:rsidRDefault="00F85BE6"/>
    <w:p w14:paraId="5E005F83" w14:textId="77777777" w:rsidR="00F85BE6" w:rsidRDefault="00F85BE6"/>
    <w:sectPr w:rsidR="00F85BE6">
      <w:headerReference w:type="even" r:id="rId7"/>
      <w:headerReference w:type="default" r:id="rId8"/>
      <w:footerReference w:type="default" r:id="rId9"/>
      <w:headerReference w:type="first" r:id="rId10"/>
      <w:pgSz w:w="12240" w:h="15840"/>
      <w:pgMar w:top="19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62F92" w14:textId="77777777" w:rsidR="00583364" w:rsidRDefault="00583364">
      <w:pPr>
        <w:spacing w:after="0" w:line="240" w:lineRule="auto"/>
      </w:pPr>
      <w:r>
        <w:separator/>
      </w:r>
    </w:p>
  </w:endnote>
  <w:endnote w:type="continuationSeparator" w:id="0">
    <w:p w14:paraId="64A6B4B3" w14:textId="77777777" w:rsidR="00583364" w:rsidRDefault="0058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0020C" w14:textId="77777777" w:rsidR="00F85BE6" w:rsidRDefault="00F85BE6">
    <w:pPr>
      <w:widowControl w:val="0"/>
      <w:pBdr>
        <w:top w:val="nil"/>
        <w:left w:val="nil"/>
        <w:bottom w:val="nil"/>
        <w:right w:val="nil"/>
        <w:between w:val="nil"/>
      </w:pBdr>
      <w:spacing w:after="0" w:line="276" w:lineRule="auto"/>
    </w:pPr>
  </w:p>
  <w:tbl>
    <w:tblPr>
      <w:tblStyle w:val="a0"/>
      <w:tblW w:w="88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F85BE6" w14:paraId="3F080799" w14:textId="77777777">
      <w:tc>
        <w:tcPr>
          <w:tcW w:w="2652" w:type="dxa"/>
        </w:tcPr>
        <w:p w14:paraId="240B5F3A" w14:textId="77777777" w:rsidR="00F85BE6" w:rsidRDefault="00EF6F28">
          <w:pPr>
            <w:pBdr>
              <w:top w:val="nil"/>
              <w:left w:val="nil"/>
              <w:bottom w:val="nil"/>
              <w:right w:val="nil"/>
              <w:between w:val="nil"/>
            </w:pBdr>
            <w:tabs>
              <w:tab w:val="center" w:pos="4419"/>
              <w:tab w:val="right" w:pos="8838"/>
            </w:tabs>
            <w:jc w:val="both"/>
            <w:rPr>
              <w:color w:val="000000"/>
              <w:sz w:val="18"/>
              <w:szCs w:val="18"/>
            </w:rPr>
          </w:pPr>
          <w:r>
            <w:rPr>
              <w:color w:val="000000"/>
              <w:sz w:val="18"/>
              <w:szCs w:val="18"/>
            </w:rPr>
            <w:t>Plaza Hidalgo S/N Col. Centro</w:t>
          </w:r>
        </w:p>
        <w:p w14:paraId="6350F7E1" w14:textId="77777777" w:rsidR="00F85BE6" w:rsidRDefault="00EF6F28">
          <w:pPr>
            <w:pBdr>
              <w:top w:val="nil"/>
              <w:left w:val="nil"/>
              <w:bottom w:val="nil"/>
              <w:right w:val="nil"/>
              <w:between w:val="nil"/>
            </w:pBdr>
            <w:tabs>
              <w:tab w:val="center" w:pos="4419"/>
              <w:tab w:val="right" w:pos="8838"/>
            </w:tabs>
            <w:jc w:val="both"/>
            <w:rPr>
              <w:color w:val="000000"/>
              <w:sz w:val="18"/>
              <w:szCs w:val="18"/>
            </w:rPr>
          </w:pPr>
          <w:r>
            <w:rPr>
              <w:color w:val="000000"/>
              <w:sz w:val="18"/>
              <w:szCs w:val="18"/>
            </w:rPr>
            <w:t>Toluca, México, C.P. 50000</w:t>
          </w:r>
        </w:p>
        <w:p w14:paraId="34425B57" w14:textId="77777777" w:rsidR="00F85BE6" w:rsidRDefault="00EF6F28">
          <w:pPr>
            <w:pBdr>
              <w:top w:val="nil"/>
              <w:left w:val="nil"/>
              <w:bottom w:val="nil"/>
              <w:right w:val="nil"/>
              <w:between w:val="nil"/>
            </w:pBdr>
            <w:tabs>
              <w:tab w:val="center" w:pos="4419"/>
              <w:tab w:val="right" w:pos="8838"/>
            </w:tabs>
            <w:jc w:val="both"/>
            <w:rPr>
              <w:color w:val="000000"/>
            </w:rPr>
          </w:pPr>
          <w:r>
            <w:rPr>
              <w:color w:val="000000"/>
              <w:sz w:val="18"/>
              <w:szCs w:val="18"/>
            </w:rPr>
            <w:t xml:space="preserve">Tels. (722) 279 6400 </w:t>
          </w:r>
        </w:p>
      </w:tc>
      <w:tc>
        <w:tcPr>
          <w:tcW w:w="884" w:type="dxa"/>
        </w:tcPr>
        <w:p w14:paraId="70B6E1F5" w14:textId="77777777" w:rsidR="00F85BE6" w:rsidRDefault="00F85BE6">
          <w:pPr>
            <w:pBdr>
              <w:top w:val="nil"/>
              <w:left w:val="nil"/>
              <w:bottom w:val="nil"/>
              <w:right w:val="nil"/>
              <w:between w:val="nil"/>
            </w:pBdr>
            <w:tabs>
              <w:tab w:val="center" w:pos="4419"/>
              <w:tab w:val="right" w:pos="8838"/>
            </w:tabs>
            <w:jc w:val="right"/>
            <w:rPr>
              <w:color w:val="000000"/>
            </w:rPr>
          </w:pPr>
        </w:p>
      </w:tc>
      <w:tc>
        <w:tcPr>
          <w:tcW w:w="884" w:type="dxa"/>
        </w:tcPr>
        <w:p w14:paraId="33076D8A" w14:textId="77777777" w:rsidR="00F85BE6" w:rsidRDefault="00EF6F28">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6DED9121" wp14:editId="4DE588F0">
                <wp:simplePos x="0" y="0"/>
                <wp:positionH relativeFrom="column">
                  <wp:posOffset>30481</wp:posOffset>
                </wp:positionH>
                <wp:positionV relativeFrom="paragraph">
                  <wp:posOffset>15875</wp:posOffset>
                </wp:positionV>
                <wp:extent cx="1077595" cy="42418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3F021296" w14:textId="77777777" w:rsidR="00F85BE6" w:rsidRDefault="00F85BE6">
          <w:pPr>
            <w:pBdr>
              <w:top w:val="nil"/>
              <w:left w:val="nil"/>
              <w:bottom w:val="nil"/>
              <w:right w:val="nil"/>
              <w:between w:val="nil"/>
            </w:pBdr>
            <w:tabs>
              <w:tab w:val="center" w:pos="4419"/>
              <w:tab w:val="right" w:pos="8838"/>
            </w:tabs>
            <w:jc w:val="right"/>
            <w:rPr>
              <w:color w:val="000000"/>
            </w:rPr>
          </w:pPr>
        </w:p>
      </w:tc>
      <w:tc>
        <w:tcPr>
          <w:tcW w:w="883" w:type="dxa"/>
        </w:tcPr>
        <w:p w14:paraId="4D8FDAF5" w14:textId="77777777" w:rsidR="00F85BE6" w:rsidRDefault="00F85BE6">
          <w:pPr>
            <w:pBdr>
              <w:top w:val="nil"/>
              <w:left w:val="nil"/>
              <w:bottom w:val="nil"/>
              <w:right w:val="nil"/>
              <w:between w:val="nil"/>
            </w:pBdr>
            <w:tabs>
              <w:tab w:val="center" w:pos="4419"/>
              <w:tab w:val="right" w:pos="8838"/>
            </w:tabs>
            <w:jc w:val="right"/>
            <w:rPr>
              <w:color w:val="000000"/>
            </w:rPr>
          </w:pPr>
        </w:p>
      </w:tc>
      <w:tc>
        <w:tcPr>
          <w:tcW w:w="883" w:type="dxa"/>
        </w:tcPr>
        <w:p w14:paraId="22CFDA5F" w14:textId="77777777" w:rsidR="00F85BE6" w:rsidRDefault="00F85BE6">
          <w:pPr>
            <w:pBdr>
              <w:top w:val="nil"/>
              <w:left w:val="nil"/>
              <w:bottom w:val="nil"/>
              <w:right w:val="nil"/>
              <w:between w:val="nil"/>
            </w:pBdr>
            <w:tabs>
              <w:tab w:val="center" w:pos="4419"/>
              <w:tab w:val="right" w:pos="8838"/>
            </w:tabs>
            <w:jc w:val="right"/>
            <w:rPr>
              <w:color w:val="000000"/>
            </w:rPr>
          </w:pPr>
        </w:p>
      </w:tc>
      <w:tc>
        <w:tcPr>
          <w:tcW w:w="883" w:type="dxa"/>
        </w:tcPr>
        <w:p w14:paraId="1AF94189" w14:textId="77777777" w:rsidR="00F85BE6" w:rsidRDefault="00EF6F28">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2336" behindDoc="0" locked="0" layoutInCell="1" hidden="0" allowOverlap="1" wp14:anchorId="79C33307" wp14:editId="50899D8F">
                <wp:simplePos x="0" y="0"/>
                <wp:positionH relativeFrom="column">
                  <wp:posOffset>-836929</wp:posOffset>
                </wp:positionH>
                <wp:positionV relativeFrom="paragraph">
                  <wp:posOffset>0</wp:posOffset>
                </wp:positionV>
                <wp:extent cx="1972310" cy="3098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09880"/>
                        </a:xfrm>
                        <a:prstGeom prst="rect">
                          <a:avLst/>
                        </a:prstGeom>
                        <a:ln/>
                      </pic:spPr>
                    </pic:pic>
                  </a:graphicData>
                </a:graphic>
              </wp:anchor>
            </w:drawing>
          </w:r>
        </w:p>
      </w:tc>
      <w:tc>
        <w:tcPr>
          <w:tcW w:w="886" w:type="dxa"/>
        </w:tcPr>
        <w:p w14:paraId="6753E222" w14:textId="77777777" w:rsidR="00F85BE6" w:rsidRDefault="00F85BE6">
          <w:pPr>
            <w:pBdr>
              <w:top w:val="nil"/>
              <w:left w:val="nil"/>
              <w:bottom w:val="nil"/>
              <w:right w:val="nil"/>
              <w:between w:val="nil"/>
            </w:pBdr>
            <w:tabs>
              <w:tab w:val="center" w:pos="4419"/>
              <w:tab w:val="right" w:pos="8838"/>
            </w:tabs>
            <w:jc w:val="right"/>
            <w:rPr>
              <w:color w:val="000000"/>
            </w:rPr>
          </w:pPr>
        </w:p>
        <w:p w14:paraId="1817297E" w14:textId="77777777" w:rsidR="00F85BE6" w:rsidRDefault="00F85BE6">
          <w:pPr>
            <w:pBdr>
              <w:top w:val="nil"/>
              <w:left w:val="nil"/>
              <w:bottom w:val="nil"/>
              <w:right w:val="nil"/>
              <w:between w:val="nil"/>
            </w:pBdr>
            <w:tabs>
              <w:tab w:val="center" w:pos="4419"/>
              <w:tab w:val="right" w:pos="8838"/>
            </w:tabs>
            <w:jc w:val="right"/>
            <w:rPr>
              <w:color w:val="000000"/>
            </w:rPr>
          </w:pPr>
        </w:p>
        <w:p w14:paraId="4B9F72E8" w14:textId="77777777" w:rsidR="00F85BE6" w:rsidRDefault="00EF6F2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FF733F">
            <w:rPr>
              <w:noProof/>
              <w:color w:val="000000"/>
            </w:rPr>
            <w:t>1</w:t>
          </w:r>
          <w:r>
            <w:rPr>
              <w:color w:val="000000"/>
            </w:rPr>
            <w:fldChar w:fldCharType="end"/>
          </w:r>
        </w:p>
      </w:tc>
    </w:tr>
  </w:tbl>
  <w:p w14:paraId="32183FD7" w14:textId="77777777" w:rsidR="00F85BE6" w:rsidRDefault="00F85BE6">
    <w:pPr>
      <w:pBdr>
        <w:top w:val="nil"/>
        <w:left w:val="nil"/>
        <w:bottom w:val="nil"/>
        <w:right w:val="nil"/>
        <w:between w:val="nil"/>
      </w:pBdr>
      <w:tabs>
        <w:tab w:val="center" w:pos="4419"/>
        <w:tab w:val="right" w:pos="8838"/>
      </w:tabs>
      <w:spacing w:after="0" w:line="240" w:lineRule="auto"/>
      <w:jc w:val="center"/>
      <w:rPr>
        <w:color w:val="000000"/>
      </w:rPr>
    </w:pPr>
  </w:p>
  <w:p w14:paraId="6755EAFA" w14:textId="77777777" w:rsidR="00F85BE6" w:rsidRDefault="00F85BE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2FC54" w14:textId="77777777" w:rsidR="00583364" w:rsidRDefault="00583364">
      <w:pPr>
        <w:spacing w:after="0" w:line="240" w:lineRule="auto"/>
      </w:pPr>
      <w:r>
        <w:separator/>
      </w:r>
    </w:p>
  </w:footnote>
  <w:footnote w:type="continuationSeparator" w:id="0">
    <w:p w14:paraId="4B8537AD" w14:textId="77777777" w:rsidR="00583364" w:rsidRDefault="00583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6E728" w14:textId="77777777" w:rsidR="00F85BE6" w:rsidRDefault="00EF6F28">
    <w:pPr>
      <w:spacing w:after="0"/>
      <w:ind w:left="-1440" w:right="3306"/>
    </w:pPr>
    <w:r>
      <w:rPr>
        <w:noProof/>
      </w:rPr>
      <w:drawing>
        <wp:anchor distT="0" distB="0" distL="114300" distR="114300" simplePos="0" relativeHeight="251660288" behindDoc="0" locked="0" layoutInCell="1" hidden="0" allowOverlap="1" wp14:anchorId="792CAE7C" wp14:editId="422EBF56">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2AC0E" w14:textId="77777777" w:rsidR="00F85BE6" w:rsidRDefault="00EF6F28">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166F1C7D" wp14:editId="3FA49D82">
          <wp:extent cx="2471282" cy="813971"/>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93B639D" wp14:editId="66693A47">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2B5134AD" w14:textId="77777777" w:rsidR="00264159" w:rsidRPr="00C85FE3" w:rsidRDefault="00EF6F28"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55E9C60" w14:textId="77777777" w:rsidR="00264159" w:rsidRPr="00847C68" w:rsidRDefault="00583364" w:rsidP="00264159">
                          <w:pPr>
                            <w:rPr>
                              <w:rFonts w:ascii="Lato" w:hAnsi="Lato"/>
                              <w:b/>
                              <w:color w:val="692044"/>
                              <w:sz w:val="14"/>
                              <w:szCs w:val="14"/>
                            </w:rPr>
                          </w:pPr>
                        </w:p>
                        <w:p w14:paraId="79A1EC4F" w14:textId="77777777" w:rsidR="00264159" w:rsidRPr="00847C68" w:rsidRDefault="00583364" w:rsidP="00264159">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2197100</wp:posOffset>
              </wp:positionH>
              <wp:positionV relativeFrom="paragraph">
                <wp:posOffset>605155</wp:posOffset>
              </wp:positionV>
              <wp:extent cx="1977390" cy="216000"/>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977390" cy="216000"/>
                      </a:xfrm>
                      <a:prstGeom prst="rect"/>
                      <a:ln/>
                    </pic:spPr>
                  </pic:pic>
                </a:graphicData>
              </a:graphic>
            </wp:anchor>
          </w:drawing>
        </mc:Fallback>
      </mc:AlternateContent>
    </w:r>
  </w:p>
  <w:p w14:paraId="552F6961" w14:textId="77777777" w:rsidR="00F85BE6" w:rsidRDefault="00EF6F28">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“2022. Año del Quincentenario de Toluca de Lerdo, Capital del Estado de México”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1856D" w14:textId="77777777" w:rsidR="00F85BE6" w:rsidRDefault="00EF6F28">
    <w:pPr>
      <w:spacing w:after="0"/>
      <w:ind w:left="-1440" w:right="3306"/>
    </w:pPr>
    <w:r>
      <w:rPr>
        <w:noProof/>
      </w:rPr>
      <w:drawing>
        <wp:anchor distT="0" distB="0" distL="114300" distR="114300" simplePos="0" relativeHeight="251659264" behindDoc="0" locked="0" layoutInCell="1" hidden="0" allowOverlap="1" wp14:anchorId="4A6E6744" wp14:editId="087C8043">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646D79"/>
    <w:multiLevelType w:val="multilevel"/>
    <w:tmpl w:val="F76EFD2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BE6"/>
    <w:rsid w:val="003D3FCB"/>
    <w:rsid w:val="00583364"/>
    <w:rsid w:val="00585AF5"/>
    <w:rsid w:val="00EF6F28"/>
    <w:rsid w:val="00F85BE6"/>
    <w:rsid w:val="00FE7721"/>
    <w:rsid w:val="00FF73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2298"/>
  <w15:docId w15:val="{8DF8B159-3DF3-0D4D-ABA7-C49ADF75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1583</Words>
  <Characters>8707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dcterms:created xsi:type="dcterms:W3CDTF">2022-09-19T20:53:00Z</dcterms:created>
  <dcterms:modified xsi:type="dcterms:W3CDTF">2022-09-19T20:53:00Z</dcterms:modified>
</cp:coreProperties>
</file>