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F3451" w14:textId="77777777" w:rsidR="00AD1F9E" w:rsidRPr="005F28DB" w:rsidRDefault="00AD1F9E" w:rsidP="00AD1F9E">
      <w:pPr>
        <w:spacing w:after="0" w:line="240" w:lineRule="auto"/>
        <w:jc w:val="right"/>
        <w:rPr>
          <w:rFonts w:ascii="Arial" w:hAnsi="Arial" w:cs="Arial"/>
          <w:sz w:val="24"/>
          <w:szCs w:val="24"/>
        </w:rPr>
      </w:pPr>
      <w:bookmarkStart w:id="0" w:name="_GoBack"/>
      <w:bookmarkEnd w:id="0"/>
    </w:p>
    <w:p w14:paraId="6B8903C8" w14:textId="610B6822" w:rsidR="00AD1F9E" w:rsidRPr="005F28DB" w:rsidRDefault="00AD1F9E" w:rsidP="005F28DB">
      <w:pPr>
        <w:spacing w:after="0" w:line="240" w:lineRule="auto"/>
        <w:jc w:val="right"/>
        <w:rPr>
          <w:rFonts w:ascii="Arial" w:hAnsi="Arial" w:cs="Arial"/>
          <w:sz w:val="24"/>
          <w:szCs w:val="24"/>
        </w:rPr>
      </w:pPr>
      <w:r w:rsidRPr="005F28DB">
        <w:rPr>
          <w:rFonts w:ascii="Arial" w:hAnsi="Arial" w:cs="Arial"/>
          <w:sz w:val="24"/>
          <w:szCs w:val="24"/>
        </w:rPr>
        <w:t xml:space="preserve">Toluca de Lerdo, México, a </w:t>
      </w:r>
      <w:r w:rsidR="00D417FE">
        <w:rPr>
          <w:rFonts w:ascii="Arial" w:hAnsi="Arial" w:cs="Arial"/>
          <w:sz w:val="24"/>
          <w:szCs w:val="24"/>
        </w:rPr>
        <w:t>29</w:t>
      </w:r>
      <w:r w:rsidRPr="005F28DB">
        <w:rPr>
          <w:rFonts w:ascii="Arial" w:hAnsi="Arial" w:cs="Arial"/>
          <w:sz w:val="24"/>
          <w:szCs w:val="24"/>
        </w:rPr>
        <w:t xml:space="preserve"> de </w:t>
      </w:r>
      <w:r w:rsidR="005F28DB">
        <w:rPr>
          <w:rFonts w:ascii="Arial" w:hAnsi="Arial" w:cs="Arial"/>
          <w:sz w:val="24"/>
          <w:szCs w:val="24"/>
        </w:rPr>
        <w:t>Septiembre</w:t>
      </w:r>
      <w:r w:rsidRPr="005F28DB">
        <w:rPr>
          <w:rFonts w:ascii="Arial" w:hAnsi="Arial" w:cs="Arial"/>
          <w:sz w:val="24"/>
          <w:szCs w:val="24"/>
        </w:rPr>
        <w:t xml:space="preserve"> de 2022</w:t>
      </w:r>
    </w:p>
    <w:p w14:paraId="6A5CE12F" w14:textId="77777777" w:rsidR="00E45FB2" w:rsidRPr="005F28DB" w:rsidRDefault="00E45FB2" w:rsidP="00AD1F9E">
      <w:pPr>
        <w:spacing w:after="0" w:line="240" w:lineRule="auto"/>
        <w:ind w:left="6372"/>
        <w:jc w:val="both"/>
        <w:rPr>
          <w:rFonts w:ascii="Arial" w:hAnsi="Arial" w:cs="Arial"/>
          <w:b/>
          <w:bCs/>
          <w:sz w:val="24"/>
          <w:szCs w:val="24"/>
        </w:rPr>
      </w:pPr>
    </w:p>
    <w:p w14:paraId="2893143A" w14:textId="77777777" w:rsidR="00AD1F9E" w:rsidRPr="005F28DB" w:rsidRDefault="00AD1F9E" w:rsidP="00AD1F9E">
      <w:pPr>
        <w:spacing w:after="0" w:line="240" w:lineRule="auto"/>
        <w:jc w:val="both"/>
        <w:rPr>
          <w:rFonts w:ascii="Arial" w:hAnsi="Arial" w:cs="Arial"/>
          <w:b/>
          <w:bCs/>
          <w:sz w:val="24"/>
          <w:szCs w:val="24"/>
        </w:rPr>
      </w:pPr>
    </w:p>
    <w:p w14:paraId="1073F305" w14:textId="091456BF" w:rsidR="00AD1F9E" w:rsidRPr="005F28DB" w:rsidRDefault="005F28DB" w:rsidP="00AD1F9E">
      <w:pPr>
        <w:spacing w:after="0" w:line="240" w:lineRule="auto"/>
        <w:jc w:val="both"/>
        <w:rPr>
          <w:rFonts w:ascii="Arial" w:hAnsi="Arial" w:cs="Arial"/>
          <w:b/>
          <w:bCs/>
          <w:sz w:val="24"/>
          <w:szCs w:val="24"/>
        </w:rPr>
      </w:pPr>
      <w:r>
        <w:rPr>
          <w:rFonts w:ascii="Arial" w:hAnsi="Arial" w:cs="Arial"/>
          <w:b/>
          <w:bCs/>
          <w:sz w:val="24"/>
          <w:szCs w:val="24"/>
        </w:rPr>
        <w:t>DIP. ENRIQUE JACOB ROCHA</w:t>
      </w:r>
    </w:p>
    <w:p w14:paraId="68112596" w14:textId="404FA2FD" w:rsidR="006271CD" w:rsidRPr="005F28DB" w:rsidRDefault="006271CD" w:rsidP="00AD1F9E">
      <w:pPr>
        <w:spacing w:after="0" w:line="240" w:lineRule="auto"/>
        <w:jc w:val="both"/>
        <w:rPr>
          <w:rFonts w:ascii="Arial" w:hAnsi="Arial" w:cs="Arial"/>
          <w:b/>
          <w:bCs/>
          <w:sz w:val="24"/>
          <w:szCs w:val="24"/>
        </w:rPr>
      </w:pPr>
      <w:r w:rsidRPr="005F28DB">
        <w:rPr>
          <w:rFonts w:ascii="Arial" w:hAnsi="Arial" w:cs="Arial"/>
          <w:b/>
          <w:bCs/>
          <w:sz w:val="24"/>
          <w:szCs w:val="24"/>
        </w:rPr>
        <w:t>PRESIDENTA DE LA MESA DIRECTIVA DE LA</w:t>
      </w:r>
    </w:p>
    <w:p w14:paraId="74DBE852" w14:textId="77777777" w:rsidR="006271CD" w:rsidRPr="005F28DB" w:rsidRDefault="006271CD" w:rsidP="00AD1F9E">
      <w:pPr>
        <w:spacing w:after="0" w:line="240" w:lineRule="auto"/>
        <w:jc w:val="both"/>
        <w:rPr>
          <w:rFonts w:ascii="Arial" w:hAnsi="Arial" w:cs="Arial"/>
          <w:b/>
          <w:bCs/>
          <w:sz w:val="24"/>
          <w:szCs w:val="24"/>
        </w:rPr>
      </w:pPr>
      <w:r w:rsidRPr="005F28DB">
        <w:rPr>
          <w:rFonts w:ascii="Arial" w:hAnsi="Arial" w:cs="Arial"/>
          <w:b/>
          <w:bCs/>
          <w:sz w:val="24"/>
          <w:szCs w:val="24"/>
        </w:rPr>
        <w:t xml:space="preserve">H. LXI LEGISLATURA DEL ESTADO LIBRE </w:t>
      </w:r>
    </w:p>
    <w:p w14:paraId="64F068A0" w14:textId="2345B5DB" w:rsidR="006271CD" w:rsidRPr="005F28DB" w:rsidRDefault="006271CD" w:rsidP="00AD1F9E">
      <w:pPr>
        <w:spacing w:after="0" w:line="240" w:lineRule="auto"/>
        <w:jc w:val="both"/>
        <w:rPr>
          <w:rFonts w:ascii="Arial" w:hAnsi="Arial" w:cs="Arial"/>
          <w:b/>
          <w:bCs/>
          <w:sz w:val="24"/>
          <w:szCs w:val="24"/>
        </w:rPr>
      </w:pPr>
      <w:r w:rsidRPr="005F28DB">
        <w:rPr>
          <w:rFonts w:ascii="Arial" w:hAnsi="Arial" w:cs="Arial"/>
          <w:b/>
          <w:bCs/>
          <w:sz w:val="24"/>
          <w:szCs w:val="24"/>
        </w:rPr>
        <w:t>Y SOBERANO DE MÉXICO.</w:t>
      </w:r>
    </w:p>
    <w:p w14:paraId="46F4E74E" w14:textId="7FCFA2D0" w:rsidR="006271CD" w:rsidRDefault="006271CD" w:rsidP="006271CD">
      <w:pPr>
        <w:spacing w:line="240" w:lineRule="auto"/>
        <w:jc w:val="both"/>
        <w:rPr>
          <w:rFonts w:ascii="Arial" w:hAnsi="Arial" w:cs="Arial"/>
          <w:b/>
          <w:bCs/>
          <w:sz w:val="24"/>
          <w:szCs w:val="24"/>
        </w:rPr>
      </w:pPr>
      <w:r w:rsidRPr="005F28DB">
        <w:rPr>
          <w:rFonts w:ascii="Arial" w:hAnsi="Arial" w:cs="Arial"/>
          <w:b/>
          <w:bCs/>
          <w:sz w:val="24"/>
          <w:szCs w:val="24"/>
        </w:rPr>
        <w:t xml:space="preserve"> P R E S E N T E.</w:t>
      </w:r>
    </w:p>
    <w:p w14:paraId="5BA606E3" w14:textId="77777777" w:rsidR="005F28DB" w:rsidRPr="005F28DB" w:rsidRDefault="005F28DB" w:rsidP="006271CD">
      <w:pPr>
        <w:spacing w:line="240" w:lineRule="auto"/>
        <w:jc w:val="both"/>
        <w:rPr>
          <w:rFonts w:ascii="Arial" w:hAnsi="Arial" w:cs="Arial"/>
          <w:b/>
          <w:bCs/>
          <w:sz w:val="24"/>
          <w:szCs w:val="24"/>
        </w:rPr>
      </w:pPr>
    </w:p>
    <w:p w14:paraId="722F1050" w14:textId="72F6359E" w:rsidR="00014C4D" w:rsidRPr="005F28DB" w:rsidRDefault="00F320F6" w:rsidP="006271CD">
      <w:pPr>
        <w:spacing w:line="240" w:lineRule="auto"/>
        <w:jc w:val="both"/>
        <w:rPr>
          <w:rFonts w:ascii="Arial" w:hAnsi="Arial" w:cs="Arial"/>
          <w:sz w:val="24"/>
          <w:szCs w:val="24"/>
        </w:rPr>
      </w:pPr>
      <w:r>
        <w:rPr>
          <w:rFonts w:ascii="Arial" w:hAnsi="Arial" w:cs="Arial"/>
          <w:sz w:val="24"/>
          <w:szCs w:val="24"/>
        </w:rPr>
        <w:t xml:space="preserve">LA Diputada Miriam Escalona Piña y el Diputado </w:t>
      </w:r>
      <w:r w:rsidR="006271CD" w:rsidRPr="005F28DB">
        <w:rPr>
          <w:rFonts w:ascii="Arial" w:hAnsi="Arial" w:cs="Arial"/>
          <w:sz w:val="24"/>
          <w:szCs w:val="24"/>
        </w:rPr>
        <w:t>Enrique Vargas del Villar</w:t>
      </w:r>
      <w:r>
        <w:rPr>
          <w:rFonts w:ascii="Arial" w:hAnsi="Arial" w:cs="Arial"/>
          <w:sz w:val="24"/>
          <w:szCs w:val="24"/>
        </w:rPr>
        <w:t xml:space="preserve">, </w:t>
      </w:r>
      <w:r w:rsidR="006271CD" w:rsidRPr="005F28DB">
        <w:rPr>
          <w:rFonts w:ascii="Arial" w:hAnsi="Arial" w:cs="Arial"/>
          <w:sz w:val="24"/>
          <w:szCs w:val="24"/>
        </w:rPr>
        <w:t xml:space="preserve">integrantes del Grupo Parlamentario del Partido Acción Nacional con fundamento en los artículos 116 de la Constitución Política de los Estados Unidos Mexicanos; 51 fracción II, 55 y 61 fracción I de la Constitución Política del Estado Libre y Soberano de México; 38 fracción </w:t>
      </w:r>
      <w:r>
        <w:rPr>
          <w:rFonts w:ascii="Arial" w:hAnsi="Arial" w:cs="Arial"/>
          <w:sz w:val="24"/>
          <w:szCs w:val="24"/>
        </w:rPr>
        <w:t>IV</w:t>
      </w:r>
      <w:r w:rsidR="006271CD" w:rsidRPr="005F28DB">
        <w:rPr>
          <w:rFonts w:ascii="Arial" w:hAnsi="Arial" w:cs="Arial"/>
          <w:sz w:val="24"/>
          <w:szCs w:val="24"/>
        </w:rPr>
        <w:t>,</w:t>
      </w:r>
      <w:r w:rsidR="00AD1F9E" w:rsidRPr="005F28DB">
        <w:rPr>
          <w:rFonts w:ascii="Arial" w:hAnsi="Arial" w:cs="Arial"/>
          <w:sz w:val="24"/>
          <w:szCs w:val="24"/>
        </w:rPr>
        <w:t xml:space="preserve"> </w:t>
      </w:r>
      <w:r w:rsidR="006271CD" w:rsidRPr="005F28DB">
        <w:rPr>
          <w:rFonts w:ascii="Arial" w:hAnsi="Arial" w:cs="Arial"/>
          <w:sz w:val="24"/>
          <w:szCs w:val="24"/>
        </w:rPr>
        <w:t xml:space="preserve">de la Ley Orgánica del Poder Legislativo del Estado Libre y Soberano de México, </w:t>
      </w:r>
      <w:r>
        <w:rPr>
          <w:rFonts w:ascii="Arial" w:hAnsi="Arial" w:cs="Arial"/>
          <w:sz w:val="24"/>
          <w:szCs w:val="24"/>
        </w:rPr>
        <w:t xml:space="preserve">y su </w:t>
      </w:r>
      <w:r w:rsidR="006271CD" w:rsidRPr="005F28DB">
        <w:rPr>
          <w:rFonts w:ascii="Arial" w:hAnsi="Arial" w:cs="Arial"/>
          <w:sz w:val="24"/>
          <w:szCs w:val="24"/>
        </w:rPr>
        <w:t xml:space="preserve">Reglamento, someto a la consideración de esta </w:t>
      </w:r>
      <w:r w:rsidR="00103BC5" w:rsidRPr="005F28DB">
        <w:rPr>
          <w:rFonts w:ascii="Arial" w:hAnsi="Arial" w:cs="Arial"/>
          <w:sz w:val="24"/>
          <w:szCs w:val="24"/>
        </w:rPr>
        <w:t xml:space="preserve">LXI </w:t>
      </w:r>
      <w:r w:rsidR="006271CD" w:rsidRPr="005F28DB">
        <w:rPr>
          <w:rFonts w:ascii="Arial" w:hAnsi="Arial" w:cs="Arial"/>
          <w:sz w:val="24"/>
          <w:szCs w:val="24"/>
        </w:rPr>
        <w:t>Honorable Legislatura la siguiente</w:t>
      </w:r>
      <w:r w:rsidR="0021756D" w:rsidRPr="005F28DB">
        <w:rPr>
          <w:rFonts w:ascii="Arial" w:hAnsi="Arial" w:cs="Arial"/>
          <w:sz w:val="24"/>
          <w:szCs w:val="24"/>
        </w:rPr>
        <w:t xml:space="preserve">, </w:t>
      </w:r>
      <w:r w:rsidR="0042116B" w:rsidRPr="005F28DB">
        <w:rPr>
          <w:rFonts w:ascii="Arial" w:hAnsi="Arial" w:cs="Arial"/>
          <w:b/>
          <w:bCs/>
          <w:sz w:val="24"/>
          <w:szCs w:val="24"/>
        </w:rPr>
        <w:t xml:space="preserve">Punto de Acuerdo por el que se exhorta respetuosamente a la titular de la secretaría de las mujeres para que, en el ámbito de sus respectivas competencias, se realicen mesas de trabajo y un foro nacional en coordinación con la comisión nacional para prevenir y erradicar la violencia contra las mujeres, en las que participen alcaldes de los 125 municipios del </w:t>
      </w:r>
      <w:r w:rsidR="00E45FB2" w:rsidRPr="005F28DB">
        <w:rPr>
          <w:rFonts w:ascii="Arial" w:hAnsi="Arial" w:cs="Arial"/>
          <w:b/>
          <w:bCs/>
          <w:sz w:val="24"/>
          <w:szCs w:val="24"/>
        </w:rPr>
        <w:t>E</w:t>
      </w:r>
      <w:r w:rsidR="0042116B" w:rsidRPr="005F28DB">
        <w:rPr>
          <w:rFonts w:ascii="Arial" w:hAnsi="Arial" w:cs="Arial"/>
          <w:b/>
          <w:bCs/>
          <w:sz w:val="24"/>
          <w:szCs w:val="24"/>
        </w:rPr>
        <w:t xml:space="preserve">stado de </w:t>
      </w:r>
      <w:r w:rsidR="00E45FB2" w:rsidRPr="005F28DB">
        <w:rPr>
          <w:rFonts w:ascii="Arial" w:hAnsi="Arial" w:cs="Arial"/>
          <w:b/>
          <w:bCs/>
          <w:sz w:val="24"/>
          <w:szCs w:val="24"/>
        </w:rPr>
        <w:t>M</w:t>
      </w:r>
      <w:r w:rsidR="0042116B" w:rsidRPr="005F28DB">
        <w:rPr>
          <w:rFonts w:ascii="Arial" w:hAnsi="Arial" w:cs="Arial"/>
          <w:b/>
          <w:bCs/>
          <w:sz w:val="24"/>
          <w:szCs w:val="24"/>
        </w:rPr>
        <w:t xml:space="preserve">éxico, organizaciones de la sociedad civil que se especialicen en temas de género y miembros de la academia a fin de analizar y llegar a acuerdos para establecer una estrategia integral para la atención de la violencia contra la mujer en el </w:t>
      </w:r>
      <w:r w:rsidR="00E45FB2" w:rsidRPr="005F28DB">
        <w:rPr>
          <w:rFonts w:ascii="Arial" w:hAnsi="Arial" w:cs="Arial"/>
          <w:b/>
          <w:bCs/>
          <w:sz w:val="24"/>
          <w:szCs w:val="24"/>
        </w:rPr>
        <w:t>E</w:t>
      </w:r>
      <w:r w:rsidR="0042116B" w:rsidRPr="005F28DB">
        <w:rPr>
          <w:rFonts w:ascii="Arial" w:hAnsi="Arial" w:cs="Arial"/>
          <w:b/>
          <w:bCs/>
          <w:sz w:val="24"/>
          <w:szCs w:val="24"/>
        </w:rPr>
        <w:t xml:space="preserve">stado de </w:t>
      </w:r>
      <w:r w:rsidR="00E45FB2" w:rsidRPr="005F28DB">
        <w:rPr>
          <w:rFonts w:ascii="Arial" w:hAnsi="Arial" w:cs="Arial"/>
          <w:b/>
          <w:bCs/>
          <w:sz w:val="24"/>
          <w:szCs w:val="24"/>
        </w:rPr>
        <w:t>M</w:t>
      </w:r>
      <w:r w:rsidR="0042116B" w:rsidRPr="005F28DB">
        <w:rPr>
          <w:rFonts w:ascii="Arial" w:hAnsi="Arial" w:cs="Arial"/>
          <w:b/>
          <w:bCs/>
          <w:sz w:val="24"/>
          <w:szCs w:val="24"/>
        </w:rPr>
        <w:t xml:space="preserve">éxico </w:t>
      </w:r>
      <w:r w:rsidR="00D322D0" w:rsidRPr="005F28DB">
        <w:rPr>
          <w:rFonts w:ascii="Arial" w:hAnsi="Arial" w:cs="Arial"/>
          <w:b/>
          <w:bCs/>
          <w:sz w:val="24"/>
          <w:szCs w:val="24"/>
        </w:rPr>
        <w:t xml:space="preserve">y lograr acuerdos para </w:t>
      </w:r>
      <w:r w:rsidR="00944721" w:rsidRPr="005F28DB">
        <w:rPr>
          <w:rFonts w:ascii="Arial" w:hAnsi="Arial" w:cs="Arial"/>
          <w:b/>
          <w:bCs/>
          <w:sz w:val="24"/>
          <w:szCs w:val="24"/>
        </w:rPr>
        <w:t>dar solución a este grave problema</w:t>
      </w:r>
      <w:r w:rsidR="005C73C5" w:rsidRPr="005F28DB">
        <w:rPr>
          <w:rFonts w:ascii="Arial" w:hAnsi="Arial" w:cs="Arial"/>
          <w:sz w:val="24"/>
          <w:szCs w:val="24"/>
        </w:rPr>
        <w:t>, al tenor de las siguientes:</w:t>
      </w:r>
    </w:p>
    <w:p w14:paraId="7F84EF8C" w14:textId="0B632017" w:rsidR="00014C4D" w:rsidRDefault="00014C4D" w:rsidP="00D40DD0">
      <w:pPr>
        <w:spacing w:line="240" w:lineRule="auto"/>
        <w:jc w:val="center"/>
        <w:rPr>
          <w:rFonts w:ascii="Arial" w:hAnsi="Arial" w:cs="Arial"/>
          <w:b/>
          <w:bCs/>
          <w:sz w:val="24"/>
          <w:szCs w:val="24"/>
        </w:rPr>
      </w:pPr>
      <w:r w:rsidRPr="005F28DB">
        <w:rPr>
          <w:rFonts w:ascii="Arial" w:hAnsi="Arial" w:cs="Arial"/>
          <w:b/>
          <w:bCs/>
          <w:sz w:val="24"/>
          <w:szCs w:val="24"/>
        </w:rPr>
        <w:t>Consideraciones</w:t>
      </w:r>
    </w:p>
    <w:p w14:paraId="27B20017" w14:textId="78BDAE7A" w:rsidR="00A33566" w:rsidRPr="005F28DB" w:rsidRDefault="00AD1F9E" w:rsidP="00A33566">
      <w:pPr>
        <w:spacing w:line="240" w:lineRule="auto"/>
        <w:jc w:val="both"/>
        <w:rPr>
          <w:rFonts w:ascii="Arial" w:hAnsi="Arial" w:cs="Arial"/>
          <w:sz w:val="24"/>
          <w:szCs w:val="24"/>
        </w:rPr>
      </w:pPr>
      <w:r w:rsidRPr="005F28DB">
        <w:rPr>
          <w:rFonts w:ascii="Arial" w:hAnsi="Arial" w:cs="Arial"/>
          <w:b/>
          <w:bCs/>
          <w:sz w:val="24"/>
          <w:szCs w:val="24"/>
        </w:rPr>
        <w:t>Primero. -</w:t>
      </w:r>
      <w:r w:rsidR="00C33A81" w:rsidRPr="005F28DB">
        <w:rPr>
          <w:rFonts w:ascii="Arial" w:hAnsi="Arial" w:cs="Arial"/>
          <w:sz w:val="24"/>
          <w:szCs w:val="24"/>
        </w:rPr>
        <w:t xml:space="preserve"> </w:t>
      </w:r>
      <w:r w:rsidR="00A33566" w:rsidRPr="005F28DB">
        <w:rPr>
          <w:rFonts w:ascii="Arial" w:hAnsi="Arial" w:cs="Arial"/>
          <w:sz w:val="24"/>
          <w:szCs w:val="24"/>
        </w:rPr>
        <w:t>Las Alertas de Violencia de Género contra las Mujeres son un mecanismo de protección dentro de la Ley General de Acceso de las Mujeres a una Vida Libre de Violencia para garantizar a las mujeres y niñas una vida libre de violencia.</w:t>
      </w:r>
      <w:r w:rsidR="001110DD" w:rsidRPr="005F28DB">
        <w:rPr>
          <w:rStyle w:val="Refdenotaalpie"/>
          <w:rFonts w:ascii="Arial" w:hAnsi="Arial" w:cs="Arial"/>
          <w:sz w:val="24"/>
          <w:szCs w:val="24"/>
        </w:rPr>
        <w:footnoteReference w:id="1"/>
      </w:r>
    </w:p>
    <w:p w14:paraId="6F2F75AA" w14:textId="7982811B" w:rsidR="00A33566" w:rsidRPr="005F28DB" w:rsidRDefault="00AD1F9E" w:rsidP="00A33566">
      <w:pPr>
        <w:spacing w:line="240" w:lineRule="auto"/>
        <w:jc w:val="both"/>
        <w:rPr>
          <w:rFonts w:ascii="Arial" w:hAnsi="Arial" w:cs="Arial"/>
          <w:sz w:val="24"/>
          <w:szCs w:val="24"/>
        </w:rPr>
      </w:pPr>
      <w:r w:rsidRPr="005F28DB">
        <w:rPr>
          <w:rFonts w:ascii="Arial" w:hAnsi="Arial" w:cs="Arial"/>
          <w:b/>
          <w:bCs/>
          <w:sz w:val="24"/>
          <w:szCs w:val="24"/>
        </w:rPr>
        <w:t>Segundo. -</w:t>
      </w:r>
      <w:r w:rsidR="002440E5" w:rsidRPr="005F28DB">
        <w:rPr>
          <w:rFonts w:ascii="Arial" w:hAnsi="Arial" w:cs="Arial"/>
          <w:sz w:val="24"/>
          <w:szCs w:val="24"/>
        </w:rPr>
        <w:t xml:space="preserve"> </w:t>
      </w:r>
      <w:r w:rsidR="00A33566" w:rsidRPr="005F28DB">
        <w:rPr>
          <w:rFonts w:ascii="Arial" w:hAnsi="Arial" w:cs="Arial"/>
          <w:sz w:val="24"/>
          <w:szCs w:val="24"/>
        </w:rPr>
        <w:t>La primera Alerta de Género para el Estado de México fue declarada en julio de 2015 y contempla once municipios: Chimalhuacán, Chalco, Cuautitlán, Ecatepec, Ixtapaluca, Naucalpan, Nezahualcóyotl, Tlalnepantla, Toluca, Tultitlán y Valle de Chalco.</w:t>
      </w:r>
      <w:r w:rsidR="00F35C1E" w:rsidRPr="005F28DB">
        <w:rPr>
          <w:rStyle w:val="Refdenotaalpie"/>
          <w:rFonts w:ascii="Arial" w:hAnsi="Arial" w:cs="Arial"/>
          <w:sz w:val="24"/>
          <w:szCs w:val="24"/>
        </w:rPr>
        <w:footnoteReference w:id="2"/>
      </w:r>
    </w:p>
    <w:p w14:paraId="23B61EBB" w14:textId="77777777" w:rsidR="005F28DB" w:rsidRDefault="005F28DB" w:rsidP="00A33566">
      <w:pPr>
        <w:spacing w:line="240" w:lineRule="auto"/>
        <w:jc w:val="both"/>
        <w:rPr>
          <w:rFonts w:ascii="Arial" w:hAnsi="Arial" w:cs="Arial"/>
          <w:b/>
          <w:bCs/>
          <w:sz w:val="24"/>
          <w:szCs w:val="24"/>
        </w:rPr>
      </w:pPr>
    </w:p>
    <w:p w14:paraId="49EBB8FC" w14:textId="537DFF40" w:rsidR="00A33566" w:rsidRPr="005F28DB" w:rsidRDefault="00AD1F9E" w:rsidP="00A33566">
      <w:pPr>
        <w:spacing w:line="240" w:lineRule="auto"/>
        <w:jc w:val="both"/>
        <w:rPr>
          <w:rFonts w:ascii="Arial" w:hAnsi="Arial" w:cs="Arial"/>
          <w:sz w:val="24"/>
          <w:szCs w:val="24"/>
        </w:rPr>
      </w:pPr>
      <w:r w:rsidRPr="005F28DB">
        <w:rPr>
          <w:rFonts w:ascii="Arial" w:hAnsi="Arial" w:cs="Arial"/>
          <w:b/>
          <w:bCs/>
          <w:sz w:val="24"/>
          <w:szCs w:val="24"/>
        </w:rPr>
        <w:t>Tercera. -</w:t>
      </w:r>
      <w:r w:rsidR="002440E5" w:rsidRPr="005F28DB">
        <w:rPr>
          <w:rFonts w:ascii="Arial" w:hAnsi="Arial" w:cs="Arial"/>
          <w:sz w:val="24"/>
          <w:szCs w:val="24"/>
        </w:rPr>
        <w:t xml:space="preserve"> </w:t>
      </w:r>
      <w:r w:rsidR="00A33566" w:rsidRPr="005F28DB">
        <w:rPr>
          <w:rFonts w:ascii="Arial" w:hAnsi="Arial" w:cs="Arial"/>
          <w:sz w:val="24"/>
          <w:szCs w:val="24"/>
        </w:rPr>
        <w:t>La segunda Alerta, enfocada a la desaparición de niñas, adolescentes y mujeres, fue declarada en octubre de 2019 en siete municipios de la entidad: Chimalhuacán, Cuautitlán, Ecatepec, Ixtapaluca, Nezahualcóyotl, Toluca y Valle de Chalco.</w:t>
      </w:r>
      <w:r w:rsidR="00F35C1E" w:rsidRPr="005F28DB">
        <w:rPr>
          <w:rStyle w:val="Refdenotaalpie"/>
          <w:rFonts w:ascii="Arial" w:hAnsi="Arial" w:cs="Arial"/>
          <w:sz w:val="24"/>
          <w:szCs w:val="24"/>
        </w:rPr>
        <w:footnoteReference w:id="3"/>
      </w:r>
    </w:p>
    <w:p w14:paraId="564864B3" w14:textId="1015CC66" w:rsidR="00A33566" w:rsidRPr="005F28DB" w:rsidRDefault="00AD1F9E" w:rsidP="00A33566">
      <w:pPr>
        <w:spacing w:line="240" w:lineRule="auto"/>
        <w:jc w:val="both"/>
        <w:rPr>
          <w:rFonts w:ascii="Arial" w:hAnsi="Arial" w:cs="Arial"/>
          <w:sz w:val="24"/>
          <w:szCs w:val="24"/>
        </w:rPr>
      </w:pPr>
      <w:r w:rsidRPr="005F28DB">
        <w:rPr>
          <w:rFonts w:ascii="Arial" w:hAnsi="Arial" w:cs="Arial"/>
          <w:b/>
          <w:bCs/>
          <w:sz w:val="24"/>
          <w:szCs w:val="24"/>
        </w:rPr>
        <w:t>Cuarta. -</w:t>
      </w:r>
      <w:r w:rsidR="002440E5" w:rsidRPr="005F28DB">
        <w:rPr>
          <w:rFonts w:ascii="Arial" w:hAnsi="Arial" w:cs="Arial"/>
          <w:sz w:val="24"/>
          <w:szCs w:val="24"/>
        </w:rPr>
        <w:t xml:space="preserve"> </w:t>
      </w:r>
      <w:r w:rsidR="00A33566" w:rsidRPr="005F28DB">
        <w:rPr>
          <w:rFonts w:ascii="Arial" w:hAnsi="Arial" w:cs="Arial"/>
          <w:sz w:val="24"/>
          <w:szCs w:val="24"/>
        </w:rPr>
        <w:t xml:space="preserve">Con base en estas declaratorias, realizadas por la Comisión Nacional para Prevenir y Erradicar la Violencia contra las Mujeres (CONAVIM) de la </w:t>
      </w:r>
      <w:r w:rsidR="00103BC5" w:rsidRPr="005F28DB">
        <w:rPr>
          <w:rFonts w:ascii="Arial" w:hAnsi="Arial" w:cs="Arial"/>
          <w:sz w:val="24"/>
          <w:szCs w:val="24"/>
        </w:rPr>
        <w:t>SEGOB</w:t>
      </w:r>
      <w:r w:rsidR="00A33566" w:rsidRPr="005F28DB">
        <w:rPr>
          <w:rFonts w:ascii="Arial" w:hAnsi="Arial" w:cs="Arial"/>
          <w:sz w:val="24"/>
          <w:szCs w:val="24"/>
        </w:rPr>
        <w:t xml:space="preserve">, el Gobierno del Estado de </w:t>
      </w:r>
      <w:r w:rsidRPr="005F28DB">
        <w:rPr>
          <w:rFonts w:ascii="Arial" w:hAnsi="Arial" w:cs="Arial"/>
          <w:sz w:val="24"/>
          <w:szCs w:val="24"/>
        </w:rPr>
        <w:t>México</w:t>
      </w:r>
      <w:r w:rsidR="00A33566" w:rsidRPr="005F28DB">
        <w:rPr>
          <w:rFonts w:ascii="Arial" w:hAnsi="Arial" w:cs="Arial"/>
          <w:sz w:val="24"/>
          <w:szCs w:val="24"/>
        </w:rPr>
        <w:t xml:space="preserve"> se compromet</w:t>
      </w:r>
      <w:r w:rsidR="002B2C97" w:rsidRPr="005F28DB">
        <w:rPr>
          <w:rFonts w:ascii="Arial" w:hAnsi="Arial" w:cs="Arial"/>
          <w:sz w:val="24"/>
          <w:szCs w:val="24"/>
        </w:rPr>
        <w:t>ió</w:t>
      </w:r>
      <w:r w:rsidR="00A33566" w:rsidRPr="005F28DB">
        <w:rPr>
          <w:rFonts w:ascii="Arial" w:hAnsi="Arial" w:cs="Arial"/>
          <w:sz w:val="24"/>
          <w:szCs w:val="24"/>
        </w:rPr>
        <w:t xml:space="preserve"> a adoptar las acciones que sean necesarias para ejecutar en medidas de seguridad, </w:t>
      </w:r>
      <w:r w:rsidR="00103BC5" w:rsidRPr="005F28DB">
        <w:rPr>
          <w:rFonts w:ascii="Arial" w:hAnsi="Arial" w:cs="Arial"/>
          <w:sz w:val="24"/>
          <w:szCs w:val="24"/>
        </w:rPr>
        <w:t>prevención</w:t>
      </w:r>
      <w:r w:rsidR="00A33566" w:rsidRPr="005F28DB">
        <w:rPr>
          <w:rFonts w:ascii="Arial" w:hAnsi="Arial" w:cs="Arial"/>
          <w:sz w:val="24"/>
          <w:szCs w:val="24"/>
        </w:rPr>
        <w:t xml:space="preserve"> y justicia; para garantizar a las mujeres y </w:t>
      </w:r>
      <w:r w:rsidR="00103BC5" w:rsidRPr="005F28DB">
        <w:rPr>
          <w:rFonts w:ascii="Arial" w:hAnsi="Arial" w:cs="Arial"/>
          <w:sz w:val="24"/>
          <w:szCs w:val="24"/>
        </w:rPr>
        <w:t>niñas</w:t>
      </w:r>
      <w:r w:rsidR="00A33566" w:rsidRPr="005F28DB">
        <w:rPr>
          <w:rFonts w:ascii="Arial" w:hAnsi="Arial" w:cs="Arial"/>
          <w:sz w:val="24"/>
          <w:szCs w:val="24"/>
        </w:rPr>
        <w:t xml:space="preserve"> que se encuentran bajo su </w:t>
      </w:r>
      <w:r w:rsidR="00103BC5" w:rsidRPr="005F28DB">
        <w:rPr>
          <w:rFonts w:ascii="Arial" w:hAnsi="Arial" w:cs="Arial"/>
          <w:sz w:val="24"/>
          <w:szCs w:val="24"/>
        </w:rPr>
        <w:t>jurisdicción</w:t>
      </w:r>
      <w:r w:rsidR="00A33566" w:rsidRPr="005F28DB">
        <w:rPr>
          <w:rFonts w:ascii="Arial" w:hAnsi="Arial" w:cs="Arial"/>
          <w:sz w:val="24"/>
          <w:szCs w:val="24"/>
        </w:rPr>
        <w:t>, el derecho a vivir en paz, garantizar su seguridad e integridad.</w:t>
      </w:r>
      <w:r w:rsidR="00B52FC4" w:rsidRPr="005F28DB">
        <w:rPr>
          <w:rStyle w:val="Refdenotaalpie"/>
          <w:rFonts w:ascii="Arial" w:hAnsi="Arial" w:cs="Arial"/>
          <w:sz w:val="24"/>
          <w:szCs w:val="24"/>
        </w:rPr>
        <w:footnoteReference w:id="4"/>
      </w:r>
    </w:p>
    <w:p w14:paraId="2A84C268" w14:textId="77777777" w:rsidR="00A33566" w:rsidRPr="005F28DB" w:rsidRDefault="00A33566" w:rsidP="00A33566">
      <w:pPr>
        <w:spacing w:line="240" w:lineRule="auto"/>
        <w:jc w:val="both"/>
        <w:rPr>
          <w:rFonts w:ascii="Arial" w:hAnsi="Arial" w:cs="Arial"/>
          <w:sz w:val="24"/>
          <w:szCs w:val="24"/>
        </w:rPr>
      </w:pPr>
      <w:r w:rsidRPr="005F28DB">
        <w:rPr>
          <w:rFonts w:ascii="Arial" w:hAnsi="Arial" w:cs="Arial"/>
          <w:sz w:val="24"/>
          <w:szCs w:val="24"/>
        </w:rPr>
        <w:t>La alerta consiste en tomar acciones gubernamentales de emergencia para enfrentar y erradicar la violencia feminicida en Edomex.</w:t>
      </w:r>
    </w:p>
    <w:p w14:paraId="1C3BE4C5" w14:textId="5931E2AD" w:rsidR="00A33566" w:rsidRPr="005F28DB" w:rsidRDefault="00AD1F9E" w:rsidP="00A33566">
      <w:pPr>
        <w:spacing w:line="240" w:lineRule="auto"/>
        <w:jc w:val="both"/>
        <w:rPr>
          <w:rFonts w:ascii="Arial" w:hAnsi="Arial" w:cs="Arial"/>
          <w:sz w:val="24"/>
          <w:szCs w:val="24"/>
        </w:rPr>
      </w:pPr>
      <w:r w:rsidRPr="005F28DB">
        <w:rPr>
          <w:rFonts w:ascii="Arial" w:hAnsi="Arial" w:cs="Arial"/>
          <w:b/>
          <w:bCs/>
          <w:sz w:val="24"/>
          <w:szCs w:val="24"/>
        </w:rPr>
        <w:t>Quinta. -</w:t>
      </w:r>
      <w:r w:rsidR="002B2C97" w:rsidRPr="005F28DB">
        <w:rPr>
          <w:rFonts w:ascii="Arial" w:hAnsi="Arial" w:cs="Arial"/>
          <w:sz w:val="24"/>
          <w:szCs w:val="24"/>
        </w:rPr>
        <w:t xml:space="preserve"> </w:t>
      </w:r>
      <w:r w:rsidR="00A33566" w:rsidRPr="005F28DB">
        <w:rPr>
          <w:rFonts w:ascii="Arial" w:hAnsi="Arial" w:cs="Arial"/>
          <w:sz w:val="24"/>
          <w:szCs w:val="24"/>
        </w:rPr>
        <w:t>De acuerdo con el informe sobre violencia contra las mujeres de enero a mayo de 2022, del Secretariado Ejecutivo del Sistema Nacional de Seguridad Pública, el Estado de México tiene una tasa de 0.67 presuntos delitos de feminicidios por cada 100,000 mujeres.</w:t>
      </w:r>
      <w:r w:rsidR="00F85438" w:rsidRPr="005F28DB">
        <w:rPr>
          <w:rStyle w:val="Refdenotaalpie"/>
          <w:rFonts w:ascii="Arial" w:hAnsi="Arial" w:cs="Arial"/>
          <w:sz w:val="24"/>
          <w:szCs w:val="24"/>
        </w:rPr>
        <w:footnoteReference w:id="5"/>
      </w:r>
    </w:p>
    <w:p w14:paraId="3BC515B6" w14:textId="0B0E43F9" w:rsidR="00A33566" w:rsidRPr="005F28DB" w:rsidRDefault="00AD1F9E" w:rsidP="00A33566">
      <w:pPr>
        <w:spacing w:line="240" w:lineRule="auto"/>
        <w:jc w:val="both"/>
        <w:rPr>
          <w:rFonts w:ascii="Arial" w:hAnsi="Arial" w:cs="Arial"/>
          <w:sz w:val="24"/>
          <w:szCs w:val="24"/>
        </w:rPr>
      </w:pPr>
      <w:r w:rsidRPr="005F28DB">
        <w:rPr>
          <w:rFonts w:ascii="Arial" w:hAnsi="Arial" w:cs="Arial"/>
          <w:b/>
          <w:bCs/>
          <w:sz w:val="24"/>
          <w:szCs w:val="24"/>
        </w:rPr>
        <w:t>Sexta. -</w:t>
      </w:r>
      <w:r w:rsidR="002B2C97" w:rsidRPr="005F28DB">
        <w:rPr>
          <w:rFonts w:ascii="Arial" w:hAnsi="Arial" w:cs="Arial"/>
          <w:sz w:val="24"/>
          <w:szCs w:val="24"/>
        </w:rPr>
        <w:t xml:space="preserve"> De acuerdo a la </w:t>
      </w:r>
      <w:r w:rsidR="00A33566" w:rsidRPr="005F28DB">
        <w:rPr>
          <w:rFonts w:ascii="Arial" w:hAnsi="Arial" w:cs="Arial"/>
          <w:sz w:val="24"/>
          <w:szCs w:val="24"/>
        </w:rPr>
        <w:t xml:space="preserve">información de la Fiscalía del Estado de México, </w:t>
      </w:r>
      <w:r w:rsidR="003132B3" w:rsidRPr="005F28DB">
        <w:rPr>
          <w:rFonts w:ascii="Arial" w:hAnsi="Arial" w:cs="Arial"/>
          <w:sz w:val="24"/>
          <w:szCs w:val="24"/>
        </w:rPr>
        <w:t>la</w:t>
      </w:r>
      <w:r w:rsidR="00103BC5" w:rsidRPr="005F28DB">
        <w:rPr>
          <w:rFonts w:ascii="Arial" w:hAnsi="Arial" w:cs="Arial"/>
          <w:sz w:val="24"/>
          <w:szCs w:val="24"/>
        </w:rPr>
        <w:t xml:space="preserve"> </w:t>
      </w:r>
      <w:r w:rsidR="00A33566" w:rsidRPr="005F28DB">
        <w:rPr>
          <w:rFonts w:ascii="Arial" w:hAnsi="Arial" w:cs="Arial"/>
          <w:sz w:val="24"/>
          <w:szCs w:val="24"/>
        </w:rPr>
        <w:t>cual se entregó al Sistema Nacional de Seguridad Público (SNSP)</w:t>
      </w:r>
      <w:r w:rsidR="00D86B05" w:rsidRPr="005F28DB">
        <w:rPr>
          <w:rStyle w:val="Refdenotaalpie"/>
          <w:rFonts w:ascii="Arial" w:hAnsi="Arial" w:cs="Arial"/>
          <w:sz w:val="24"/>
          <w:szCs w:val="24"/>
        </w:rPr>
        <w:footnoteReference w:id="6"/>
      </w:r>
      <w:r w:rsidR="004D6907" w:rsidRPr="005F28DB">
        <w:rPr>
          <w:rStyle w:val="Refdenotaalpie"/>
          <w:rFonts w:ascii="Arial" w:hAnsi="Arial" w:cs="Arial"/>
          <w:sz w:val="24"/>
          <w:szCs w:val="24"/>
        </w:rPr>
        <w:footnoteReference w:id="7"/>
      </w:r>
      <w:r w:rsidR="00A33566" w:rsidRPr="005F28DB">
        <w:rPr>
          <w:rFonts w:ascii="Arial" w:hAnsi="Arial" w:cs="Arial"/>
          <w:sz w:val="24"/>
          <w:szCs w:val="24"/>
        </w:rPr>
        <w:t>, se indicó que, de enero a junio, se registraron 76 carpetas de investigación por feminicidio, con un total de 78 víctimas, siendo enero, con 14; marzo, con 19; y junio, con 14, los meses con mayor incidencia; febrero, con ocho víctimas, fue el mes con menos casos.</w:t>
      </w:r>
    </w:p>
    <w:p w14:paraId="12DEC7C7" w14:textId="2AC67C37" w:rsidR="00A33566" w:rsidRPr="005F28DB" w:rsidRDefault="00AD1F9E" w:rsidP="00A33566">
      <w:pPr>
        <w:spacing w:line="240" w:lineRule="auto"/>
        <w:jc w:val="both"/>
        <w:rPr>
          <w:rFonts w:ascii="Arial" w:hAnsi="Arial" w:cs="Arial"/>
          <w:sz w:val="24"/>
          <w:szCs w:val="24"/>
        </w:rPr>
      </w:pPr>
      <w:r w:rsidRPr="005F28DB">
        <w:rPr>
          <w:rFonts w:ascii="Arial" w:hAnsi="Arial" w:cs="Arial"/>
          <w:b/>
          <w:bCs/>
          <w:sz w:val="24"/>
          <w:szCs w:val="24"/>
        </w:rPr>
        <w:t>Séptimo. -</w:t>
      </w:r>
      <w:r w:rsidR="002B2C97" w:rsidRPr="005F28DB">
        <w:rPr>
          <w:rFonts w:ascii="Arial" w:hAnsi="Arial" w:cs="Arial"/>
          <w:sz w:val="24"/>
          <w:szCs w:val="24"/>
        </w:rPr>
        <w:t xml:space="preserve"> </w:t>
      </w:r>
      <w:r w:rsidR="00A33566" w:rsidRPr="005F28DB">
        <w:rPr>
          <w:rFonts w:ascii="Arial" w:hAnsi="Arial" w:cs="Arial"/>
          <w:sz w:val="24"/>
          <w:szCs w:val="24"/>
        </w:rPr>
        <w:t>El comparativo entre los primeros seis meses de 2021 y 2022 marca un incremento del presente año de 11.4 por ciento, pues durante el año anterior hubo 68 carpetas de investigación, con 70 víctimas; no obstante, en este sumaron 76 denuncias y 78 víctimas</w:t>
      </w:r>
      <w:r w:rsidR="00027A0C" w:rsidRPr="005F28DB">
        <w:rPr>
          <w:rFonts w:ascii="Arial" w:hAnsi="Arial" w:cs="Arial"/>
          <w:sz w:val="24"/>
          <w:szCs w:val="24"/>
        </w:rPr>
        <w:t>.</w:t>
      </w:r>
    </w:p>
    <w:p w14:paraId="0E01924A" w14:textId="47979984" w:rsidR="00A33566" w:rsidRPr="005F28DB" w:rsidRDefault="003132B3" w:rsidP="00A33566">
      <w:pPr>
        <w:spacing w:line="240" w:lineRule="auto"/>
        <w:jc w:val="both"/>
        <w:rPr>
          <w:rFonts w:ascii="Arial" w:hAnsi="Arial" w:cs="Arial"/>
          <w:sz w:val="24"/>
          <w:szCs w:val="24"/>
        </w:rPr>
      </w:pPr>
      <w:r w:rsidRPr="005F28DB">
        <w:rPr>
          <w:rFonts w:ascii="Arial" w:hAnsi="Arial" w:cs="Arial"/>
          <w:b/>
          <w:bCs/>
          <w:sz w:val="24"/>
          <w:szCs w:val="24"/>
        </w:rPr>
        <w:t>Octavo. -</w:t>
      </w:r>
      <w:r w:rsidR="00027A0C" w:rsidRPr="005F28DB">
        <w:rPr>
          <w:rFonts w:ascii="Arial" w:hAnsi="Arial" w:cs="Arial"/>
          <w:sz w:val="24"/>
          <w:szCs w:val="24"/>
        </w:rPr>
        <w:t xml:space="preserve"> En este trabajo parlamentario se c</w:t>
      </w:r>
      <w:r w:rsidR="00A33566" w:rsidRPr="005F28DB">
        <w:rPr>
          <w:rFonts w:ascii="Arial" w:hAnsi="Arial" w:cs="Arial"/>
          <w:sz w:val="24"/>
          <w:szCs w:val="24"/>
        </w:rPr>
        <w:t>onsider</w:t>
      </w:r>
      <w:r w:rsidR="00027A0C" w:rsidRPr="005F28DB">
        <w:rPr>
          <w:rFonts w:ascii="Arial" w:hAnsi="Arial" w:cs="Arial"/>
          <w:sz w:val="24"/>
          <w:szCs w:val="24"/>
        </w:rPr>
        <w:t>a</w:t>
      </w:r>
      <w:r w:rsidR="00A33566" w:rsidRPr="005F28DB">
        <w:rPr>
          <w:rFonts w:ascii="Arial" w:hAnsi="Arial" w:cs="Arial"/>
          <w:sz w:val="24"/>
          <w:szCs w:val="24"/>
        </w:rPr>
        <w:t xml:space="preserve">, que </w:t>
      </w:r>
      <w:r w:rsidR="00027A0C" w:rsidRPr="005F28DB">
        <w:rPr>
          <w:rFonts w:ascii="Arial" w:hAnsi="Arial" w:cs="Arial"/>
          <w:sz w:val="24"/>
          <w:szCs w:val="24"/>
        </w:rPr>
        <w:t xml:space="preserve">se debe </w:t>
      </w:r>
      <w:r w:rsidR="00A33566" w:rsidRPr="005F28DB">
        <w:rPr>
          <w:rFonts w:ascii="Arial" w:hAnsi="Arial" w:cs="Arial"/>
          <w:sz w:val="24"/>
          <w:szCs w:val="24"/>
        </w:rPr>
        <w:t xml:space="preserve">incluir en la agenda legislativa este tema, y contemplar los escenarios desde la visión y realidad municipal, estatal y federal. </w:t>
      </w:r>
    </w:p>
    <w:p w14:paraId="374B6E14" w14:textId="77777777" w:rsidR="00F320F6" w:rsidRDefault="00F320F6" w:rsidP="00A33566">
      <w:pPr>
        <w:spacing w:line="240" w:lineRule="auto"/>
        <w:jc w:val="both"/>
        <w:rPr>
          <w:rFonts w:ascii="Arial" w:hAnsi="Arial" w:cs="Arial"/>
          <w:b/>
          <w:bCs/>
          <w:sz w:val="24"/>
          <w:szCs w:val="24"/>
        </w:rPr>
      </w:pPr>
    </w:p>
    <w:p w14:paraId="2EBC3D85" w14:textId="42CFC1D2" w:rsidR="00A33566" w:rsidRPr="005F28DB" w:rsidRDefault="003132B3" w:rsidP="00A33566">
      <w:pPr>
        <w:spacing w:line="240" w:lineRule="auto"/>
        <w:jc w:val="both"/>
        <w:rPr>
          <w:rFonts w:ascii="Arial" w:hAnsi="Arial" w:cs="Arial"/>
          <w:sz w:val="24"/>
          <w:szCs w:val="24"/>
        </w:rPr>
      </w:pPr>
      <w:r w:rsidRPr="005F28DB">
        <w:rPr>
          <w:rFonts w:ascii="Arial" w:hAnsi="Arial" w:cs="Arial"/>
          <w:b/>
          <w:bCs/>
          <w:sz w:val="24"/>
          <w:szCs w:val="24"/>
        </w:rPr>
        <w:t>Noveno. -</w:t>
      </w:r>
      <w:r w:rsidR="0012076C" w:rsidRPr="005F28DB">
        <w:rPr>
          <w:rFonts w:ascii="Arial" w:hAnsi="Arial" w:cs="Arial"/>
          <w:sz w:val="24"/>
          <w:szCs w:val="24"/>
        </w:rPr>
        <w:t xml:space="preserve"> </w:t>
      </w:r>
      <w:r w:rsidR="00A33566" w:rsidRPr="005F28DB">
        <w:rPr>
          <w:rFonts w:ascii="Arial" w:hAnsi="Arial" w:cs="Arial"/>
          <w:sz w:val="24"/>
          <w:szCs w:val="24"/>
        </w:rPr>
        <w:t>Tan solo de enero a mayo de 2022, el Estado de México encabeza la gráfica nacional con el mayor número de casos de feminicidio con 61.</w:t>
      </w:r>
      <w:r w:rsidR="005F253E" w:rsidRPr="005F28DB">
        <w:rPr>
          <w:rFonts w:ascii="Arial" w:hAnsi="Arial" w:cs="Arial"/>
          <w:sz w:val="24"/>
          <w:szCs w:val="24"/>
        </w:rPr>
        <w:t xml:space="preserve"> </w:t>
      </w:r>
      <w:r w:rsidR="00A33566" w:rsidRPr="005F28DB">
        <w:rPr>
          <w:rFonts w:ascii="Arial" w:hAnsi="Arial" w:cs="Arial"/>
          <w:sz w:val="24"/>
          <w:szCs w:val="24"/>
        </w:rPr>
        <w:t xml:space="preserve">La </w:t>
      </w:r>
      <w:r w:rsidR="0021756D" w:rsidRPr="005F28DB">
        <w:rPr>
          <w:rFonts w:ascii="Arial" w:hAnsi="Arial" w:cs="Arial"/>
          <w:sz w:val="24"/>
          <w:szCs w:val="24"/>
        </w:rPr>
        <w:t xml:space="preserve">Alerta de Violencia de Género contra las Mujeres </w:t>
      </w:r>
      <w:r w:rsidR="00A33566" w:rsidRPr="005F28DB">
        <w:rPr>
          <w:rFonts w:ascii="Arial" w:hAnsi="Arial" w:cs="Arial"/>
          <w:sz w:val="24"/>
          <w:szCs w:val="24"/>
        </w:rPr>
        <w:t xml:space="preserve">es un mecanismo que establece medidas de emergencia para erradicar las violencias contra las mujeres en un municipio o alcaldía específico e incluye que el gobierno federal destine recursos extraordinarios para ayudar en la atención, investigación, prevención y búsqueda. </w:t>
      </w:r>
    </w:p>
    <w:p w14:paraId="76A6E458" w14:textId="1F77FBC7" w:rsidR="00A33566" w:rsidRPr="005F28DB" w:rsidRDefault="003132B3" w:rsidP="00A33566">
      <w:pPr>
        <w:spacing w:line="240" w:lineRule="auto"/>
        <w:jc w:val="both"/>
        <w:rPr>
          <w:rFonts w:ascii="Arial" w:hAnsi="Arial" w:cs="Arial"/>
          <w:sz w:val="24"/>
          <w:szCs w:val="24"/>
        </w:rPr>
      </w:pPr>
      <w:r w:rsidRPr="005F28DB">
        <w:rPr>
          <w:rFonts w:ascii="Arial" w:hAnsi="Arial" w:cs="Arial"/>
          <w:b/>
          <w:bCs/>
          <w:sz w:val="24"/>
          <w:szCs w:val="24"/>
        </w:rPr>
        <w:t>Décimo. -</w:t>
      </w:r>
      <w:r w:rsidR="00BC68BE" w:rsidRPr="005F28DB">
        <w:rPr>
          <w:rFonts w:ascii="Arial" w:hAnsi="Arial" w:cs="Arial"/>
          <w:sz w:val="24"/>
          <w:szCs w:val="24"/>
        </w:rPr>
        <w:t xml:space="preserve"> </w:t>
      </w:r>
      <w:r w:rsidR="00A33566" w:rsidRPr="005F28DB">
        <w:rPr>
          <w:rFonts w:ascii="Arial" w:hAnsi="Arial" w:cs="Arial"/>
          <w:sz w:val="24"/>
          <w:szCs w:val="24"/>
        </w:rPr>
        <w:t>De enero a mayo de este año, varios municipios mexiquenses estuvieron dentro de los 25 municipios con más casos de feminicidio registrados en todo el país: Ecatepec de Morelos (6 casos de feminicidio), Tlalnepantla de Baz (4 casos), Valle de Chalco Solidaridad (4), Atizapán de Zaragoza (3) y Naucalpan (3).</w:t>
      </w:r>
      <w:r w:rsidR="00BC68BE" w:rsidRPr="005F28DB">
        <w:rPr>
          <w:rFonts w:ascii="Arial" w:hAnsi="Arial" w:cs="Arial"/>
          <w:sz w:val="24"/>
          <w:szCs w:val="24"/>
        </w:rPr>
        <w:t xml:space="preserve"> </w:t>
      </w:r>
      <w:r w:rsidR="00A33566" w:rsidRPr="005F28DB">
        <w:rPr>
          <w:rFonts w:ascii="Arial" w:hAnsi="Arial" w:cs="Arial"/>
          <w:sz w:val="24"/>
          <w:szCs w:val="24"/>
        </w:rPr>
        <w:t>Sin embargo, en el listado de los 100 municipios con mayor violencia feminicida del país, han llegado a figurar hasta 25 municipios mexiquenses, entre ellos: Tecámac, Temoaya, Atizapán de Zaragoza, Amecameca, Huehuetoca, La Paz, Melchor Ocampo, Nicolás Romero y San Felipe del Progreso.</w:t>
      </w:r>
      <w:r w:rsidR="008B4665" w:rsidRPr="005F28DB">
        <w:rPr>
          <w:rStyle w:val="Refdenotaalpie"/>
          <w:rFonts w:ascii="Arial" w:hAnsi="Arial" w:cs="Arial"/>
          <w:sz w:val="24"/>
          <w:szCs w:val="24"/>
        </w:rPr>
        <w:footnoteReference w:id="8"/>
      </w:r>
    </w:p>
    <w:p w14:paraId="04C0ED8F" w14:textId="3FB54BE6" w:rsidR="00A33566" w:rsidRPr="005F28DB" w:rsidRDefault="00BC68BE" w:rsidP="00A33566">
      <w:pPr>
        <w:spacing w:line="240" w:lineRule="auto"/>
        <w:jc w:val="both"/>
        <w:rPr>
          <w:rFonts w:ascii="Arial" w:hAnsi="Arial" w:cs="Arial"/>
          <w:sz w:val="24"/>
          <w:szCs w:val="24"/>
        </w:rPr>
      </w:pPr>
      <w:r w:rsidRPr="005F28DB">
        <w:rPr>
          <w:rFonts w:ascii="Arial" w:hAnsi="Arial" w:cs="Arial"/>
          <w:b/>
          <w:bCs/>
          <w:sz w:val="24"/>
          <w:szCs w:val="24"/>
        </w:rPr>
        <w:t xml:space="preserve">Décimo </w:t>
      </w:r>
      <w:r w:rsidR="003132B3" w:rsidRPr="005F28DB">
        <w:rPr>
          <w:rFonts w:ascii="Arial" w:hAnsi="Arial" w:cs="Arial"/>
          <w:b/>
          <w:bCs/>
          <w:sz w:val="24"/>
          <w:szCs w:val="24"/>
        </w:rPr>
        <w:t>Primero. -</w:t>
      </w:r>
      <w:r w:rsidR="002837BA" w:rsidRPr="005F28DB">
        <w:rPr>
          <w:rFonts w:ascii="Arial" w:hAnsi="Arial" w:cs="Arial"/>
          <w:sz w:val="24"/>
          <w:szCs w:val="24"/>
        </w:rPr>
        <w:t xml:space="preserve"> </w:t>
      </w:r>
      <w:r w:rsidR="00A33566" w:rsidRPr="005F28DB">
        <w:rPr>
          <w:rFonts w:ascii="Arial" w:hAnsi="Arial" w:cs="Arial"/>
          <w:sz w:val="24"/>
          <w:szCs w:val="24"/>
        </w:rPr>
        <w:t xml:space="preserve">De acuerdo con un estudio de género realizado por la </w:t>
      </w:r>
      <w:r w:rsidR="00F7281D" w:rsidRPr="005F28DB">
        <w:rPr>
          <w:rFonts w:ascii="Arial" w:hAnsi="Arial" w:cs="Arial"/>
          <w:sz w:val="24"/>
          <w:szCs w:val="24"/>
        </w:rPr>
        <w:t>Organización para la Cooperación y el Desarrollo Económicos (</w:t>
      </w:r>
      <w:r w:rsidR="00A33566" w:rsidRPr="005F28DB">
        <w:rPr>
          <w:rFonts w:ascii="Arial" w:hAnsi="Arial" w:cs="Arial"/>
          <w:sz w:val="24"/>
          <w:szCs w:val="24"/>
        </w:rPr>
        <w:t>OCDE</w:t>
      </w:r>
      <w:r w:rsidR="00F7281D" w:rsidRPr="005F28DB">
        <w:rPr>
          <w:rFonts w:ascii="Arial" w:hAnsi="Arial" w:cs="Arial"/>
          <w:sz w:val="24"/>
          <w:szCs w:val="24"/>
        </w:rPr>
        <w:t>)</w:t>
      </w:r>
      <w:r w:rsidR="00A33566" w:rsidRPr="005F28DB">
        <w:rPr>
          <w:rFonts w:ascii="Arial" w:hAnsi="Arial" w:cs="Arial"/>
          <w:sz w:val="24"/>
          <w:szCs w:val="24"/>
        </w:rPr>
        <w:t>, si México reduce a la mitad la brecha de género en la fuerza de trabajo, se añadirían potencialmente 0.16 puntos porcentuales a la tasa anual de crecimiento del Producto Interno Bruto (PIB) per cápita, para llegar a 2.46 por ciento anual.</w:t>
      </w:r>
      <w:r w:rsidR="0006634D" w:rsidRPr="005F28DB">
        <w:rPr>
          <w:rFonts w:ascii="Arial" w:hAnsi="Arial" w:cs="Arial"/>
          <w:sz w:val="24"/>
          <w:szCs w:val="24"/>
        </w:rPr>
        <w:t xml:space="preserve"> </w:t>
      </w:r>
      <w:r w:rsidR="00A33566" w:rsidRPr="005F28DB">
        <w:rPr>
          <w:rFonts w:ascii="Arial" w:hAnsi="Arial" w:cs="Arial"/>
          <w:sz w:val="24"/>
          <w:szCs w:val="24"/>
        </w:rPr>
        <w:t>Esto se traduciría en un aumento de mil 100 dólares del PIB per cápita y una mayor igualdad de género en México.</w:t>
      </w:r>
      <w:r w:rsidR="00C2580B" w:rsidRPr="005F28DB">
        <w:rPr>
          <w:rStyle w:val="Refdenotaalpie"/>
          <w:rFonts w:ascii="Arial" w:hAnsi="Arial" w:cs="Arial"/>
          <w:sz w:val="24"/>
          <w:szCs w:val="24"/>
        </w:rPr>
        <w:footnoteReference w:id="9"/>
      </w:r>
    </w:p>
    <w:p w14:paraId="6506E122" w14:textId="627E09BD" w:rsidR="00C2580B" w:rsidRPr="005F28DB" w:rsidRDefault="0006634D" w:rsidP="00A33566">
      <w:pPr>
        <w:spacing w:line="240" w:lineRule="auto"/>
        <w:jc w:val="both"/>
        <w:rPr>
          <w:rFonts w:ascii="Arial" w:hAnsi="Arial" w:cs="Arial"/>
          <w:sz w:val="24"/>
          <w:szCs w:val="24"/>
        </w:rPr>
      </w:pPr>
      <w:r w:rsidRPr="005F28DB">
        <w:rPr>
          <w:rFonts w:ascii="Arial" w:hAnsi="Arial" w:cs="Arial"/>
          <w:b/>
          <w:bCs/>
          <w:sz w:val="24"/>
          <w:szCs w:val="24"/>
        </w:rPr>
        <w:t xml:space="preserve">Décimo </w:t>
      </w:r>
      <w:r w:rsidR="003132B3" w:rsidRPr="005F28DB">
        <w:rPr>
          <w:rFonts w:ascii="Arial" w:hAnsi="Arial" w:cs="Arial"/>
          <w:b/>
          <w:bCs/>
          <w:sz w:val="24"/>
          <w:szCs w:val="24"/>
        </w:rPr>
        <w:t>Segundo. -</w:t>
      </w:r>
      <w:r w:rsidRPr="005F28DB">
        <w:rPr>
          <w:rFonts w:ascii="Arial" w:hAnsi="Arial" w:cs="Arial"/>
          <w:sz w:val="24"/>
          <w:szCs w:val="24"/>
        </w:rPr>
        <w:t xml:space="preserve"> </w:t>
      </w:r>
      <w:r w:rsidR="00A33566" w:rsidRPr="005F28DB">
        <w:rPr>
          <w:rFonts w:ascii="Arial" w:hAnsi="Arial" w:cs="Arial"/>
          <w:sz w:val="24"/>
          <w:szCs w:val="24"/>
        </w:rPr>
        <w:t>Recientemente el Gobierno del Estado de México dio a conocer que tiene como meta pasar de siete a 15 refugios</w:t>
      </w:r>
      <w:r w:rsidR="008669B5" w:rsidRPr="005F28DB">
        <w:rPr>
          <w:rStyle w:val="Refdenotaalpie"/>
          <w:rFonts w:ascii="Arial" w:hAnsi="Arial" w:cs="Arial"/>
          <w:sz w:val="24"/>
          <w:szCs w:val="24"/>
        </w:rPr>
        <w:footnoteReference w:id="10"/>
      </w:r>
      <w:r w:rsidR="00A33566" w:rsidRPr="005F28DB">
        <w:rPr>
          <w:rFonts w:ascii="Arial" w:hAnsi="Arial" w:cs="Arial"/>
          <w:sz w:val="24"/>
          <w:szCs w:val="24"/>
        </w:rPr>
        <w:t>, a fin de que más mujeres cuenten con espacios seguros en donde, lejos de la violencia, puedan capacitarse para salir adelante.</w:t>
      </w:r>
      <w:r w:rsidR="003F121E" w:rsidRPr="005F28DB">
        <w:rPr>
          <w:rFonts w:ascii="Arial" w:hAnsi="Arial" w:cs="Arial"/>
          <w:sz w:val="24"/>
          <w:szCs w:val="24"/>
        </w:rPr>
        <w:t xml:space="preserve"> </w:t>
      </w:r>
      <w:r w:rsidR="00A33566" w:rsidRPr="005F28DB">
        <w:rPr>
          <w:rFonts w:ascii="Arial" w:hAnsi="Arial" w:cs="Arial"/>
          <w:sz w:val="24"/>
          <w:szCs w:val="24"/>
        </w:rPr>
        <w:t xml:space="preserve">Por ello, </w:t>
      </w:r>
      <w:r w:rsidR="003F121E" w:rsidRPr="005F28DB">
        <w:rPr>
          <w:rFonts w:ascii="Arial" w:hAnsi="Arial" w:cs="Arial"/>
          <w:sz w:val="24"/>
          <w:szCs w:val="24"/>
        </w:rPr>
        <w:t xml:space="preserve">es </w:t>
      </w:r>
      <w:r w:rsidR="00A33566" w:rsidRPr="005F28DB">
        <w:rPr>
          <w:rFonts w:ascii="Arial" w:hAnsi="Arial" w:cs="Arial"/>
          <w:sz w:val="24"/>
          <w:szCs w:val="24"/>
        </w:rPr>
        <w:t>que debemos impulsar los canales de diálogo para que los refugios se ubique principalmente en municipios con Alerta de Género, y así con la participación de los 3 niveles de gobierno, los organismos de la sociedad civil y la academia colaborar con proyectos e ideas que promuevan no solo su creación sino impulsar acciones destinadas a romper con las brechas de género que aún existen</w:t>
      </w:r>
      <w:r w:rsidR="00AD402F" w:rsidRPr="005F28DB">
        <w:rPr>
          <w:rStyle w:val="Refdenotaalpie"/>
          <w:rFonts w:ascii="Arial" w:hAnsi="Arial" w:cs="Arial"/>
          <w:sz w:val="24"/>
          <w:szCs w:val="24"/>
        </w:rPr>
        <w:footnoteReference w:id="11"/>
      </w:r>
      <w:r w:rsidR="00A33566" w:rsidRPr="005F28DB">
        <w:rPr>
          <w:rFonts w:ascii="Arial" w:hAnsi="Arial" w:cs="Arial"/>
          <w:sz w:val="24"/>
          <w:szCs w:val="24"/>
        </w:rPr>
        <w:t>.</w:t>
      </w:r>
    </w:p>
    <w:p w14:paraId="3CE8C0BB" w14:textId="77777777" w:rsidR="003132B3" w:rsidRPr="005F28DB" w:rsidRDefault="003132B3" w:rsidP="00A33566">
      <w:pPr>
        <w:spacing w:line="240" w:lineRule="auto"/>
        <w:jc w:val="both"/>
        <w:rPr>
          <w:rFonts w:ascii="Arial" w:hAnsi="Arial" w:cs="Arial"/>
          <w:sz w:val="24"/>
          <w:szCs w:val="24"/>
        </w:rPr>
      </w:pPr>
    </w:p>
    <w:p w14:paraId="7F74D6E7" w14:textId="30F7F741" w:rsidR="00014C4D" w:rsidRPr="005F28DB" w:rsidRDefault="00014C4D" w:rsidP="00D40DD0">
      <w:pPr>
        <w:spacing w:line="240" w:lineRule="auto"/>
        <w:jc w:val="both"/>
        <w:rPr>
          <w:rFonts w:ascii="Arial" w:hAnsi="Arial" w:cs="Arial"/>
          <w:sz w:val="24"/>
          <w:szCs w:val="24"/>
        </w:rPr>
      </w:pPr>
      <w:bookmarkStart w:id="1" w:name="_Hlk114574430"/>
      <w:r w:rsidRPr="005F28DB">
        <w:rPr>
          <w:rFonts w:ascii="Arial" w:hAnsi="Arial" w:cs="Arial"/>
          <w:sz w:val="24"/>
          <w:szCs w:val="24"/>
        </w:rPr>
        <w:t xml:space="preserve">En virtud de lo expuesto, solicito a esta soberanía se apruebe </w:t>
      </w:r>
      <w:r w:rsidR="00C2580B" w:rsidRPr="005F28DB">
        <w:rPr>
          <w:rFonts w:ascii="Arial" w:hAnsi="Arial" w:cs="Arial"/>
          <w:sz w:val="24"/>
          <w:szCs w:val="24"/>
        </w:rPr>
        <w:t>el</w:t>
      </w:r>
      <w:r w:rsidRPr="005F28DB">
        <w:rPr>
          <w:rFonts w:ascii="Arial" w:hAnsi="Arial" w:cs="Arial"/>
          <w:sz w:val="24"/>
          <w:szCs w:val="24"/>
        </w:rPr>
        <w:t xml:space="preserve"> siguiente</w:t>
      </w:r>
      <w:r w:rsidR="00C2580B" w:rsidRPr="005F28DB">
        <w:rPr>
          <w:rFonts w:ascii="Arial" w:hAnsi="Arial" w:cs="Arial"/>
          <w:sz w:val="24"/>
          <w:szCs w:val="24"/>
        </w:rPr>
        <w:t>:</w:t>
      </w:r>
    </w:p>
    <w:p w14:paraId="61EE869D" w14:textId="15405A32" w:rsidR="00C2580B" w:rsidRPr="005F28DB" w:rsidRDefault="00C2580B" w:rsidP="00D40DD0">
      <w:pPr>
        <w:spacing w:line="240" w:lineRule="auto"/>
        <w:jc w:val="both"/>
        <w:rPr>
          <w:rFonts w:ascii="Arial" w:hAnsi="Arial" w:cs="Arial"/>
          <w:sz w:val="24"/>
          <w:szCs w:val="24"/>
        </w:rPr>
      </w:pPr>
    </w:p>
    <w:p w14:paraId="08E2A1BD" w14:textId="7D63D1F4" w:rsidR="00014C4D" w:rsidRPr="005F28DB" w:rsidRDefault="00014C4D" w:rsidP="006E4A26">
      <w:pPr>
        <w:spacing w:line="240" w:lineRule="auto"/>
        <w:jc w:val="center"/>
        <w:rPr>
          <w:rFonts w:ascii="Arial" w:hAnsi="Arial" w:cs="Arial"/>
          <w:b/>
          <w:bCs/>
          <w:sz w:val="24"/>
          <w:szCs w:val="24"/>
        </w:rPr>
      </w:pPr>
      <w:r w:rsidRPr="005F28DB">
        <w:rPr>
          <w:rFonts w:ascii="Arial" w:hAnsi="Arial" w:cs="Arial"/>
          <w:b/>
          <w:bCs/>
          <w:sz w:val="24"/>
          <w:szCs w:val="24"/>
        </w:rPr>
        <w:t>Punto de Acuerdo</w:t>
      </w:r>
    </w:p>
    <w:p w14:paraId="797A6DF4" w14:textId="63F479B1" w:rsidR="00B8449B" w:rsidRPr="005F28DB" w:rsidRDefault="00B8449B" w:rsidP="00B8449B">
      <w:pPr>
        <w:spacing w:line="240" w:lineRule="auto"/>
        <w:jc w:val="both"/>
        <w:rPr>
          <w:rFonts w:ascii="Arial" w:hAnsi="Arial" w:cs="Arial"/>
          <w:b/>
          <w:sz w:val="24"/>
          <w:szCs w:val="24"/>
        </w:rPr>
      </w:pPr>
      <w:r w:rsidRPr="005F28DB">
        <w:rPr>
          <w:rFonts w:ascii="Arial" w:hAnsi="Arial" w:cs="Arial"/>
          <w:b/>
          <w:sz w:val="24"/>
          <w:szCs w:val="24"/>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bookmarkEnd w:id="1"/>
    <w:p w14:paraId="4EA87F99" w14:textId="2C0ECF20" w:rsidR="00B8449B" w:rsidRPr="005F28DB" w:rsidRDefault="00B8449B" w:rsidP="00B8449B">
      <w:pPr>
        <w:spacing w:line="240" w:lineRule="auto"/>
        <w:jc w:val="center"/>
        <w:rPr>
          <w:rFonts w:ascii="Arial" w:hAnsi="Arial" w:cs="Arial"/>
          <w:b/>
          <w:bCs/>
          <w:sz w:val="24"/>
          <w:szCs w:val="24"/>
        </w:rPr>
      </w:pPr>
      <w:r w:rsidRPr="005F28DB">
        <w:rPr>
          <w:rFonts w:ascii="Arial" w:hAnsi="Arial" w:cs="Arial"/>
          <w:b/>
          <w:sz w:val="24"/>
          <w:szCs w:val="24"/>
        </w:rPr>
        <w:t xml:space="preserve">A C U E R D O </w:t>
      </w:r>
    </w:p>
    <w:p w14:paraId="35D1D6E0" w14:textId="1D69BB1B" w:rsidR="00502E4A" w:rsidRPr="005F28DB" w:rsidRDefault="000A2158" w:rsidP="00DA545B">
      <w:pPr>
        <w:spacing w:line="240" w:lineRule="auto"/>
        <w:jc w:val="both"/>
        <w:rPr>
          <w:rFonts w:ascii="Arial" w:hAnsi="Arial" w:cs="Arial"/>
          <w:sz w:val="24"/>
          <w:szCs w:val="24"/>
        </w:rPr>
      </w:pPr>
      <w:r w:rsidRPr="005F28DB">
        <w:rPr>
          <w:rFonts w:ascii="Arial" w:hAnsi="Arial" w:cs="Arial"/>
          <w:b/>
          <w:bCs/>
          <w:sz w:val="24"/>
          <w:szCs w:val="24"/>
        </w:rPr>
        <w:t>Único</w:t>
      </w:r>
      <w:r w:rsidR="00014C4D" w:rsidRPr="005F28DB">
        <w:rPr>
          <w:rFonts w:ascii="Arial" w:hAnsi="Arial" w:cs="Arial"/>
          <w:b/>
          <w:bCs/>
          <w:sz w:val="24"/>
          <w:szCs w:val="24"/>
        </w:rPr>
        <w:t>.</w:t>
      </w:r>
      <w:r w:rsidR="00014C4D" w:rsidRPr="005F28DB">
        <w:rPr>
          <w:rFonts w:ascii="Arial" w:hAnsi="Arial" w:cs="Arial"/>
          <w:sz w:val="24"/>
          <w:szCs w:val="24"/>
        </w:rPr>
        <w:t xml:space="preserve"> </w:t>
      </w:r>
      <w:r w:rsidR="0042116B" w:rsidRPr="005F28DB">
        <w:rPr>
          <w:rFonts w:ascii="Arial" w:hAnsi="Arial" w:cs="Arial"/>
          <w:sz w:val="24"/>
          <w:szCs w:val="24"/>
        </w:rPr>
        <w:t>Se</w:t>
      </w:r>
      <w:r w:rsidR="003132B3" w:rsidRPr="005F28DB">
        <w:rPr>
          <w:rFonts w:ascii="Arial" w:hAnsi="Arial" w:cs="Arial"/>
          <w:sz w:val="24"/>
          <w:szCs w:val="24"/>
        </w:rPr>
        <w:t xml:space="preserve"> exhorta respetuosamente a la Titular de la Secretaría de las Mujeres para que, en el ámbito de sus respectivas competencias, se realicen mesas de trabajo y un Foro Nacional en coordinación con la Comisión Nacional para Prevenir y Erradicar la Violencia contra las Mujeres, en las que participen alcaldes de los 125 municipios del Estado de México, organizaciones de la sociedad civil que se especialicen en temas de género y miembros de la academia a fin de analizar y llegar a acuerdos para establecer una estrategia integral para la atención de la violencia contra la mujer en el Estado de México.</w:t>
      </w:r>
    </w:p>
    <w:p w14:paraId="3D6A0490" w14:textId="4A681A9E" w:rsidR="00B8449B" w:rsidRPr="005F28DB" w:rsidRDefault="00B8449B" w:rsidP="003132B3">
      <w:pPr>
        <w:spacing w:line="240" w:lineRule="auto"/>
        <w:jc w:val="center"/>
        <w:rPr>
          <w:rFonts w:ascii="Arial" w:hAnsi="Arial" w:cs="Arial"/>
          <w:b/>
          <w:bCs/>
          <w:sz w:val="24"/>
          <w:szCs w:val="24"/>
        </w:rPr>
      </w:pPr>
      <w:r w:rsidRPr="005F28DB">
        <w:rPr>
          <w:rFonts w:ascii="Arial" w:hAnsi="Arial" w:cs="Arial"/>
          <w:b/>
          <w:bCs/>
          <w:sz w:val="24"/>
          <w:szCs w:val="24"/>
        </w:rPr>
        <w:t>TRANSITORIOS</w:t>
      </w:r>
    </w:p>
    <w:p w14:paraId="63A1DC13" w14:textId="4A2341F8" w:rsidR="00B8449B" w:rsidRPr="005F28DB" w:rsidRDefault="00B8449B" w:rsidP="00B8449B">
      <w:pPr>
        <w:spacing w:line="340" w:lineRule="exact"/>
        <w:jc w:val="both"/>
        <w:rPr>
          <w:rFonts w:ascii="Arial" w:hAnsi="Arial" w:cs="Arial"/>
          <w:sz w:val="24"/>
          <w:szCs w:val="24"/>
        </w:rPr>
      </w:pPr>
      <w:r w:rsidRPr="005F28DB">
        <w:rPr>
          <w:rFonts w:ascii="Arial" w:hAnsi="Arial" w:cs="Arial"/>
          <w:b/>
          <w:sz w:val="24"/>
          <w:szCs w:val="24"/>
        </w:rPr>
        <w:t>PRIMERO. -</w:t>
      </w:r>
      <w:r w:rsidRPr="005F28DB">
        <w:rPr>
          <w:rFonts w:ascii="Arial" w:hAnsi="Arial" w:cs="Arial"/>
          <w:sz w:val="24"/>
          <w:szCs w:val="24"/>
        </w:rPr>
        <w:t xml:space="preserve"> Publíquese este Acuerdo en el Periódico Oficial “Gaceta del Gobierno” del Estado de México.</w:t>
      </w:r>
    </w:p>
    <w:p w14:paraId="5384A050" w14:textId="16D1F3D8" w:rsidR="00B8449B" w:rsidRPr="005F28DB" w:rsidRDefault="00EE1CAA" w:rsidP="00B8449B">
      <w:pPr>
        <w:spacing w:line="340" w:lineRule="exact"/>
        <w:jc w:val="both"/>
        <w:rPr>
          <w:rFonts w:ascii="Arial" w:hAnsi="Arial" w:cs="Arial"/>
          <w:b/>
          <w:bCs/>
          <w:sz w:val="24"/>
          <w:szCs w:val="24"/>
        </w:rPr>
      </w:pPr>
      <w:r w:rsidRPr="005F28DB">
        <w:rPr>
          <w:rFonts w:ascii="Arial" w:hAnsi="Arial" w:cs="Arial"/>
          <w:b/>
          <w:bCs/>
          <w:sz w:val="24"/>
          <w:szCs w:val="24"/>
        </w:rPr>
        <w:t xml:space="preserve">SEGUNDO. – </w:t>
      </w:r>
      <w:r w:rsidRPr="005F28DB">
        <w:rPr>
          <w:rFonts w:ascii="Arial" w:hAnsi="Arial" w:cs="Arial"/>
          <w:sz w:val="24"/>
          <w:szCs w:val="24"/>
        </w:rPr>
        <w:t>Comuníquese a las autoridades correspondientes.</w:t>
      </w:r>
    </w:p>
    <w:p w14:paraId="231EEEE9" w14:textId="3AE9176A" w:rsidR="00A16800" w:rsidRPr="005F28DB" w:rsidRDefault="00EE0C1B" w:rsidP="003C4924">
      <w:pPr>
        <w:spacing w:line="240" w:lineRule="auto"/>
        <w:jc w:val="both"/>
        <w:rPr>
          <w:rFonts w:ascii="Arial" w:hAnsi="Arial" w:cs="Arial"/>
          <w:sz w:val="24"/>
          <w:szCs w:val="24"/>
        </w:rPr>
      </w:pPr>
      <w:r w:rsidRPr="005F28DB">
        <w:rPr>
          <w:rFonts w:ascii="Arial" w:hAnsi="Arial" w:cs="Arial"/>
          <w:sz w:val="24"/>
          <w:szCs w:val="24"/>
        </w:rPr>
        <w:t xml:space="preserve">Dado en el </w:t>
      </w:r>
      <w:r w:rsidR="006271CD" w:rsidRPr="005F28DB">
        <w:rPr>
          <w:rFonts w:ascii="Arial" w:hAnsi="Arial" w:cs="Arial"/>
          <w:sz w:val="24"/>
          <w:szCs w:val="24"/>
        </w:rPr>
        <w:t>Recito del Poder Legislativo del Estado de México</w:t>
      </w:r>
      <w:r w:rsidRPr="005F28DB">
        <w:rPr>
          <w:rFonts w:ascii="Arial" w:hAnsi="Arial" w:cs="Arial"/>
          <w:sz w:val="24"/>
          <w:szCs w:val="24"/>
        </w:rPr>
        <w:t xml:space="preserve">, a los </w:t>
      </w:r>
      <w:r w:rsidR="00F320F6">
        <w:rPr>
          <w:rFonts w:ascii="Arial" w:hAnsi="Arial" w:cs="Arial"/>
          <w:sz w:val="24"/>
          <w:szCs w:val="24"/>
        </w:rPr>
        <w:t>___</w:t>
      </w:r>
      <w:r w:rsidR="006271CD" w:rsidRPr="005F28DB">
        <w:rPr>
          <w:rFonts w:ascii="Arial" w:hAnsi="Arial" w:cs="Arial"/>
          <w:sz w:val="24"/>
          <w:szCs w:val="24"/>
        </w:rPr>
        <w:t xml:space="preserve"> </w:t>
      </w:r>
      <w:r w:rsidRPr="005F28DB">
        <w:rPr>
          <w:rFonts w:ascii="Arial" w:hAnsi="Arial" w:cs="Arial"/>
          <w:sz w:val="24"/>
          <w:szCs w:val="24"/>
        </w:rPr>
        <w:t xml:space="preserve">días del mes de </w:t>
      </w:r>
      <w:r w:rsidR="00F320F6">
        <w:rPr>
          <w:rFonts w:ascii="Arial" w:hAnsi="Arial" w:cs="Arial"/>
          <w:sz w:val="24"/>
          <w:szCs w:val="24"/>
        </w:rPr>
        <w:t>_____</w:t>
      </w:r>
      <w:r w:rsidRPr="005F28DB">
        <w:rPr>
          <w:rFonts w:ascii="Arial" w:hAnsi="Arial" w:cs="Arial"/>
          <w:sz w:val="24"/>
          <w:szCs w:val="24"/>
        </w:rPr>
        <w:t xml:space="preserve"> del año dos mil </w:t>
      </w:r>
      <w:r w:rsidR="00B61F0D" w:rsidRPr="005F28DB">
        <w:rPr>
          <w:rFonts w:ascii="Arial" w:hAnsi="Arial" w:cs="Arial"/>
          <w:sz w:val="24"/>
          <w:szCs w:val="24"/>
        </w:rPr>
        <w:t>veintidós</w:t>
      </w:r>
      <w:r w:rsidRPr="005F28DB">
        <w:rPr>
          <w:rFonts w:ascii="Arial" w:hAnsi="Arial" w:cs="Arial"/>
          <w:sz w:val="24"/>
          <w:szCs w:val="24"/>
        </w:rPr>
        <w:t>.</w:t>
      </w:r>
      <w:r w:rsidR="00B61F0D" w:rsidRPr="005F28DB">
        <w:rPr>
          <w:rFonts w:ascii="Arial" w:hAnsi="Arial" w:cs="Arial"/>
          <w:sz w:val="24"/>
          <w:szCs w:val="24"/>
        </w:rPr>
        <w:t xml:space="preserve"> </w:t>
      </w:r>
    </w:p>
    <w:p w14:paraId="61E7FFF2" w14:textId="77777777" w:rsidR="005F28DB" w:rsidRPr="00232E8B" w:rsidRDefault="005F28DB" w:rsidP="005F28DB">
      <w:pPr>
        <w:jc w:val="center"/>
        <w:rPr>
          <w:rFonts w:ascii="Arial" w:hAnsi="Arial" w:cs="Arial"/>
          <w:b/>
          <w:sz w:val="24"/>
          <w:szCs w:val="24"/>
        </w:rPr>
      </w:pPr>
      <w:r w:rsidRPr="00232E8B">
        <w:rPr>
          <w:rFonts w:ascii="Arial" w:hAnsi="Arial" w:cs="Arial"/>
          <w:b/>
          <w:sz w:val="24"/>
          <w:szCs w:val="24"/>
        </w:rPr>
        <w:t xml:space="preserve">P R E S E N T A N T E </w:t>
      </w:r>
    </w:p>
    <w:p w14:paraId="1C52C780" w14:textId="77777777" w:rsidR="005F28DB" w:rsidRDefault="005F28DB" w:rsidP="005F28DB">
      <w:pPr>
        <w:jc w:val="center"/>
        <w:rPr>
          <w:rFonts w:ascii="Arial" w:hAnsi="Arial" w:cs="Arial"/>
          <w:b/>
          <w:sz w:val="24"/>
          <w:szCs w:val="24"/>
        </w:rPr>
      </w:pPr>
    </w:p>
    <w:p w14:paraId="2EBC3226" w14:textId="77777777" w:rsidR="005F28DB" w:rsidRPr="00232E8B" w:rsidRDefault="005F28DB" w:rsidP="005F28DB">
      <w:pPr>
        <w:jc w:val="center"/>
        <w:rPr>
          <w:rFonts w:ascii="Arial" w:hAnsi="Arial" w:cs="Arial"/>
          <w:b/>
          <w:sz w:val="24"/>
          <w:szCs w:val="24"/>
        </w:rPr>
      </w:pPr>
    </w:p>
    <w:p w14:paraId="04DC9B93" w14:textId="4866DBC4" w:rsidR="005F28DB" w:rsidRPr="00232E8B" w:rsidRDefault="005F28DB" w:rsidP="005F28DB">
      <w:pPr>
        <w:jc w:val="center"/>
        <w:rPr>
          <w:rFonts w:ascii="Arial" w:hAnsi="Arial" w:cs="Arial"/>
          <w:b/>
          <w:sz w:val="24"/>
          <w:szCs w:val="24"/>
        </w:rPr>
      </w:pPr>
      <w:r w:rsidRPr="00232E8B">
        <w:rPr>
          <w:rFonts w:ascii="Arial" w:hAnsi="Arial" w:cs="Arial"/>
          <w:b/>
          <w:sz w:val="24"/>
          <w:szCs w:val="24"/>
        </w:rPr>
        <w:t>DIPUTAD</w:t>
      </w:r>
      <w:r>
        <w:rPr>
          <w:rFonts w:ascii="Arial" w:hAnsi="Arial" w:cs="Arial"/>
          <w:b/>
          <w:sz w:val="24"/>
          <w:szCs w:val="24"/>
        </w:rPr>
        <w:t xml:space="preserve">A MIRIAM ESCALONA PIÑA </w:t>
      </w:r>
    </w:p>
    <w:p w14:paraId="1E48F99F" w14:textId="77777777" w:rsidR="005F28DB" w:rsidRDefault="005F28DB" w:rsidP="005F28DB">
      <w:pPr>
        <w:jc w:val="center"/>
        <w:rPr>
          <w:rFonts w:ascii="Arial" w:hAnsi="Arial" w:cs="Arial"/>
          <w:b/>
          <w:sz w:val="24"/>
          <w:szCs w:val="24"/>
        </w:rPr>
      </w:pPr>
    </w:p>
    <w:p w14:paraId="709D0A79" w14:textId="77777777" w:rsidR="005F28DB" w:rsidRPr="00232E8B" w:rsidRDefault="005F28DB" w:rsidP="005F28DB">
      <w:pPr>
        <w:jc w:val="center"/>
        <w:rPr>
          <w:rFonts w:ascii="Arial" w:hAnsi="Arial" w:cs="Arial"/>
          <w:b/>
          <w:sz w:val="24"/>
          <w:szCs w:val="24"/>
        </w:rPr>
      </w:pPr>
    </w:p>
    <w:p w14:paraId="53A7A942" w14:textId="77777777" w:rsidR="005F28DB" w:rsidRDefault="005F28DB" w:rsidP="005F28DB">
      <w:pPr>
        <w:spacing w:after="0" w:line="240" w:lineRule="auto"/>
        <w:jc w:val="center"/>
        <w:rPr>
          <w:rFonts w:ascii="Arial" w:hAnsi="Arial" w:cs="Arial"/>
          <w:b/>
          <w:sz w:val="24"/>
          <w:szCs w:val="24"/>
        </w:rPr>
      </w:pPr>
      <w:r w:rsidRPr="00232E8B">
        <w:rPr>
          <w:rFonts w:ascii="Arial" w:hAnsi="Arial" w:cs="Arial"/>
          <w:b/>
          <w:sz w:val="24"/>
          <w:szCs w:val="24"/>
        </w:rPr>
        <w:t>DIPUTADO ENRIQUE VARGAS DEL VILLAR</w:t>
      </w:r>
    </w:p>
    <w:p w14:paraId="621538FE" w14:textId="77777777" w:rsidR="005F28DB" w:rsidRPr="00232E8B" w:rsidRDefault="005F28DB" w:rsidP="005F28DB">
      <w:pPr>
        <w:spacing w:after="0" w:line="240" w:lineRule="auto"/>
        <w:jc w:val="center"/>
        <w:rPr>
          <w:rFonts w:ascii="Arial" w:hAnsi="Arial" w:cs="Arial"/>
          <w:b/>
          <w:sz w:val="24"/>
          <w:szCs w:val="24"/>
        </w:rPr>
      </w:pPr>
    </w:p>
    <w:p w14:paraId="63385751" w14:textId="77777777" w:rsidR="005F28DB" w:rsidRPr="004635A3" w:rsidRDefault="005F28DB" w:rsidP="005F28DB">
      <w:pPr>
        <w:spacing w:after="0" w:line="240" w:lineRule="auto"/>
        <w:jc w:val="center"/>
        <w:rPr>
          <w:rFonts w:ascii="Arial" w:hAnsi="Arial" w:cs="Arial"/>
          <w:sz w:val="24"/>
          <w:szCs w:val="24"/>
        </w:rPr>
      </w:pPr>
      <w:r>
        <w:rPr>
          <w:rFonts w:ascii="Arial" w:hAnsi="Arial" w:cs="Arial"/>
          <w:sz w:val="24"/>
          <w:szCs w:val="24"/>
        </w:rPr>
        <w:t>Integrantes</w:t>
      </w:r>
      <w:r w:rsidRPr="004635A3">
        <w:rPr>
          <w:rFonts w:ascii="Arial" w:hAnsi="Arial" w:cs="Arial"/>
          <w:sz w:val="24"/>
          <w:szCs w:val="24"/>
        </w:rPr>
        <w:t xml:space="preserve"> del Grupo Parlamentario del Partido Acción Nacional</w:t>
      </w:r>
    </w:p>
    <w:p w14:paraId="0818EA47" w14:textId="45347293" w:rsidR="007E6BEB" w:rsidRPr="005F28DB" w:rsidRDefault="007E6BEB" w:rsidP="006271CD">
      <w:pPr>
        <w:spacing w:line="240" w:lineRule="auto"/>
        <w:rPr>
          <w:rFonts w:ascii="Arial" w:hAnsi="Arial" w:cs="Arial"/>
          <w:b/>
          <w:bCs/>
          <w:sz w:val="24"/>
          <w:szCs w:val="24"/>
        </w:rPr>
      </w:pPr>
    </w:p>
    <w:p w14:paraId="7397F685" w14:textId="55E4184D" w:rsidR="004F26D6" w:rsidRPr="005F28DB" w:rsidRDefault="00B61F0D" w:rsidP="00C2580B">
      <w:pPr>
        <w:spacing w:line="240" w:lineRule="auto"/>
        <w:jc w:val="both"/>
        <w:rPr>
          <w:rFonts w:ascii="Arial" w:hAnsi="Arial" w:cs="Arial"/>
          <w:b/>
          <w:bCs/>
          <w:i/>
          <w:iCs/>
          <w:sz w:val="20"/>
          <w:szCs w:val="20"/>
        </w:rPr>
      </w:pPr>
      <w:r w:rsidRPr="005F28DB">
        <w:rPr>
          <w:rFonts w:ascii="Arial" w:hAnsi="Arial" w:cs="Arial"/>
          <w:b/>
          <w:bCs/>
          <w:i/>
          <w:iCs/>
          <w:sz w:val="20"/>
          <w:szCs w:val="20"/>
        </w:rPr>
        <w:t>Bibliografía consultada:</w:t>
      </w:r>
    </w:p>
    <w:p w14:paraId="25173B72" w14:textId="68103F1C" w:rsidR="00A23C1A" w:rsidRPr="005F28DB" w:rsidRDefault="004F26D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INEGI (202</w:t>
      </w:r>
      <w:r w:rsidR="00A23C1A" w:rsidRPr="005F28DB">
        <w:rPr>
          <w:rFonts w:ascii="Arial" w:hAnsi="Arial" w:cs="Arial"/>
          <w:b/>
          <w:bCs/>
          <w:i/>
          <w:iCs/>
          <w:sz w:val="20"/>
          <w:szCs w:val="20"/>
        </w:rPr>
        <w:t>1</w:t>
      </w:r>
      <w:r w:rsidRPr="005F28DB">
        <w:rPr>
          <w:rFonts w:ascii="Arial" w:hAnsi="Arial" w:cs="Arial"/>
          <w:b/>
          <w:bCs/>
          <w:i/>
          <w:iCs/>
          <w:sz w:val="20"/>
          <w:szCs w:val="20"/>
        </w:rPr>
        <w:t xml:space="preserve">), </w:t>
      </w:r>
      <w:hyperlink r:id="rId7" w:history="1">
        <w:r w:rsidR="00A23C1A" w:rsidRPr="005F28DB">
          <w:rPr>
            <w:rStyle w:val="Hipervnculo"/>
            <w:rFonts w:ascii="Arial" w:hAnsi="Arial" w:cs="Arial"/>
            <w:b/>
            <w:bCs/>
            <w:i/>
            <w:iCs/>
            <w:sz w:val="20"/>
            <w:szCs w:val="20"/>
          </w:rPr>
          <w:t>https://www.inegi.org.mx/contenidos/saladeprensa/aproposito/2021/EAP_Elimviolmujer21.pdf</w:t>
        </w:r>
      </w:hyperlink>
    </w:p>
    <w:p w14:paraId="530ADF99" w14:textId="77777777"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ACALE, M. (2009). “Análisis del Código Penal en materia de violencia de género contra las mujeres</w:t>
      </w:r>
    </w:p>
    <w:p w14:paraId="6330D43C" w14:textId="77777777"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desde una perspectiva transversal”. REDUR 7, pp. 37-73.</w:t>
      </w:r>
    </w:p>
    <w:p w14:paraId="634AF1F6" w14:textId="77777777"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AMORÓS, C. (2011). “Conceptualizar la violencia de género”. Conferencia del 20º aniversario del</w:t>
      </w:r>
    </w:p>
    <w:p w14:paraId="7B569A45" w14:textId="6C56B9BF"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 xml:space="preserve">Curso de Historia de la Teoría Feminista. Madrid: Vídeo </w:t>
      </w:r>
      <w:hyperlink r:id="rId8" w:history="1">
        <w:r w:rsidR="00D44921" w:rsidRPr="005F28DB">
          <w:rPr>
            <w:rStyle w:val="Hipervnculo"/>
            <w:rFonts w:ascii="Arial" w:hAnsi="Arial" w:cs="Arial"/>
            <w:b/>
            <w:bCs/>
            <w:i/>
            <w:iCs/>
            <w:sz w:val="20"/>
            <w:szCs w:val="20"/>
          </w:rPr>
          <w:t>http://www.youtube.com/watch?v=Ztc6GS5pXBM&amp;hd=1</w:t>
        </w:r>
      </w:hyperlink>
    </w:p>
    <w:p w14:paraId="44693A35" w14:textId="77777777"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BERBEL, E. (2004). Trátame bien. El maltrato físico y psicológico a examen. Barcelona: Alba.</w:t>
      </w:r>
    </w:p>
    <w:p w14:paraId="35CEA0C5" w14:textId="4B8058EF"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BONINO, L. (1999). “Las microviolencias y sus efectos”, en Revista Argentina de Clínica Psicológica,</w:t>
      </w:r>
      <w:r w:rsidR="00D44921" w:rsidRPr="005F28DB">
        <w:rPr>
          <w:rFonts w:ascii="Arial" w:hAnsi="Arial" w:cs="Arial"/>
          <w:b/>
          <w:bCs/>
          <w:i/>
          <w:iCs/>
          <w:sz w:val="20"/>
          <w:szCs w:val="20"/>
        </w:rPr>
        <w:t xml:space="preserve"> </w:t>
      </w:r>
      <w:r w:rsidRPr="005F28DB">
        <w:rPr>
          <w:rFonts w:ascii="Arial" w:hAnsi="Arial" w:cs="Arial"/>
          <w:b/>
          <w:bCs/>
          <w:i/>
          <w:iCs/>
          <w:sz w:val="20"/>
          <w:szCs w:val="20"/>
        </w:rPr>
        <w:t>VIII: 221-233.</w:t>
      </w:r>
    </w:p>
    <w:p w14:paraId="1C31A39C" w14:textId="4BC918C7"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DE MIGUEL, A. (2005). “Los feminismos en la historia. El restablecimiento de la genealogía”. En I.</w:t>
      </w:r>
    </w:p>
    <w:p w14:paraId="3B5E20F9" w14:textId="12C9443E"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Torres (coord.) Miradas desde la perspectiva de género. Estudios de las mujeres. Madrid: Narcea, pp.</w:t>
      </w:r>
      <w:r w:rsidR="006E4A26" w:rsidRPr="005F28DB">
        <w:rPr>
          <w:rFonts w:ascii="Arial" w:hAnsi="Arial" w:cs="Arial"/>
          <w:b/>
          <w:bCs/>
          <w:i/>
          <w:iCs/>
          <w:sz w:val="20"/>
          <w:szCs w:val="20"/>
        </w:rPr>
        <w:t xml:space="preserve"> </w:t>
      </w:r>
      <w:r w:rsidRPr="005F28DB">
        <w:rPr>
          <w:rFonts w:ascii="Arial" w:hAnsi="Arial" w:cs="Arial"/>
          <w:b/>
          <w:bCs/>
          <w:i/>
          <w:iCs/>
          <w:sz w:val="20"/>
          <w:szCs w:val="20"/>
        </w:rPr>
        <w:t>15-32.</w:t>
      </w:r>
    </w:p>
    <w:p w14:paraId="2523C9C6" w14:textId="77777777"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 xml:space="preserve">FERRER, V. A. (2007). “La violencia contra las mujeres en la pareja o la </w:t>
      </w:r>
      <w:proofErr w:type="spellStart"/>
      <w:r w:rsidRPr="005F28DB">
        <w:rPr>
          <w:rFonts w:ascii="Arial" w:hAnsi="Arial" w:cs="Arial"/>
          <w:b/>
          <w:bCs/>
          <w:i/>
          <w:iCs/>
          <w:sz w:val="20"/>
          <w:szCs w:val="20"/>
        </w:rPr>
        <w:t>visibilización</w:t>
      </w:r>
      <w:proofErr w:type="spellEnd"/>
      <w:r w:rsidRPr="005F28DB">
        <w:rPr>
          <w:rFonts w:ascii="Arial" w:hAnsi="Arial" w:cs="Arial"/>
          <w:b/>
          <w:bCs/>
          <w:i/>
          <w:iCs/>
          <w:sz w:val="20"/>
          <w:szCs w:val="20"/>
        </w:rPr>
        <w:t xml:space="preserve"> de lo invisible”.</w:t>
      </w:r>
    </w:p>
    <w:p w14:paraId="6900782F" w14:textId="77777777"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En ¿Todas las mujeres podemos?: Género, desarrollo y multiculturalidad. Actas del III Congreso</w:t>
      </w:r>
    </w:p>
    <w:p w14:paraId="520F994F" w14:textId="77777777"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Estatal Fll0 sobre igualdad entre mujeres y hombres Castellón: Fundación Isonomía, pp.166-175.</w:t>
      </w:r>
    </w:p>
    <w:p w14:paraId="3B795DAA" w14:textId="77777777" w:rsidR="002D3446"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GALTUNG, J. (2003). “Violencia, Paz e Investigación sobre la Paz”. Sobre la Paz. México DF.:</w:t>
      </w:r>
    </w:p>
    <w:p w14:paraId="0385A99F" w14:textId="3A0B272A" w:rsidR="002E783F" w:rsidRPr="005F28DB" w:rsidRDefault="002D3446" w:rsidP="003132B3">
      <w:pPr>
        <w:spacing w:after="0" w:line="240" w:lineRule="auto"/>
        <w:jc w:val="both"/>
        <w:rPr>
          <w:rFonts w:ascii="Arial" w:hAnsi="Arial" w:cs="Arial"/>
          <w:b/>
          <w:bCs/>
          <w:i/>
          <w:iCs/>
          <w:sz w:val="20"/>
          <w:szCs w:val="20"/>
        </w:rPr>
      </w:pPr>
      <w:r w:rsidRPr="005F28DB">
        <w:rPr>
          <w:rFonts w:ascii="Arial" w:hAnsi="Arial" w:cs="Arial"/>
          <w:b/>
          <w:bCs/>
          <w:i/>
          <w:iCs/>
          <w:sz w:val="20"/>
          <w:szCs w:val="20"/>
        </w:rPr>
        <w:t>Fontamara</w:t>
      </w:r>
    </w:p>
    <w:sectPr w:rsidR="002E783F" w:rsidRPr="005F28D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D83EF" w14:textId="77777777" w:rsidR="00E7288D" w:rsidRDefault="00E7288D" w:rsidP="00F14E4A">
      <w:pPr>
        <w:spacing w:after="0" w:line="240" w:lineRule="auto"/>
      </w:pPr>
      <w:r>
        <w:separator/>
      </w:r>
    </w:p>
  </w:endnote>
  <w:endnote w:type="continuationSeparator" w:id="0">
    <w:p w14:paraId="4E48456B" w14:textId="77777777" w:rsidR="00E7288D" w:rsidRDefault="00E7288D" w:rsidP="00F1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1773823"/>
      <w:docPartObj>
        <w:docPartGallery w:val="Page Numbers (Bottom of Page)"/>
        <w:docPartUnique/>
      </w:docPartObj>
    </w:sdtPr>
    <w:sdtEndPr/>
    <w:sdtContent>
      <w:p w14:paraId="3E0358D9" w14:textId="05DAA56C" w:rsidR="0050403B" w:rsidRDefault="0050403B">
        <w:pPr>
          <w:pStyle w:val="Piedepgina"/>
          <w:jc w:val="right"/>
        </w:pPr>
        <w:r>
          <w:fldChar w:fldCharType="begin"/>
        </w:r>
        <w:r>
          <w:instrText>PAGE   \* MERGEFORMAT</w:instrText>
        </w:r>
        <w:r>
          <w:fldChar w:fldCharType="separate"/>
        </w:r>
        <w:r>
          <w:rPr>
            <w:lang w:val="es-ES"/>
          </w:rPr>
          <w:t>2</w:t>
        </w:r>
        <w:r>
          <w:fldChar w:fldCharType="end"/>
        </w:r>
      </w:p>
    </w:sdtContent>
  </w:sdt>
  <w:p w14:paraId="13B76F81" w14:textId="77777777" w:rsidR="0050403B" w:rsidRDefault="005040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7F392" w14:textId="77777777" w:rsidR="00E7288D" w:rsidRDefault="00E7288D" w:rsidP="00F14E4A">
      <w:pPr>
        <w:spacing w:after="0" w:line="240" w:lineRule="auto"/>
      </w:pPr>
      <w:r>
        <w:separator/>
      </w:r>
    </w:p>
  </w:footnote>
  <w:footnote w:type="continuationSeparator" w:id="0">
    <w:p w14:paraId="00213558" w14:textId="77777777" w:rsidR="00E7288D" w:rsidRDefault="00E7288D" w:rsidP="00F14E4A">
      <w:pPr>
        <w:spacing w:after="0" w:line="240" w:lineRule="auto"/>
      </w:pPr>
      <w:r>
        <w:continuationSeparator/>
      </w:r>
    </w:p>
  </w:footnote>
  <w:footnote w:id="1">
    <w:p w14:paraId="0E955F35" w14:textId="0B802A72" w:rsidR="001110DD" w:rsidRDefault="001110DD">
      <w:pPr>
        <w:pStyle w:val="Textonotapie"/>
      </w:pPr>
      <w:r>
        <w:rPr>
          <w:rStyle w:val="Refdenotaalpie"/>
        </w:rPr>
        <w:footnoteRef/>
      </w:r>
      <w:r>
        <w:t xml:space="preserve"> </w:t>
      </w:r>
      <w:r w:rsidRPr="001110DD">
        <w:t>https://www.gob.mx/inmujeres/acciones-y-programas/alerta-de-violencia-de-genero-contra-las-mujeres-80739</w:t>
      </w:r>
    </w:p>
  </w:footnote>
  <w:footnote w:id="2">
    <w:p w14:paraId="5EB29A02" w14:textId="663B86B0" w:rsidR="00F35C1E" w:rsidRDefault="00F35C1E">
      <w:pPr>
        <w:pStyle w:val="Textonotapie"/>
      </w:pPr>
      <w:r>
        <w:rPr>
          <w:rStyle w:val="Refdenotaalpie"/>
        </w:rPr>
        <w:footnoteRef/>
      </w:r>
      <w:r>
        <w:t xml:space="preserve"> </w:t>
      </w:r>
      <w:r w:rsidRPr="00F35C1E">
        <w:t>http://alertadegenero.edomex.gob.mx/acerca_alerta</w:t>
      </w:r>
    </w:p>
  </w:footnote>
  <w:footnote w:id="3">
    <w:p w14:paraId="7DBDF59D" w14:textId="72F45462" w:rsidR="00F35C1E" w:rsidRDefault="00F35C1E">
      <w:pPr>
        <w:pStyle w:val="Textonotapie"/>
      </w:pPr>
      <w:r>
        <w:rPr>
          <w:rStyle w:val="Refdenotaalpie"/>
        </w:rPr>
        <w:footnoteRef/>
      </w:r>
      <w:r>
        <w:t xml:space="preserve"> </w:t>
      </w:r>
      <w:r w:rsidRPr="00F35C1E">
        <w:t>http://alertadegenero.edomex.gob.mx/acerca_alerta</w:t>
      </w:r>
    </w:p>
  </w:footnote>
  <w:footnote w:id="4">
    <w:p w14:paraId="0EF5F5D5" w14:textId="29E6D00A" w:rsidR="00B52FC4" w:rsidRDefault="00B52FC4">
      <w:pPr>
        <w:pStyle w:val="Textonotapie"/>
      </w:pPr>
      <w:r>
        <w:rPr>
          <w:rStyle w:val="Refdenotaalpie"/>
        </w:rPr>
        <w:footnoteRef/>
      </w:r>
      <w:r>
        <w:t xml:space="preserve"> </w:t>
      </w:r>
      <w:r w:rsidRPr="00B52FC4">
        <w:t>https://www.gob.mx/conavim/articulos/que-es-la-violencia-contra-las-mujeres-y-sus-modalidades?idiom=es</w:t>
      </w:r>
    </w:p>
  </w:footnote>
  <w:footnote w:id="5">
    <w:p w14:paraId="36F1495B" w14:textId="2C4F8AC7" w:rsidR="00F85438" w:rsidRDefault="00F85438">
      <w:pPr>
        <w:pStyle w:val="Textonotapie"/>
      </w:pPr>
      <w:r>
        <w:rPr>
          <w:rStyle w:val="Refdenotaalpie"/>
        </w:rPr>
        <w:footnoteRef/>
      </w:r>
      <w:r>
        <w:t xml:space="preserve"> </w:t>
      </w:r>
      <w:hyperlink r:id="rId1" w:history="1">
        <w:r w:rsidR="004D6907" w:rsidRPr="00EF0BA7">
          <w:rPr>
            <w:rStyle w:val="Hipervnculo"/>
          </w:rPr>
          <w:t>https://www.gob.mx/sesnsp/articulos/informacion-sobre-violencia-contra-las-mujeres-incidencia-delictiva-y-llamadas-de-emergencia-9-1-1-febrero-2019?idiom=es</w:t>
        </w:r>
      </w:hyperlink>
      <w:r w:rsidR="004D6907">
        <w:t xml:space="preserve"> </w:t>
      </w:r>
    </w:p>
  </w:footnote>
  <w:footnote w:id="6">
    <w:p w14:paraId="3AB806B4" w14:textId="234621B9" w:rsidR="00D86B05" w:rsidRDefault="00D86B05">
      <w:pPr>
        <w:pStyle w:val="Textonotapie"/>
      </w:pPr>
      <w:r>
        <w:rPr>
          <w:rStyle w:val="Refdenotaalpie"/>
        </w:rPr>
        <w:footnoteRef/>
      </w:r>
      <w:r>
        <w:t xml:space="preserve"> </w:t>
      </w:r>
      <w:hyperlink r:id="rId2" w:history="1">
        <w:r w:rsidR="004D6907" w:rsidRPr="00EF0BA7">
          <w:rPr>
            <w:rStyle w:val="Hipervnculo"/>
          </w:rPr>
          <w:t>https://www.gob.mx/sesnsp/acciones-y-programas/que-es-el-sistema-nacional-de-seguridad-publica</w:t>
        </w:r>
      </w:hyperlink>
      <w:r w:rsidR="004D6907">
        <w:t xml:space="preserve"> </w:t>
      </w:r>
    </w:p>
  </w:footnote>
  <w:footnote w:id="7">
    <w:p w14:paraId="7F5F55F6" w14:textId="3F5F24FA" w:rsidR="004D6907" w:rsidRDefault="004D6907">
      <w:pPr>
        <w:pStyle w:val="Textonotapie"/>
      </w:pPr>
      <w:r>
        <w:rPr>
          <w:rStyle w:val="Refdenotaalpie"/>
        </w:rPr>
        <w:footnoteRef/>
      </w:r>
      <w:r>
        <w:t xml:space="preserve"> </w:t>
      </w:r>
      <w:hyperlink r:id="rId3" w:history="1">
        <w:r w:rsidRPr="00EF0BA7">
          <w:rPr>
            <w:rStyle w:val="Hipervnculo"/>
          </w:rPr>
          <w:t>https://fgjem.edomex.gob.mx/sites/fgjem.edomex.gob.mx/files/files/Acciones%20FGJEM/Violencia%20Género/IDVM-Ene22.pdf</w:t>
        </w:r>
      </w:hyperlink>
      <w:r>
        <w:t xml:space="preserve"> </w:t>
      </w:r>
    </w:p>
  </w:footnote>
  <w:footnote w:id="8">
    <w:p w14:paraId="717B0DF2" w14:textId="3F7C96F5" w:rsidR="008B4665" w:rsidRDefault="008B4665">
      <w:pPr>
        <w:pStyle w:val="Textonotapie"/>
      </w:pPr>
      <w:r>
        <w:rPr>
          <w:rStyle w:val="Refdenotaalpie"/>
        </w:rPr>
        <w:footnoteRef/>
      </w:r>
      <w:r>
        <w:t xml:space="preserve"> </w:t>
      </w:r>
      <w:hyperlink r:id="rId4" w:history="1">
        <w:r w:rsidR="004D6907" w:rsidRPr="00EF0BA7">
          <w:rPr>
            <w:rStyle w:val="Hipervnculo"/>
          </w:rPr>
          <w:t>https://edomex.gob.mx/municipios_mexiquenses</w:t>
        </w:r>
      </w:hyperlink>
      <w:r w:rsidR="004D6907">
        <w:t xml:space="preserve"> </w:t>
      </w:r>
    </w:p>
  </w:footnote>
  <w:footnote w:id="9">
    <w:p w14:paraId="1F9BCBF6" w14:textId="6B21F5A1" w:rsidR="00C2580B" w:rsidRDefault="00C2580B">
      <w:pPr>
        <w:pStyle w:val="Textonotapie"/>
      </w:pPr>
      <w:r>
        <w:rPr>
          <w:rStyle w:val="Refdenotaalpie"/>
        </w:rPr>
        <w:footnoteRef/>
      </w:r>
      <w:r>
        <w:t xml:space="preserve"> </w:t>
      </w:r>
      <w:hyperlink r:id="rId5" w:history="1">
        <w:r w:rsidRPr="00EF0BA7">
          <w:rPr>
            <w:rStyle w:val="Hipervnculo"/>
          </w:rPr>
          <w:t>https://www.oecd.org/mexico/presentacion-del-estudio-ocde-sobre-politicas-de-genero-en-mexico.htm</w:t>
        </w:r>
      </w:hyperlink>
      <w:r>
        <w:t xml:space="preserve"> </w:t>
      </w:r>
    </w:p>
  </w:footnote>
  <w:footnote w:id="10">
    <w:p w14:paraId="6A319929" w14:textId="6F4FA8D7" w:rsidR="008669B5" w:rsidRDefault="008669B5">
      <w:pPr>
        <w:pStyle w:val="Textonotapie"/>
      </w:pPr>
      <w:r>
        <w:rPr>
          <w:rStyle w:val="Refdenotaalpie"/>
        </w:rPr>
        <w:footnoteRef/>
      </w:r>
      <w:r>
        <w:t xml:space="preserve"> </w:t>
      </w:r>
      <w:hyperlink r:id="rId6" w:history="1">
        <w:r w:rsidR="00C2580B" w:rsidRPr="00EF0BA7">
          <w:rPr>
            <w:rStyle w:val="Hipervnculo"/>
          </w:rPr>
          <w:t>https://elinformante.mx/?p=152315</w:t>
        </w:r>
      </w:hyperlink>
      <w:r w:rsidR="00C2580B">
        <w:t xml:space="preserve"> </w:t>
      </w:r>
    </w:p>
  </w:footnote>
  <w:footnote w:id="11">
    <w:p w14:paraId="3EAD9A39" w14:textId="593337EB" w:rsidR="00AD402F" w:rsidRDefault="00AD402F">
      <w:pPr>
        <w:pStyle w:val="Textonotapie"/>
      </w:pPr>
      <w:r>
        <w:rPr>
          <w:rStyle w:val="Refdenotaalpie"/>
        </w:rPr>
        <w:footnoteRef/>
      </w:r>
      <w:r>
        <w:t xml:space="preserve"> </w:t>
      </w:r>
      <w:hyperlink r:id="rId7" w:history="1">
        <w:r w:rsidR="00C2580B" w:rsidRPr="00EF0BA7">
          <w:rPr>
            <w:rStyle w:val="Hipervnculo"/>
          </w:rPr>
          <w:t>https://radioytvmexiquense.mx/index.php/2022/07/03/establece-edomex-mesas-de-trabajo-en-materia-de-equidad-de-genero/</w:t>
        </w:r>
      </w:hyperlink>
      <w:r w:rsidR="00C2580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90A29" w14:textId="77777777" w:rsidR="005F28DB" w:rsidRDefault="005F28DB" w:rsidP="005F28DB">
    <w:pPr>
      <w:pStyle w:val="Encabezado"/>
      <w:jc w:val="center"/>
    </w:pPr>
    <w:r>
      <w:rPr>
        <w:noProof/>
      </w:rPr>
      <w:drawing>
        <wp:anchor distT="0" distB="0" distL="114300" distR="114300" simplePos="0" relativeHeight="251659264" behindDoc="1" locked="0" layoutInCell="1" allowOverlap="1" wp14:anchorId="6674C218" wp14:editId="2847000A">
          <wp:simplePos x="0" y="0"/>
          <wp:positionH relativeFrom="column">
            <wp:posOffset>1663064</wp:posOffset>
          </wp:positionH>
          <wp:positionV relativeFrom="paragraph">
            <wp:posOffset>-107315</wp:posOffset>
          </wp:positionV>
          <wp:extent cx="2259037" cy="716951"/>
          <wp:effectExtent l="0" t="0" r="190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64376" cy="718645"/>
                  </a:xfrm>
                  <a:prstGeom prst="rect">
                    <a:avLst/>
                  </a:prstGeom>
                  <a:noFill/>
                </pic:spPr>
              </pic:pic>
            </a:graphicData>
          </a:graphic>
          <wp14:sizeRelH relativeFrom="page">
            <wp14:pctWidth>0</wp14:pctWidth>
          </wp14:sizeRelH>
          <wp14:sizeRelV relativeFrom="page">
            <wp14:pctHeight>0</wp14:pctHeight>
          </wp14:sizeRelV>
        </wp:anchor>
      </w:drawing>
    </w:r>
  </w:p>
  <w:p w14:paraId="42678EFA" w14:textId="77777777" w:rsidR="005F28DB" w:rsidRDefault="005F28DB" w:rsidP="005F28DB">
    <w:pPr>
      <w:pStyle w:val="Encabezado"/>
      <w:jc w:val="center"/>
    </w:pPr>
  </w:p>
  <w:p w14:paraId="19E4DC9F" w14:textId="77777777" w:rsidR="005F28DB" w:rsidRDefault="005F28DB" w:rsidP="005F28DB">
    <w:pPr>
      <w:pStyle w:val="Encabezado"/>
      <w:jc w:val="center"/>
    </w:pPr>
  </w:p>
  <w:p w14:paraId="7BF08465" w14:textId="77777777" w:rsidR="005F28DB" w:rsidRDefault="005F28DB" w:rsidP="005F28DB">
    <w:pPr>
      <w:pStyle w:val="Encabezado"/>
      <w:jc w:val="center"/>
    </w:pPr>
    <w:r>
      <w:rPr>
        <w:noProof/>
      </w:rPr>
      <mc:AlternateContent>
        <mc:Choice Requires="wps">
          <w:drawing>
            <wp:anchor distT="0" distB="0" distL="114300" distR="114300" simplePos="0" relativeHeight="251662336" behindDoc="0" locked="0" layoutInCell="1" allowOverlap="1" wp14:anchorId="46D959FF" wp14:editId="1B5E67BA">
              <wp:simplePos x="0" y="0"/>
              <wp:positionH relativeFrom="margin">
                <wp:posOffset>955929</wp:posOffset>
              </wp:positionH>
              <wp:positionV relativeFrom="paragraph">
                <wp:posOffset>110871</wp:posOffset>
              </wp:positionV>
              <wp:extent cx="3681603" cy="43815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603" cy="438150"/>
                      </a:xfrm>
                      <a:prstGeom prst="rect">
                        <a:avLst/>
                      </a:prstGeom>
                      <a:noFill/>
                      <a:ln w="9525">
                        <a:noFill/>
                        <a:miter lim="800000"/>
                        <a:headEnd/>
                        <a:tailEnd/>
                      </a:ln>
                    </wps:spPr>
                    <wps:txbx>
                      <w:txbxContent>
                        <w:p w14:paraId="46662876" w14:textId="06EAC9A2" w:rsidR="005F28DB" w:rsidRPr="003B35BC" w:rsidRDefault="005F28DB" w:rsidP="005F28DB">
                          <w:pPr>
                            <w:jc w:val="center"/>
                            <w:rPr>
                              <w:rFonts w:ascii="Lato" w:hAnsi="Lato"/>
                              <w:b/>
                              <w:color w:val="97184B"/>
                              <w:sz w:val="28"/>
                              <w:szCs w:val="28"/>
                            </w:rPr>
                          </w:pPr>
                          <w:r>
                            <w:rPr>
                              <w:rFonts w:ascii="Lato" w:hAnsi="Lato"/>
                              <w:b/>
                              <w:color w:val="97184B"/>
                              <w:sz w:val="28"/>
                              <w:szCs w:val="28"/>
                            </w:rPr>
                            <w:t xml:space="preserve">DIP.  MIRIAM ESCALONA PIÑA </w:t>
                          </w:r>
                        </w:p>
                        <w:p w14:paraId="582B00D2" w14:textId="77777777" w:rsidR="005F28DB" w:rsidRPr="003B35BC" w:rsidRDefault="005F28DB" w:rsidP="005F28DB">
                          <w:pPr>
                            <w:rPr>
                              <w:rFonts w:ascii="Lato" w:hAnsi="Lato"/>
                              <w:b/>
                              <w:color w:val="97184B"/>
                              <w:sz w:val="12"/>
                              <w:szCs w:val="12"/>
                            </w:rPr>
                          </w:pPr>
                        </w:p>
                        <w:p w14:paraId="04CB5CD9" w14:textId="77777777" w:rsidR="005F28DB" w:rsidRPr="003B35BC" w:rsidRDefault="005F28DB" w:rsidP="005F28DB">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959FF" id="_x0000_t202" coordsize="21600,21600" o:spt="202" path="m,l,21600r21600,l21600,xe">
              <v:stroke joinstyle="miter"/>
              <v:path gradientshapeok="t" o:connecttype="rect"/>
            </v:shapetype>
            <v:shape id="Cuadro de texto 2" o:spid="_x0000_s1026" type="#_x0000_t202" style="position:absolute;left:0;text-align:left;margin-left:75.25pt;margin-top:8.75pt;width:289.9pt;height:3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" filled="f" stroked="f">
              <v:textbox>
                <w:txbxContent>
                  <w:p w14:paraId="46662876" w14:textId="06EAC9A2" w:rsidR="005F28DB" w:rsidRPr="003B35BC" w:rsidRDefault="005F28DB" w:rsidP="005F28DB">
                    <w:pPr>
                      <w:jc w:val="center"/>
                      <w:rPr>
                        <w:rFonts w:ascii="Lato" w:hAnsi="Lato"/>
                        <w:b/>
                        <w:color w:val="97184B"/>
                        <w:sz w:val="28"/>
                        <w:szCs w:val="28"/>
                      </w:rPr>
                    </w:pPr>
                    <w:r>
                      <w:rPr>
                        <w:rFonts w:ascii="Lato" w:hAnsi="Lato"/>
                        <w:b/>
                        <w:color w:val="97184B"/>
                        <w:sz w:val="28"/>
                        <w:szCs w:val="28"/>
                      </w:rPr>
                      <w:t xml:space="preserve">DIP.  </w:t>
                    </w:r>
                    <w:r>
                      <w:rPr>
                        <w:rFonts w:ascii="Lato" w:hAnsi="Lato"/>
                        <w:b/>
                        <w:color w:val="97184B"/>
                        <w:sz w:val="28"/>
                        <w:szCs w:val="28"/>
                      </w:rPr>
                      <w:t>MIRIAM ESCALONA PIÑA</w:t>
                    </w:r>
                    <w:r>
                      <w:rPr>
                        <w:rFonts w:ascii="Lato" w:hAnsi="Lato"/>
                        <w:b/>
                        <w:color w:val="97184B"/>
                        <w:sz w:val="28"/>
                        <w:szCs w:val="28"/>
                      </w:rPr>
                      <w:t xml:space="preserve"> </w:t>
                    </w:r>
                  </w:p>
                  <w:p w14:paraId="582B00D2" w14:textId="77777777" w:rsidR="005F28DB" w:rsidRPr="003B35BC" w:rsidRDefault="005F28DB" w:rsidP="005F28DB">
                    <w:pPr>
                      <w:rPr>
                        <w:rFonts w:ascii="Lato" w:hAnsi="Lato"/>
                        <w:b/>
                        <w:color w:val="97184B"/>
                        <w:sz w:val="12"/>
                        <w:szCs w:val="12"/>
                      </w:rPr>
                    </w:pPr>
                  </w:p>
                  <w:p w14:paraId="04CB5CD9" w14:textId="77777777" w:rsidR="005F28DB" w:rsidRPr="003B35BC" w:rsidRDefault="005F28DB" w:rsidP="005F28DB">
                    <w:pPr>
                      <w:rPr>
                        <w:rFonts w:ascii="Lato" w:hAnsi="Lato"/>
                        <w:b/>
                        <w:color w:val="97184B"/>
                        <w:sz w:val="12"/>
                        <w:szCs w:val="12"/>
                      </w:rPr>
                    </w:pPr>
                  </w:p>
                </w:txbxContent>
              </v:textbox>
              <w10:wrap anchorx="margin"/>
            </v:shape>
          </w:pict>
        </mc:Fallback>
      </mc:AlternateContent>
    </w:r>
    <w:r w:rsidRPr="0076378B">
      <w:rPr>
        <w:rFonts w:ascii="Arial" w:hAnsi="Arial" w:cs="Arial"/>
        <w:noProof/>
      </w:rPr>
      <mc:AlternateContent>
        <mc:Choice Requires="wps">
          <w:drawing>
            <wp:anchor distT="0" distB="0" distL="114300" distR="114300" simplePos="0" relativeHeight="251661312" behindDoc="1" locked="0" layoutInCell="1" allowOverlap="1" wp14:anchorId="0FBE071E" wp14:editId="0823B463">
              <wp:simplePos x="0" y="0"/>
              <wp:positionH relativeFrom="margin">
                <wp:posOffset>1710690</wp:posOffset>
              </wp:positionH>
              <wp:positionV relativeFrom="paragraph">
                <wp:posOffset>9525</wp:posOffset>
              </wp:positionV>
              <wp:extent cx="2438400" cy="20002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00025"/>
                      </a:xfrm>
                      <a:prstGeom prst="rect">
                        <a:avLst/>
                      </a:prstGeom>
                      <a:noFill/>
                      <a:ln w="9525">
                        <a:noFill/>
                        <a:miter lim="800000"/>
                        <a:headEnd/>
                        <a:tailEnd/>
                      </a:ln>
                    </wps:spPr>
                    <wps:txbx>
                      <w:txbxContent>
                        <w:p w14:paraId="3A0E8C26" w14:textId="77777777" w:rsidR="005F28DB" w:rsidRDefault="005F28DB" w:rsidP="005F28DB">
                          <w:pPr>
                            <w:jc w:val="center"/>
                            <w:rPr>
                              <w:rFonts w:ascii="Lato" w:hAnsi="Lato"/>
                              <w:b/>
                              <w:color w:val="97184B"/>
                              <w:sz w:val="14"/>
                              <w:szCs w:val="14"/>
                            </w:rPr>
                          </w:pPr>
                          <w:r>
                            <w:rPr>
                              <w:rFonts w:ascii="Lato" w:hAnsi="Lato"/>
                              <w:b/>
                              <w:color w:val="97184B"/>
                              <w:sz w:val="14"/>
                              <w:szCs w:val="14"/>
                            </w:rPr>
                            <w:t>Grupo Parlamentario del Partido Acción Nacional</w:t>
                          </w:r>
                        </w:p>
                        <w:p w14:paraId="5B236B3D" w14:textId="77777777" w:rsidR="005F28DB" w:rsidRDefault="005F28DB" w:rsidP="005F28DB">
                          <w:pPr>
                            <w:jc w:val="center"/>
                            <w:rPr>
                              <w:rFonts w:ascii="Lato" w:hAnsi="Lato"/>
                              <w:b/>
                              <w:color w:val="692044"/>
                              <w:sz w:val="14"/>
                              <w:szCs w:val="14"/>
                            </w:rPr>
                          </w:pPr>
                        </w:p>
                        <w:p w14:paraId="78D5F067" w14:textId="77777777" w:rsidR="005F28DB" w:rsidRDefault="005F28DB" w:rsidP="005F28DB">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E071E" id="_x0000_s1027" type="#_x0000_t202" style="position:absolute;left:0;text-align:left;margin-left:134.7pt;margin-top:.75pt;width:192pt;height:15.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" filled="f" stroked="f">
              <v:textbox>
                <w:txbxContent>
                  <w:p w14:paraId="3A0E8C26" w14:textId="77777777" w:rsidR="005F28DB" w:rsidRDefault="005F28DB" w:rsidP="005F28DB">
                    <w:pPr>
                      <w:jc w:val="center"/>
                      <w:rPr>
                        <w:rFonts w:ascii="Lato" w:hAnsi="Lato"/>
                        <w:b/>
                        <w:color w:val="97184B"/>
                        <w:sz w:val="14"/>
                        <w:szCs w:val="14"/>
                      </w:rPr>
                    </w:pPr>
                    <w:r>
                      <w:rPr>
                        <w:rFonts w:ascii="Lato" w:hAnsi="Lato"/>
                        <w:b/>
                        <w:color w:val="97184B"/>
                        <w:sz w:val="14"/>
                        <w:szCs w:val="14"/>
                      </w:rPr>
                      <w:t>Grupo Parlamentario del Partido Acción Nacional</w:t>
                    </w:r>
                  </w:p>
                  <w:p w14:paraId="5B236B3D" w14:textId="77777777" w:rsidR="005F28DB" w:rsidRDefault="005F28DB" w:rsidP="005F28DB">
                    <w:pPr>
                      <w:jc w:val="center"/>
                      <w:rPr>
                        <w:rFonts w:ascii="Lato" w:hAnsi="Lato"/>
                        <w:b/>
                        <w:color w:val="692044"/>
                        <w:sz w:val="14"/>
                        <w:szCs w:val="14"/>
                      </w:rPr>
                    </w:pPr>
                  </w:p>
                  <w:p w14:paraId="78D5F067" w14:textId="77777777" w:rsidR="005F28DB" w:rsidRDefault="005F28DB" w:rsidP="005F28DB">
                    <w:pPr>
                      <w:jc w:val="center"/>
                      <w:rPr>
                        <w:rFonts w:ascii="Lato" w:hAnsi="Lato"/>
                        <w:b/>
                        <w:color w:val="692044"/>
                        <w:sz w:val="14"/>
                        <w:szCs w:val="14"/>
                      </w:rPr>
                    </w:pPr>
                  </w:p>
                </w:txbxContent>
              </v:textbox>
              <w10:wrap anchorx="margin"/>
            </v:shape>
          </w:pict>
        </mc:Fallback>
      </mc:AlternateContent>
    </w:r>
  </w:p>
  <w:p w14:paraId="5513FF37" w14:textId="77777777" w:rsidR="005F28DB" w:rsidRDefault="005F28DB" w:rsidP="005F28DB">
    <w:pPr>
      <w:pStyle w:val="Encabezado"/>
    </w:pPr>
  </w:p>
  <w:p w14:paraId="7B32C9CD" w14:textId="77777777" w:rsidR="005F28DB" w:rsidRDefault="005F28DB" w:rsidP="005F28DB">
    <w:pPr>
      <w:pStyle w:val="Encabezado"/>
      <w:rPr>
        <w:noProof/>
      </w:rPr>
    </w:pPr>
    <w:r>
      <w:rPr>
        <w:noProof/>
      </w:rPr>
      <mc:AlternateContent>
        <mc:Choice Requires="wps">
          <w:drawing>
            <wp:anchor distT="0" distB="0" distL="114300" distR="114300" simplePos="0" relativeHeight="251660288" behindDoc="0" locked="0" layoutInCell="1" allowOverlap="1" wp14:anchorId="5CCBED11" wp14:editId="16527A5F">
              <wp:simplePos x="0" y="0"/>
              <wp:positionH relativeFrom="margin">
                <wp:align>center</wp:align>
              </wp:positionH>
              <wp:positionV relativeFrom="paragraph">
                <wp:posOffset>40005</wp:posOffset>
              </wp:positionV>
              <wp:extent cx="303847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304800"/>
                      </a:xfrm>
                      <a:prstGeom prst="rect">
                        <a:avLst/>
                      </a:prstGeom>
                      <a:noFill/>
                      <a:ln w="9525">
                        <a:noFill/>
                        <a:miter lim="800000"/>
                        <a:headEnd/>
                        <a:tailEnd/>
                      </a:ln>
                    </wps:spPr>
                    <wps:txbx>
                      <w:txbxContent>
                        <w:p w14:paraId="0E2533A2" w14:textId="77777777" w:rsidR="005F28DB" w:rsidRPr="004C1D53" w:rsidRDefault="005F28DB" w:rsidP="005F28DB">
                          <w:pPr>
                            <w:jc w:val="center"/>
                            <w:rPr>
                              <w:rFonts w:cstheme="minorHAnsi"/>
                              <w:b/>
                              <w:color w:val="A50021"/>
                              <w:sz w:val="16"/>
                              <w:szCs w:val="16"/>
                            </w:rPr>
                          </w:pPr>
                          <w:r w:rsidRPr="004C1D53">
                            <w:rPr>
                              <w:rFonts w:cstheme="minorHAnsi"/>
                              <w:b/>
                              <w:color w:val="A50021"/>
                              <w:sz w:val="16"/>
                              <w:szCs w:val="16"/>
                            </w:rPr>
                            <w:t xml:space="preserve">“2022. Quincentenario de Toluca, Capital del Estado de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BED11" id="_x0000_s1028" type="#_x0000_t202" style="position:absolute;margin-left:0;margin-top:3.15pt;width:239.25pt;height:2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" filled="f" stroked="f">
              <v:textbox>
                <w:txbxContent>
                  <w:p w14:paraId="0E2533A2" w14:textId="77777777" w:rsidR="005F28DB" w:rsidRPr="004C1D53" w:rsidRDefault="005F28DB" w:rsidP="005F28DB">
                    <w:pPr>
                      <w:jc w:val="center"/>
                      <w:rPr>
                        <w:rFonts w:cstheme="minorHAnsi"/>
                        <w:b/>
                        <w:color w:val="A50021"/>
                        <w:sz w:val="16"/>
                        <w:szCs w:val="16"/>
                      </w:rPr>
                    </w:pPr>
                    <w:r w:rsidRPr="004C1D53">
                      <w:rPr>
                        <w:rFonts w:cstheme="minorHAnsi"/>
                        <w:b/>
                        <w:color w:val="A50021"/>
                        <w:sz w:val="16"/>
                        <w:szCs w:val="16"/>
                      </w:rPr>
                      <w:t xml:space="preserve">“2022. </w:t>
                    </w:r>
                    <w:proofErr w:type="spellStart"/>
                    <w:r w:rsidRPr="004C1D53">
                      <w:rPr>
                        <w:rFonts w:cstheme="minorHAnsi"/>
                        <w:b/>
                        <w:color w:val="A50021"/>
                        <w:sz w:val="16"/>
                        <w:szCs w:val="16"/>
                      </w:rPr>
                      <w:t>Quincentenario</w:t>
                    </w:r>
                    <w:proofErr w:type="spellEnd"/>
                    <w:r w:rsidRPr="004C1D53">
                      <w:rPr>
                        <w:rFonts w:cstheme="minorHAnsi"/>
                        <w:b/>
                        <w:color w:val="A50021"/>
                        <w:sz w:val="16"/>
                        <w:szCs w:val="16"/>
                      </w:rPr>
                      <w:t xml:space="preserve"> de Toluca, Capital del Estado de México”. </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A8"/>
    <w:rsid w:val="00014C4D"/>
    <w:rsid w:val="00027A0C"/>
    <w:rsid w:val="0006634D"/>
    <w:rsid w:val="000A2158"/>
    <w:rsid w:val="000B33A0"/>
    <w:rsid w:val="000C5CFB"/>
    <w:rsid w:val="000E4CBB"/>
    <w:rsid w:val="000F7B43"/>
    <w:rsid w:val="00103BC5"/>
    <w:rsid w:val="001110DD"/>
    <w:rsid w:val="0012076C"/>
    <w:rsid w:val="00147B3C"/>
    <w:rsid w:val="00174E5E"/>
    <w:rsid w:val="00190B3C"/>
    <w:rsid w:val="0021756D"/>
    <w:rsid w:val="002440E5"/>
    <w:rsid w:val="0025308E"/>
    <w:rsid w:val="00280AB0"/>
    <w:rsid w:val="002837BA"/>
    <w:rsid w:val="002B2C97"/>
    <w:rsid w:val="002C0041"/>
    <w:rsid w:val="002D3446"/>
    <w:rsid w:val="002E783F"/>
    <w:rsid w:val="003132B3"/>
    <w:rsid w:val="0037697F"/>
    <w:rsid w:val="00386D3C"/>
    <w:rsid w:val="003A23EE"/>
    <w:rsid w:val="003A29D1"/>
    <w:rsid w:val="003B361D"/>
    <w:rsid w:val="003C4924"/>
    <w:rsid w:val="003E2F84"/>
    <w:rsid w:val="003F121E"/>
    <w:rsid w:val="00407A42"/>
    <w:rsid w:val="00412DB8"/>
    <w:rsid w:val="0042116B"/>
    <w:rsid w:val="00430109"/>
    <w:rsid w:val="00472E50"/>
    <w:rsid w:val="004D6907"/>
    <w:rsid w:val="004F26D6"/>
    <w:rsid w:val="00502E4A"/>
    <w:rsid w:val="0050403B"/>
    <w:rsid w:val="00542A85"/>
    <w:rsid w:val="0056074E"/>
    <w:rsid w:val="00581AC0"/>
    <w:rsid w:val="005B0DD5"/>
    <w:rsid w:val="005C69A4"/>
    <w:rsid w:val="005C73C5"/>
    <w:rsid w:val="005D51F2"/>
    <w:rsid w:val="005F253E"/>
    <w:rsid w:val="005F28DB"/>
    <w:rsid w:val="006271CD"/>
    <w:rsid w:val="006B618B"/>
    <w:rsid w:val="006E4A26"/>
    <w:rsid w:val="00713C85"/>
    <w:rsid w:val="007545C7"/>
    <w:rsid w:val="00772615"/>
    <w:rsid w:val="00783E13"/>
    <w:rsid w:val="007A7B56"/>
    <w:rsid w:val="007E6BEB"/>
    <w:rsid w:val="00802EA8"/>
    <w:rsid w:val="00854480"/>
    <w:rsid w:val="008669B5"/>
    <w:rsid w:val="00891EE9"/>
    <w:rsid w:val="008B4665"/>
    <w:rsid w:val="008C30C0"/>
    <w:rsid w:val="009313A5"/>
    <w:rsid w:val="00944721"/>
    <w:rsid w:val="00973671"/>
    <w:rsid w:val="0097644E"/>
    <w:rsid w:val="009A74E2"/>
    <w:rsid w:val="009E0A23"/>
    <w:rsid w:val="00A16800"/>
    <w:rsid w:val="00A23C1A"/>
    <w:rsid w:val="00A33566"/>
    <w:rsid w:val="00A671A6"/>
    <w:rsid w:val="00AC3921"/>
    <w:rsid w:val="00AD1F9E"/>
    <w:rsid w:val="00AD402F"/>
    <w:rsid w:val="00B52FC4"/>
    <w:rsid w:val="00B61F0D"/>
    <w:rsid w:val="00B7710E"/>
    <w:rsid w:val="00B8449B"/>
    <w:rsid w:val="00BC68BE"/>
    <w:rsid w:val="00C2580B"/>
    <w:rsid w:val="00C33A81"/>
    <w:rsid w:val="00C94991"/>
    <w:rsid w:val="00CA6A84"/>
    <w:rsid w:val="00CB6A0E"/>
    <w:rsid w:val="00CB7EB0"/>
    <w:rsid w:val="00D322D0"/>
    <w:rsid w:val="00D40DD0"/>
    <w:rsid w:val="00D417FE"/>
    <w:rsid w:val="00D4200B"/>
    <w:rsid w:val="00D44921"/>
    <w:rsid w:val="00D65315"/>
    <w:rsid w:val="00D77E79"/>
    <w:rsid w:val="00D86B05"/>
    <w:rsid w:val="00DA545B"/>
    <w:rsid w:val="00DA5DE8"/>
    <w:rsid w:val="00DE2519"/>
    <w:rsid w:val="00DE31A6"/>
    <w:rsid w:val="00E44DB3"/>
    <w:rsid w:val="00E45FB2"/>
    <w:rsid w:val="00E62234"/>
    <w:rsid w:val="00E6636C"/>
    <w:rsid w:val="00E7288D"/>
    <w:rsid w:val="00E851B0"/>
    <w:rsid w:val="00E90E5B"/>
    <w:rsid w:val="00E928D6"/>
    <w:rsid w:val="00EE0C1B"/>
    <w:rsid w:val="00EE1CAA"/>
    <w:rsid w:val="00F03D3D"/>
    <w:rsid w:val="00F0605D"/>
    <w:rsid w:val="00F14E4A"/>
    <w:rsid w:val="00F15337"/>
    <w:rsid w:val="00F16B0A"/>
    <w:rsid w:val="00F218C2"/>
    <w:rsid w:val="00F320F6"/>
    <w:rsid w:val="00F35C1E"/>
    <w:rsid w:val="00F36FAE"/>
    <w:rsid w:val="00F7281D"/>
    <w:rsid w:val="00F85438"/>
    <w:rsid w:val="00F90F6D"/>
    <w:rsid w:val="00FF31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0CF96"/>
  <w15:chartTrackingRefBased/>
  <w15:docId w15:val="{6449B46A-7C53-444F-9AA1-44198D70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EA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14E4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4E4A"/>
    <w:rPr>
      <w:sz w:val="20"/>
      <w:szCs w:val="20"/>
    </w:rPr>
  </w:style>
  <w:style w:type="character" w:styleId="Refdenotaalpie">
    <w:name w:val="footnote reference"/>
    <w:basedOn w:val="Fuentedeprrafopredeter"/>
    <w:uiPriority w:val="99"/>
    <w:semiHidden/>
    <w:unhideWhenUsed/>
    <w:rsid w:val="00F14E4A"/>
    <w:rPr>
      <w:vertAlign w:val="superscript"/>
    </w:rPr>
  </w:style>
  <w:style w:type="character" w:styleId="Hipervnculo">
    <w:name w:val="Hyperlink"/>
    <w:basedOn w:val="Fuentedeprrafopredeter"/>
    <w:uiPriority w:val="99"/>
    <w:unhideWhenUsed/>
    <w:rsid w:val="00472E50"/>
    <w:rPr>
      <w:color w:val="0563C1" w:themeColor="hyperlink"/>
      <w:u w:val="single"/>
    </w:rPr>
  </w:style>
  <w:style w:type="character" w:styleId="Mencinsinresolver">
    <w:name w:val="Unresolved Mention"/>
    <w:basedOn w:val="Fuentedeprrafopredeter"/>
    <w:uiPriority w:val="99"/>
    <w:semiHidden/>
    <w:unhideWhenUsed/>
    <w:rsid w:val="00472E50"/>
    <w:rPr>
      <w:color w:val="605E5C"/>
      <w:shd w:val="clear" w:color="auto" w:fill="E1DFDD"/>
    </w:rPr>
  </w:style>
  <w:style w:type="paragraph" w:styleId="NormalWeb">
    <w:name w:val="Normal (Web)"/>
    <w:basedOn w:val="Normal"/>
    <w:uiPriority w:val="99"/>
    <w:semiHidden/>
    <w:unhideWhenUsed/>
    <w:rsid w:val="00783E13"/>
    <w:rPr>
      <w:rFonts w:ascii="Times New Roman" w:hAnsi="Times New Roman" w:cs="Times New Roman"/>
      <w:sz w:val="24"/>
      <w:szCs w:val="24"/>
    </w:rPr>
  </w:style>
  <w:style w:type="paragraph" w:styleId="Encabezado">
    <w:name w:val="header"/>
    <w:basedOn w:val="Normal"/>
    <w:link w:val="EncabezadoCar"/>
    <w:uiPriority w:val="99"/>
    <w:unhideWhenUsed/>
    <w:rsid w:val="005040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403B"/>
  </w:style>
  <w:style w:type="paragraph" w:styleId="Piedepgina">
    <w:name w:val="footer"/>
    <w:basedOn w:val="Normal"/>
    <w:link w:val="PiedepginaCar"/>
    <w:uiPriority w:val="99"/>
    <w:unhideWhenUsed/>
    <w:rsid w:val="005040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03B"/>
  </w:style>
  <w:style w:type="paragraph" w:styleId="Textodeglobo">
    <w:name w:val="Balloon Text"/>
    <w:basedOn w:val="Normal"/>
    <w:link w:val="TextodegloboCar"/>
    <w:uiPriority w:val="99"/>
    <w:semiHidden/>
    <w:unhideWhenUsed/>
    <w:rsid w:val="008544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44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85502">
      <w:bodyDiv w:val="1"/>
      <w:marLeft w:val="0"/>
      <w:marRight w:val="0"/>
      <w:marTop w:val="0"/>
      <w:marBottom w:val="0"/>
      <w:divBdr>
        <w:top w:val="none" w:sz="0" w:space="0" w:color="auto"/>
        <w:left w:val="none" w:sz="0" w:space="0" w:color="auto"/>
        <w:bottom w:val="none" w:sz="0" w:space="0" w:color="auto"/>
        <w:right w:val="none" w:sz="0" w:space="0" w:color="auto"/>
      </w:divBdr>
    </w:div>
    <w:div w:id="1211916570">
      <w:bodyDiv w:val="1"/>
      <w:marLeft w:val="0"/>
      <w:marRight w:val="0"/>
      <w:marTop w:val="0"/>
      <w:marBottom w:val="0"/>
      <w:divBdr>
        <w:top w:val="none" w:sz="0" w:space="0" w:color="auto"/>
        <w:left w:val="none" w:sz="0" w:space="0" w:color="auto"/>
        <w:bottom w:val="none" w:sz="0" w:space="0" w:color="auto"/>
        <w:right w:val="none" w:sz="0" w:space="0" w:color="auto"/>
      </w:divBdr>
    </w:div>
    <w:div w:id="1610164473">
      <w:bodyDiv w:val="1"/>
      <w:marLeft w:val="0"/>
      <w:marRight w:val="0"/>
      <w:marTop w:val="0"/>
      <w:marBottom w:val="0"/>
      <w:divBdr>
        <w:top w:val="none" w:sz="0" w:space="0" w:color="auto"/>
        <w:left w:val="none" w:sz="0" w:space="0" w:color="auto"/>
        <w:bottom w:val="none" w:sz="0" w:space="0" w:color="auto"/>
        <w:right w:val="none" w:sz="0" w:space="0" w:color="auto"/>
      </w:divBdr>
    </w:div>
    <w:div w:id="1655792895">
      <w:bodyDiv w:val="1"/>
      <w:marLeft w:val="0"/>
      <w:marRight w:val="0"/>
      <w:marTop w:val="0"/>
      <w:marBottom w:val="0"/>
      <w:divBdr>
        <w:top w:val="none" w:sz="0" w:space="0" w:color="auto"/>
        <w:left w:val="none" w:sz="0" w:space="0" w:color="auto"/>
        <w:bottom w:val="none" w:sz="0" w:space="0" w:color="auto"/>
        <w:right w:val="none" w:sz="0" w:space="0" w:color="auto"/>
      </w:divBdr>
    </w:div>
    <w:div w:id="201295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Ztc6GS5pXBM&amp;hd=1" TargetMode="External"/><Relationship Id="rId3" Type="http://schemas.openxmlformats.org/officeDocument/2006/relationships/settings" Target="settings.xml"/><Relationship Id="rId7" Type="http://schemas.openxmlformats.org/officeDocument/2006/relationships/hyperlink" Target="https://www.inegi.org.mx/contenidos/saladeprensa/aproposito/2021/EAP_Elimviolmujer2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fgjem.edomex.gob.mx/sites/fgjem.edomex.gob.mx/files/files/Acciones%20FGJEM/Violencia%20G&#233;nero/IDVM-Ene22.pdf" TargetMode="External"/><Relationship Id="rId7" Type="http://schemas.openxmlformats.org/officeDocument/2006/relationships/hyperlink" Target="https://radioytvmexiquense.mx/index.php/2022/07/03/establece-edomex-mesas-de-trabajo-en-materia-de-equidad-de-genero/" TargetMode="External"/><Relationship Id="rId2" Type="http://schemas.openxmlformats.org/officeDocument/2006/relationships/hyperlink" Target="https://www.gob.mx/sesnsp/acciones-y-programas/que-es-el-sistema-nacional-de-seguridad-publica" TargetMode="External"/><Relationship Id="rId1" Type="http://schemas.openxmlformats.org/officeDocument/2006/relationships/hyperlink" Target="https://www.gob.mx/sesnsp/articulos/informacion-sobre-violencia-contra-las-mujeres-incidencia-delictiva-y-llamadas-de-emergencia-9-1-1-febrero-2019?idiom=es" TargetMode="External"/><Relationship Id="rId6" Type="http://schemas.openxmlformats.org/officeDocument/2006/relationships/hyperlink" Target="https://elinformante.mx/?p=152315" TargetMode="External"/><Relationship Id="rId5" Type="http://schemas.openxmlformats.org/officeDocument/2006/relationships/hyperlink" Target="https://www.oecd.org/mexico/presentacion-del-estudio-ocde-sobre-politicas-de-genero-en-mexico.htm" TargetMode="External"/><Relationship Id="rId4" Type="http://schemas.openxmlformats.org/officeDocument/2006/relationships/hyperlink" Target="https://edomex.gob.mx/municipios_mexiquen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10F2F-3E25-4D99-B35C-5196B4746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7694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Pako Moreno</dc:creator>
  <cp:keywords/>
  <dc:description/>
  <cp:lastModifiedBy>PRODESK</cp:lastModifiedBy>
  <cp:revision>2</cp:revision>
  <cp:lastPrinted>2022-09-20T19:05:00Z</cp:lastPrinted>
  <dcterms:created xsi:type="dcterms:W3CDTF">2022-09-27T23:09:00Z</dcterms:created>
  <dcterms:modified xsi:type="dcterms:W3CDTF">2022-09-27T23:09:00Z</dcterms:modified>
</cp:coreProperties>
</file>