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E0664" w14:textId="77777777" w:rsidR="00E93974" w:rsidRDefault="00E93974" w:rsidP="004964BF">
      <w:pPr>
        <w:jc w:val="both"/>
        <w:rPr>
          <w:rFonts w:ascii="Arial" w:hAnsi="Arial" w:cs="Arial"/>
          <w:sz w:val="24"/>
          <w:szCs w:val="24"/>
        </w:rPr>
      </w:pPr>
      <w:bookmarkStart w:id="0" w:name="_GoBack"/>
      <w:bookmarkEnd w:id="0"/>
    </w:p>
    <w:p w14:paraId="57B801EB" w14:textId="77777777" w:rsidR="00E93974" w:rsidRDefault="00E93974" w:rsidP="00E93974">
      <w:pPr>
        <w:spacing w:line="276" w:lineRule="auto"/>
        <w:jc w:val="right"/>
        <w:rPr>
          <w:rFonts w:ascii="Arial" w:hAnsi="Arial" w:cs="Arial"/>
          <w:sz w:val="24"/>
          <w:szCs w:val="24"/>
        </w:rPr>
      </w:pPr>
      <w:r>
        <w:rPr>
          <w:rFonts w:ascii="Arial" w:hAnsi="Arial" w:cs="Arial"/>
          <w:sz w:val="24"/>
          <w:szCs w:val="24"/>
        </w:rPr>
        <w:t xml:space="preserve">Toluca de Lerdo a___ del mes de __ </w:t>
      </w:r>
      <w:proofErr w:type="spellStart"/>
      <w:r>
        <w:rPr>
          <w:rFonts w:ascii="Arial" w:hAnsi="Arial" w:cs="Arial"/>
          <w:sz w:val="24"/>
          <w:szCs w:val="24"/>
        </w:rPr>
        <w:t>de</w:t>
      </w:r>
      <w:proofErr w:type="spellEnd"/>
      <w:r>
        <w:rPr>
          <w:rFonts w:ascii="Arial" w:hAnsi="Arial" w:cs="Arial"/>
          <w:sz w:val="24"/>
          <w:szCs w:val="24"/>
        </w:rPr>
        <w:t xml:space="preserve"> 2023 </w:t>
      </w:r>
    </w:p>
    <w:p w14:paraId="492E7B2C" w14:textId="77777777" w:rsidR="00E93974" w:rsidRDefault="00E93974" w:rsidP="00E93974">
      <w:pPr>
        <w:spacing w:line="276" w:lineRule="auto"/>
        <w:jc w:val="right"/>
        <w:rPr>
          <w:rFonts w:ascii="Arial" w:hAnsi="Arial" w:cs="Arial"/>
          <w:sz w:val="24"/>
          <w:szCs w:val="24"/>
        </w:rPr>
      </w:pPr>
    </w:p>
    <w:p w14:paraId="173828EB" w14:textId="77777777" w:rsidR="00E93974" w:rsidRPr="00792757" w:rsidRDefault="00E93974" w:rsidP="00E93974">
      <w:pPr>
        <w:pStyle w:val="NormalWeb"/>
        <w:spacing w:before="0" w:beforeAutospacing="0" w:after="0" w:afterAutospacing="0" w:line="276" w:lineRule="auto"/>
        <w:rPr>
          <w:rFonts w:ascii="Arial" w:hAnsi="Arial" w:cs="Arial"/>
          <w:b/>
          <w:color w:val="000000"/>
        </w:rPr>
      </w:pPr>
      <w:r w:rsidRPr="00792757">
        <w:rPr>
          <w:rFonts w:ascii="Arial" w:hAnsi="Arial" w:cs="Arial"/>
          <w:b/>
          <w:color w:val="000000"/>
        </w:rPr>
        <w:t xml:space="preserve">C. MARCO ANTONIO CRUZ </w:t>
      </w:r>
      <w:proofErr w:type="spellStart"/>
      <w:r w:rsidRPr="00792757">
        <w:rPr>
          <w:rFonts w:ascii="Arial" w:hAnsi="Arial" w:cs="Arial"/>
          <w:b/>
          <w:color w:val="000000"/>
        </w:rPr>
        <w:t>CRUZ</w:t>
      </w:r>
      <w:proofErr w:type="spellEnd"/>
      <w:r w:rsidRPr="00792757">
        <w:rPr>
          <w:rFonts w:ascii="Arial" w:hAnsi="Arial" w:cs="Arial"/>
          <w:b/>
          <w:color w:val="000000"/>
        </w:rPr>
        <w:t xml:space="preserve">  </w:t>
      </w:r>
    </w:p>
    <w:p w14:paraId="6086825B" w14:textId="77777777" w:rsidR="00E93974" w:rsidRPr="00792757" w:rsidRDefault="00E93974" w:rsidP="00E93974">
      <w:pPr>
        <w:pStyle w:val="NormalWeb"/>
        <w:spacing w:before="0" w:beforeAutospacing="0" w:after="0" w:afterAutospacing="0" w:line="276" w:lineRule="auto"/>
        <w:rPr>
          <w:rFonts w:ascii="Arial" w:hAnsi="Arial" w:cs="Arial"/>
          <w:b/>
          <w:color w:val="000000"/>
        </w:rPr>
      </w:pPr>
      <w:r w:rsidRPr="00792757">
        <w:rPr>
          <w:rFonts w:ascii="Arial" w:hAnsi="Arial" w:cs="Arial"/>
          <w:b/>
          <w:color w:val="000000"/>
        </w:rPr>
        <w:t xml:space="preserve">PRESIDENTE DE LA DIRECTIVA DE LA </w:t>
      </w:r>
    </w:p>
    <w:p w14:paraId="2343C5BC" w14:textId="77777777" w:rsidR="00E93974" w:rsidRPr="00792757" w:rsidRDefault="00E93974" w:rsidP="00E93974">
      <w:pPr>
        <w:pStyle w:val="NormalWeb"/>
        <w:spacing w:before="0" w:beforeAutospacing="0" w:after="0" w:afterAutospacing="0" w:line="276" w:lineRule="auto"/>
        <w:rPr>
          <w:rFonts w:ascii="Arial" w:hAnsi="Arial" w:cs="Arial"/>
          <w:b/>
          <w:color w:val="000000"/>
        </w:rPr>
      </w:pPr>
      <w:r w:rsidRPr="00792757">
        <w:rPr>
          <w:rFonts w:ascii="Arial" w:hAnsi="Arial" w:cs="Arial"/>
          <w:b/>
          <w:color w:val="000000"/>
        </w:rPr>
        <w:t xml:space="preserve">H. “LX” LEGISLATURA DEL ESTADO DE MÉXICO </w:t>
      </w:r>
    </w:p>
    <w:p w14:paraId="7A058D9E" w14:textId="77777777" w:rsidR="00E93974" w:rsidRPr="00792757" w:rsidRDefault="00E93974" w:rsidP="00E93974">
      <w:pPr>
        <w:pStyle w:val="NormalWeb"/>
        <w:spacing w:before="0" w:beforeAutospacing="0" w:after="0" w:afterAutospacing="0" w:line="276" w:lineRule="auto"/>
        <w:rPr>
          <w:rFonts w:ascii="Arial" w:hAnsi="Arial" w:cs="Arial"/>
          <w:b/>
          <w:color w:val="000000"/>
        </w:rPr>
      </w:pPr>
      <w:r w:rsidRPr="00792757">
        <w:rPr>
          <w:rFonts w:ascii="Arial" w:hAnsi="Arial" w:cs="Arial"/>
          <w:b/>
          <w:color w:val="000000"/>
        </w:rPr>
        <w:t>P R E S E N T E</w:t>
      </w:r>
    </w:p>
    <w:p w14:paraId="4216DBD0" w14:textId="77777777" w:rsidR="00E93974" w:rsidRDefault="00E93974" w:rsidP="00E93974">
      <w:pPr>
        <w:spacing w:line="276" w:lineRule="auto"/>
        <w:jc w:val="both"/>
      </w:pPr>
    </w:p>
    <w:p w14:paraId="01FB8652" w14:textId="77777777" w:rsidR="00D347D8" w:rsidRDefault="00E93974" w:rsidP="00792757">
      <w:pPr>
        <w:jc w:val="both"/>
        <w:rPr>
          <w:rFonts w:ascii="Arial" w:hAnsi="Arial" w:cs="Arial"/>
          <w:sz w:val="24"/>
          <w:szCs w:val="24"/>
        </w:rPr>
      </w:pPr>
      <w:r w:rsidRPr="00EE1886">
        <w:rPr>
          <w:rFonts w:ascii="Arial" w:hAnsi="Arial" w:cs="Arial"/>
          <w:color w:val="000000"/>
          <w:sz w:val="24"/>
          <w:szCs w:val="24"/>
        </w:rPr>
        <w:t>El de la voz, C. Diputado Faustino de la Cruz Pérez, en representación del Grupo Parlamentario de Morena, con fundamento en lo dispuesto por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el presente proyecto</w:t>
      </w:r>
      <w:r>
        <w:rPr>
          <w:rFonts w:ascii="Arial" w:hAnsi="Arial" w:cs="Arial"/>
          <w:sz w:val="24"/>
          <w:szCs w:val="24"/>
        </w:rPr>
        <w:t xml:space="preserve"> con </w:t>
      </w:r>
      <w:r w:rsidR="00023F0F">
        <w:rPr>
          <w:rFonts w:ascii="Arial" w:hAnsi="Arial" w:cs="Arial"/>
          <w:sz w:val="24"/>
          <w:szCs w:val="24"/>
        </w:rPr>
        <w:t xml:space="preserve">Punto de acuerdo de urgente y Obvia resolución por medio del cual se exhorta al Secretario de Educación del Estado de México para que entregue un informe detallado de los procedimientos </w:t>
      </w:r>
      <w:r w:rsidR="00792757">
        <w:rPr>
          <w:rFonts w:ascii="Arial" w:hAnsi="Arial" w:cs="Arial"/>
          <w:sz w:val="24"/>
          <w:szCs w:val="24"/>
        </w:rPr>
        <w:t xml:space="preserve">y criterios </w:t>
      </w:r>
      <w:r w:rsidR="00023F0F">
        <w:rPr>
          <w:rFonts w:ascii="Arial" w:hAnsi="Arial" w:cs="Arial"/>
          <w:sz w:val="24"/>
          <w:szCs w:val="24"/>
        </w:rPr>
        <w:t xml:space="preserve">para la designación de directivos de las Universidades Públicas y Tecnológicos adscritos a la secretaría a su cargo, </w:t>
      </w:r>
      <w:r w:rsidR="00792757">
        <w:rPr>
          <w:rFonts w:ascii="Arial" w:hAnsi="Arial" w:cs="Arial"/>
          <w:sz w:val="24"/>
          <w:szCs w:val="24"/>
        </w:rPr>
        <w:t xml:space="preserve">en virtud de la siguiente: </w:t>
      </w:r>
    </w:p>
    <w:p w14:paraId="295C9D68" w14:textId="77777777" w:rsidR="007B44CE" w:rsidRPr="00D347D8" w:rsidRDefault="007B44CE">
      <w:pPr>
        <w:rPr>
          <w:rFonts w:ascii="Arial" w:hAnsi="Arial" w:cs="Arial"/>
          <w:b/>
          <w:sz w:val="24"/>
          <w:szCs w:val="24"/>
        </w:rPr>
      </w:pPr>
    </w:p>
    <w:p w14:paraId="610F594D" w14:textId="77777777" w:rsidR="007B44CE" w:rsidRPr="00D347D8" w:rsidRDefault="004964BF" w:rsidP="004964BF">
      <w:pPr>
        <w:jc w:val="center"/>
        <w:rPr>
          <w:rFonts w:ascii="Arial" w:hAnsi="Arial" w:cs="Arial"/>
          <w:b/>
          <w:sz w:val="24"/>
          <w:szCs w:val="24"/>
        </w:rPr>
      </w:pPr>
      <w:r>
        <w:rPr>
          <w:rFonts w:ascii="Arial" w:hAnsi="Arial" w:cs="Arial"/>
          <w:b/>
          <w:sz w:val="24"/>
          <w:szCs w:val="24"/>
        </w:rPr>
        <w:t>EXPOSICIÓN DE MOTIVOS</w:t>
      </w:r>
    </w:p>
    <w:p w14:paraId="24E1CA7F" w14:textId="77777777" w:rsidR="007B44CE" w:rsidRDefault="004964BF" w:rsidP="00D347D8">
      <w:pPr>
        <w:jc w:val="both"/>
        <w:rPr>
          <w:rFonts w:ascii="Arial" w:hAnsi="Arial" w:cs="Arial"/>
          <w:sz w:val="24"/>
          <w:szCs w:val="24"/>
        </w:rPr>
      </w:pPr>
      <w:r>
        <w:rPr>
          <w:rFonts w:ascii="Arial" w:hAnsi="Arial" w:cs="Arial"/>
          <w:b/>
          <w:sz w:val="24"/>
          <w:szCs w:val="24"/>
        </w:rPr>
        <w:t>L</w:t>
      </w:r>
      <w:r w:rsidR="007B44CE">
        <w:rPr>
          <w:rFonts w:ascii="Arial" w:hAnsi="Arial" w:cs="Arial"/>
          <w:sz w:val="24"/>
          <w:szCs w:val="24"/>
        </w:rPr>
        <w:t>a</w:t>
      </w:r>
      <w:r>
        <w:rPr>
          <w:rFonts w:ascii="Arial" w:hAnsi="Arial" w:cs="Arial"/>
          <w:sz w:val="24"/>
          <w:szCs w:val="24"/>
        </w:rPr>
        <w:t>s</w:t>
      </w:r>
      <w:r w:rsidR="007B44CE">
        <w:rPr>
          <w:rFonts w:ascii="Arial" w:hAnsi="Arial" w:cs="Arial"/>
          <w:sz w:val="24"/>
          <w:szCs w:val="24"/>
        </w:rPr>
        <w:t xml:space="preserve"> Universidades públicas tienen como principal</w:t>
      </w:r>
      <w:r w:rsidR="005E19A5">
        <w:rPr>
          <w:rFonts w:ascii="Arial" w:hAnsi="Arial" w:cs="Arial"/>
          <w:sz w:val="24"/>
          <w:szCs w:val="24"/>
        </w:rPr>
        <w:t xml:space="preserve"> función social, que </w:t>
      </w:r>
      <w:r>
        <w:rPr>
          <w:rFonts w:ascii="Arial" w:hAnsi="Arial" w:cs="Arial"/>
          <w:sz w:val="24"/>
          <w:szCs w:val="24"/>
        </w:rPr>
        <w:t>los hombres y mujeres alcancen la creación</w:t>
      </w:r>
      <w:r w:rsidR="005E19A5">
        <w:rPr>
          <w:rFonts w:ascii="Arial" w:hAnsi="Arial" w:cs="Arial"/>
          <w:sz w:val="24"/>
          <w:szCs w:val="24"/>
        </w:rPr>
        <w:t xml:space="preserve"> y amplitud del conocimiento, para tenerlo a disposición del desarrollo y crecimiento de la misma sociedad.</w:t>
      </w:r>
    </w:p>
    <w:p w14:paraId="052236B8" w14:textId="77777777" w:rsidR="005E19A5" w:rsidRDefault="004964BF" w:rsidP="00D347D8">
      <w:pPr>
        <w:jc w:val="both"/>
        <w:rPr>
          <w:rFonts w:ascii="Arial" w:hAnsi="Arial" w:cs="Arial"/>
          <w:sz w:val="24"/>
          <w:szCs w:val="24"/>
        </w:rPr>
      </w:pPr>
      <w:r>
        <w:rPr>
          <w:rFonts w:ascii="Arial" w:hAnsi="Arial" w:cs="Arial"/>
          <w:sz w:val="24"/>
          <w:szCs w:val="24"/>
        </w:rPr>
        <w:t>En</w:t>
      </w:r>
      <w:r w:rsidR="005E19A5">
        <w:rPr>
          <w:rFonts w:ascii="Arial" w:hAnsi="Arial" w:cs="Arial"/>
          <w:sz w:val="24"/>
          <w:szCs w:val="24"/>
        </w:rPr>
        <w:t xml:space="preserve"> el Estado de México, el régimen político </w:t>
      </w:r>
      <w:r w:rsidR="00EA2676">
        <w:rPr>
          <w:rFonts w:ascii="Arial" w:hAnsi="Arial" w:cs="Arial"/>
          <w:sz w:val="24"/>
          <w:szCs w:val="24"/>
        </w:rPr>
        <w:t>de más d</w:t>
      </w:r>
      <w:r w:rsidR="00D347D8">
        <w:rPr>
          <w:rFonts w:ascii="Arial" w:hAnsi="Arial" w:cs="Arial"/>
          <w:sz w:val="24"/>
          <w:szCs w:val="24"/>
        </w:rPr>
        <w:t xml:space="preserve">e 80 años ha creado más de 35 </w:t>
      </w:r>
      <w:r w:rsidR="00EA2676">
        <w:rPr>
          <w:rFonts w:ascii="Arial" w:hAnsi="Arial" w:cs="Arial"/>
          <w:sz w:val="24"/>
          <w:szCs w:val="24"/>
        </w:rPr>
        <w:t xml:space="preserve">Universidades y </w:t>
      </w:r>
      <w:r>
        <w:rPr>
          <w:rFonts w:ascii="Arial" w:hAnsi="Arial" w:cs="Arial"/>
          <w:sz w:val="24"/>
          <w:szCs w:val="24"/>
        </w:rPr>
        <w:t>Tecnológicos</w:t>
      </w:r>
      <w:r w:rsidR="00EA2676">
        <w:rPr>
          <w:rFonts w:ascii="Arial" w:hAnsi="Arial" w:cs="Arial"/>
          <w:sz w:val="24"/>
          <w:szCs w:val="24"/>
        </w:rPr>
        <w:t xml:space="preserve"> todos ellos creados por decreto del ejecutivo o leyes propias aprobadas por el legislativo.</w:t>
      </w:r>
    </w:p>
    <w:p w14:paraId="0C99D663" w14:textId="77777777" w:rsidR="00ED742C" w:rsidRDefault="00ED742C" w:rsidP="00D347D8">
      <w:pPr>
        <w:jc w:val="both"/>
        <w:rPr>
          <w:rFonts w:ascii="Arial" w:hAnsi="Arial" w:cs="Arial"/>
          <w:sz w:val="24"/>
          <w:szCs w:val="24"/>
        </w:rPr>
      </w:pPr>
      <w:r>
        <w:rPr>
          <w:rFonts w:ascii="Arial" w:hAnsi="Arial" w:cs="Arial"/>
          <w:sz w:val="24"/>
          <w:szCs w:val="24"/>
        </w:rPr>
        <w:t>Con el fin de atender la demanda educativa del nivel superior, el gobierno mexiquense cuenta con 15 Tecnológicos de Estudios Superiores, nueve Universidades Politécnicas, seis Universidades Tecnológicas y cinco Universidades Estatales.</w:t>
      </w:r>
    </w:p>
    <w:p w14:paraId="04C24785" w14:textId="77777777" w:rsidR="00EA2676" w:rsidRDefault="00EA2676" w:rsidP="00D347D8">
      <w:pPr>
        <w:jc w:val="both"/>
        <w:rPr>
          <w:rFonts w:ascii="Arial" w:hAnsi="Arial" w:cs="Arial"/>
          <w:sz w:val="24"/>
          <w:szCs w:val="24"/>
        </w:rPr>
      </w:pPr>
      <w:r>
        <w:rPr>
          <w:rFonts w:ascii="Arial" w:hAnsi="Arial" w:cs="Arial"/>
          <w:sz w:val="24"/>
          <w:szCs w:val="24"/>
        </w:rPr>
        <w:t xml:space="preserve">La mayoría de ellas son órganos desconcentrados, dependientes jurídica y presupuestalmente </w:t>
      </w:r>
      <w:r w:rsidR="00893467">
        <w:rPr>
          <w:rFonts w:ascii="Arial" w:hAnsi="Arial" w:cs="Arial"/>
          <w:sz w:val="24"/>
          <w:szCs w:val="24"/>
        </w:rPr>
        <w:t xml:space="preserve">de la Secretaría de Educación del Gobierno del Estado de México, y en el menor de los casos órganos descentralizados, es decir, que cuentan con autonomía. </w:t>
      </w:r>
    </w:p>
    <w:p w14:paraId="2C3E6B98" w14:textId="77777777" w:rsidR="004964BF" w:rsidRDefault="00792757" w:rsidP="00D347D8">
      <w:pPr>
        <w:jc w:val="both"/>
        <w:rPr>
          <w:rFonts w:ascii="Arial" w:hAnsi="Arial" w:cs="Arial"/>
          <w:sz w:val="24"/>
          <w:szCs w:val="24"/>
        </w:rPr>
      </w:pPr>
      <w:r>
        <w:rPr>
          <w:rFonts w:ascii="Arial" w:hAnsi="Arial" w:cs="Arial"/>
          <w:sz w:val="24"/>
          <w:szCs w:val="24"/>
        </w:rPr>
        <w:lastRenderedPageBreak/>
        <w:t>Desafortunadamente en la actualidad se</w:t>
      </w:r>
      <w:r w:rsidR="004964BF" w:rsidRPr="004964BF">
        <w:rPr>
          <w:rFonts w:ascii="Arial" w:hAnsi="Arial" w:cs="Arial"/>
          <w:sz w:val="24"/>
          <w:szCs w:val="24"/>
        </w:rPr>
        <w:t xml:space="preserve"> ha</w:t>
      </w:r>
      <w:r>
        <w:rPr>
          <w:rFonts w:ascii="Arial" w:hAnsi="Arial" w:cs="Arial"/>
          <w:sz w:val="24"/>
          <w:szCs w:val="24"/>
        </w:rPr>
        <w:t>n</w:t>
      </w:r>
      <w:r w:rsidR="004964BF" w:rsidRPr="004964BF">
        <w:rPr>
          <w:rFonts w:ascii="Arial" w:hAnsi="Arial" w:cs="Arial"/>
          <w:sz w:val="24"/>
          <w:szCs w:val="24"/>
        </w:rPr>
        <w:t xml:space="preserve"> convertido a las Universidades y tecnológicos Públicos estatales en escenarios de corrupción y refugio para políticos del PRI </w:t>
      </w:r>
    </w:p>
    <w:p w14:paraId="71B27B7C" w14:textId="77777777" w:rsidR="004964BF" w:rsidRDefault="00893467" w:rsidP="00D347D8">
      <w:pPr>
        <w:jc w:val="both"/>
        <w:rPr>
          <w:rFonts w:ascii="Arial" w:hAnsi="Arial" w:cs="Arial"/>
          <w:sz w:val="24"/>
          <w:szCs w:val="24"/>
        </w:rPr>
      </w:pPr>
      <w:r>
        <w:rPr>
          <w:rFonts w:ascii="Arial" w:hAnsi="Arial" w:cs="Arial"/>
          <w:sz w:val="24"/>
          <w:szCs w:val="24"/>
        </w:rPr>
        <w:t>Ya en años anteriores fue revelado la trama de</w:t>
      </w:r>
      <w:r w:rsidR="00A360C4">
        <w:rPr>
          <w:rFonts w:ascii="Arial" w:hAnsi="Arial" w:cs="Arial"/>
          <w:sz w:val="24"/>
          <w:szCs w:val="24"/>
        </w:rPr>
        <w:t xml:space="preserve"> la estafa maestra y la ominosa y presumible participación de la Universidad Autónoma del Estado de México en el presunto</w:t>
      </w:r>
      <w:r w:rsidR="00E93974">
        <w:rPr>
          <w:rFonts w:ascii="Arial" w:hAnsi="Arial" w:cs="Arial"/>
          <w:sz w:val="24"/>
          <w:szCs w:val="24"/>
        </w:rPr>
        <w:t xml:space="preserve"> lavado de más de 7 mil millones. </w:t>
      </w:r>
    </w:p>
    <w:p w14:paraId="67383902" w14:textId="77777777" w:rsidR="005A7DEE" w:rsidRDefault="005A7DEE" w:rsidP="00D347D8">
      <w:pPr>
        <w:jc w:val="both"/>
        <w:rPr>
          <w:rFonts w:ascii="Arial" w:hAnsi="Arial" w:cs="Arial"/>
          <w:sz w:val="24"/>
          <w:szCs w:val="24"/>
        </w:rPr>
      </w:pPr>
      <w:r>
        <w:rPr>
          <w:rFonts w:ascii="Arial" w:hAnsi="Arial" w:cs="Arial"/>
          <w:sz w:val="24"/>
          <w:szCs w:val="24"/>
        </w:rPr>
        <w:t>Desde estas instituciones -cuyos directivos son designados por el gobernador en turno-  se han orquestado irregularidades que han provocado observaciones administrativas y denuncias penales de la Auditoría Superior de la Federación (ASF).</w:t>
      </w:r>
    </w:p>
    <w:p w14:paraId="72EFF065" w14:textId="77777777" w:rsidR="005A7DEE" w:rsidRDefault="005A7DEE" w:rsidP="00D347D8">
      <w:pPr>
        <w:jc w:val="both"/>
        <w:rPr>
          <w:rFonts w:ascii="Arial" w:hAnsi="Arial" w:cs="Arial"/>
          <w:sz w:val="24"/>
          <w:szCs w:val="24"/>
        </w:rPr>
      </w:pPr>
      <w:r>
        <w:rPr>
          <w:rFonts w:ascii="Arial" w:hAnsi="Arial" w:cs="Arial"/>
          <w:sz w:val="24"/>
          <w:szCs w:val="24"/>
        </w:rPr>
        <w:t>Derivado de las investigaciones llevadas a cabo por la ASF, se desprenden las realizadas a tres exrectores</w:t>
      </w:r>
      <w:r w:rsidR="00C559F7">
        <w:rPr>
          <w:rFonts w:ascii="Arial" w:hAnsi="Arial" w:cs="Arial"/>
          <w:sz w:val="24"/>
          <w:szCs w:val="24"/>
        </w:rPr>
        <w:t>, los</w:t>
      </w:r>
      <w:r>
        <w:rPr>
          <w:rFonts w:ascii="Arial" w:hAnsi="Arial" w:cs="Arial"/>
          <w:sz w:val="24"/>
          <w:szCs w:val="24"/>
        </w:rPr>
        <w:t xml:space="preserve"> de las </w:t>
      </w:r>
      <w:r w:rsidRPr="000E3D0C">
        <w:rPr>
          <w:rFonts w:ascii="Arial" w:hAnsi="Arial" w:cs="Arial"/>
          <w:sz w:val="24"/>
          <w:szCs w:val="24"/>
        </w:rPr>
        <w:t>Universidad</w:t>
      </w:r>
      <w:r>
        <w:rPr>
          <w:rFonts w:ascii="Arial" w:hAnsi="Arial" w:cs="Arial"/>
          <w:sz w:val="24"/>
          <w:szCs w:val="24"/>
        </w:rPr>
        <w:t>es</w:t>
      </w:r>
      <w:r w:rsidRPr="000E3D0C">
        <w:rPr>
          <w:rFonts w:ascii="Arial" w:hAnsi="Arial" w:cs="Arial"/>
          <w:sz w:val="24"/>
          <w:szCs w:val="24"/>
        </w:rPr>
        <w:t xml:space="preserve"> Tecnológica</w:t>
      </w:r>
      <w:r>
        <w:rPr>
          <w:rFonts w:ascii="Arial" w:hAnsi="Arial" w:cs="Arial"/>
          <w:sz w:val="24"/>
          <w:szCs w:val="24"/>
        </w:rPr>
        <w:t>s</w:t>
      </w:r>
      <w:r w:rsidRPr="000E3D0C">
        <w:rPr>
          <w:rFonts w:ascii="Arial" w:hAnsi="Arial" w:cs="Arial"/>
          <w:sz w:val="24"/>
          <w:szCs w:val="24"/>
        </w:rPr>
        <w:t xml:space="preserve"> del Sur del Estado de México</w:t>
      </w:r>
      <w:r>
        <w:rPr>
          <w:rFonts w:ascii="Arial" w:hAnsi="Arial" w:cs="Arial"/>
          <w:sz w:val="24"/>
          <w:szCs w:val="24"/>
        </w:rPr>
        <w:t xml:space="preserve"> y de Nezahualcóyotl, así como de la Politécnica de Texcoco, </w:t>
      </w:r>
      <w:r w:rsidR="00C559F7">
        <w:rPr>
          <w:rFonts w:ascii="Arial" w:hAnsi="Arial" w:cs="Arial"/>
          <w:sz w:val="24"/>
          <w:szCs w:val="24"/>
        </w:rPr>
        <w:t xml:space="preserve">a quienes </w:t>
      </w:r>
      <w:r>
        <w:rPr>
          <w:rFonts w:ascii="Arial" w:hAnsi="Arial" w:cs="Arial"/>
          <w:sz w:val="24"/>
          <w:szCs w:val="24"/>
        </w:rPr>
        <w:t>se les iniciaron procesos penales al estar involucrados en convenios con la extinta Secretaría de Desarrollo Social (Sedesol), donde se siguieron esquemas similares a los denunciados en el reportaje denominado “La Estafa Maestra”.</w:t>
      </w:r>
      <w:r>
        <w:rPr>
          <w:rStyle w:val="Refdenotaalpie"/>
          <w:rFonts w:ascii="Arial" w:hAnsi="Arial" w:cs="Arial"/>
          <w:sz w:val="24"/>
          <w:szCs w:val="24"/>
        </w:rPr>
        <w:footnoteReference w:id="1"/>
      </w:r>
    </w:p>
    <w:p w14:paraId="79E63764" w14:textId="77777777" w:rsidR="005A7DEE" w:rsidRDefault="005A7DEE" w:rsidP="00D347D8">
      <w:pPr>
        <w:jc w:val="both"/>
        <w:rPr>
          <w:rFonts w:ascii="Arial" w:hAnsi="Arial" w:cs="Arial"/>
          <w:sz w:val="24"/>
          <w:szCs w:val="24"/>
        </w:rPr>
      </w:pPr>
    </w:p>
    <w:p w14:paraId="0FE7FC54" w14:textId="77777777" w:rsidR="00C559F7" w:rsidRDefault="00C559F7" w:rsidP="00D347D8">
      <w:pPr>
        <w:jc w:val="both"/>
        <w:rPr>
          <w:rFonts w:ascii="Arial" w:hAnsi="Arial" w:cs="Arial"/>
          <w:sz w:val="24"/>
          <w:szCs w:val="24"/>
        </w:rPr>
      </w:pPr>
      <w:r>
        <w:rPr>
          <w:rFonts w:ascii="Arial" w:hAnsi="Arial" w:cs="Arial"/>
          <w:sz w:val="24"/>
          <w:szCs w:val="24"/>
        </w:rPr>
        <w:t>Dichos convenios se instrumentaron durante la Presidencia del priista Enrique Peña Nieto.</w:t>
      </w:r>
    </w:p>
    <w:p w14:paraId="51C7E5E0" w14:textId="77777777" w:rsidR="005A7DEE" w:rsidRDefault="00C559F7" w:rsidP="00D347D8">
      <w:pPr>
        <w:jc w:val="both"/>
        <w:rPr>
          <w:rFonts w:ascii="Arial" w:hAnsi="Arial" w:cs="Arial"/>
          <w:sz w:val="24"/>
          <w:szCs w:val="24"/>
        </w:rPr>
      </w:pPr>
      <w:r>
        <w:rPr>
          <w:rFonts w:ascii="Arial" w:hAnsi="Arial" w:cs="Arial"/>
          <w:sz w:val="24"/>
          <w:szCs w:val="24"/>
        </w:rPr>
        <w:t>Consistían en acuerdos que la Sedesol firmaba con universidades públicas para transferirles recursos a fin de realizar distintos proyectos, los cuales dichas instituciones debían encargarlos a empresas privadas, al no tener la capacidad para hacer los trabajos.</w:t>
      </w:r>
    </w:p>
    <w:p w14:paraId="7CCAA786" w14:textId="77777777" w:rsidR="00C559F7" w:rsidRDefault="00ED742C" w:rsidP="00D347D8">
      <w:pPr>
        <w:jc w:val="both"/>
        <w:rPr>
          <w:rFonts w:ascii="Arial" w:hAnsi="Arial" w:cs="Arial"/>
          <w:sz w:val="24"/>
          <w:szCs w:val="24"/>
        </w:rPr>
      </w:pPr>
      <w:r>
        <w:rPr>
          <w:rFonts w:ascii="Arial" w:hAnsi="Arial" w:cs="Arial"/>
          <w:sz w:val="24"/>
          <w:szCs w:val="24"/>
        </w:rPr>
        <w:t>Así, dichos proveedores, recomendados por la Sedesol, se quedaban con el dinero del erario público. Además, estos proveedores no cumplían con el perfil o requisitos para ser contratados, por lo cual había deficiencias en los trabajos entregados.</w:t>
      </w:r>
    </w:p>
    <w:p w14:paraId="0589C821" w14:textId="77777777" w:rsidR="00ED742C" w:rsidRDefault="00ED742C" w:rsidP="00D347D8">
      <w:pPr>
        <w:jc w:val="both"/>
        <w:rPr>
          <w:rFonts w:ascii="Arial" w:hAnsi="Arial" w:cs="Arial"/>
          <w:sz w:val="24"/>
          <w:szCs w:val="24"/>
        </w:rPr>
      </w:pPr>
      <w:r>
        <w:rPr>
          <w:rFonts w:ascii="Arial" w:hAnsi="Arial" w:cs="Arial"/>
          <w:sz w:val="24"/>
          <w:szCs w:val="24"/>
        </w:rPr>
        <w:t xml:space="preserve">Esta ruta de observaciones financieras ha continuado en fechas recientes. Derivado del </w:t>
      </w:r>
      <w:r w:rsidRPr="00E15C3C">
        <w:rPr>
          <w:rFonts w:ascii="Arial" w:hAnsi="Arial" w:cs="Arial"/>
          <w:sz w:val="24"/>
          <w:szCs w:val="24"/>
        </w:rPr>
        <w:t>Informe del Resultado de la Fiscalización Supe</w:t>
      </w:r>
      <w:r>
        <w:rPr>
          <w:rFonts w:ascii="Arial" w:hAnsi="Arial" w:cs="Arial"/>
          <w:sz w:val="24"/>
          <w:szCs w:val="24"/>
        </w:rPr>
        <w:t xml:space="preserve">rior de la Cuenta Pública 2021 </w:t>
      </w:r>
      <w:r w:rsidRPr="00E15C3C">
        <w:rPr>
          <w:rFonts w:ascii="Arial" w:hAnsi="Arial" w:cs="Arial"/>
          <w:sz w:val="24"/>
          <w:szCs w:val="24"/>
        </w:rPr>
        <w:t>(segunda entrega)</w:t>
      </w:r>
      <w:r>
        <w:rPr>
          <w:rFonts w:ascii="Arial" w:hAnsi="Arial" w:cs="Arial"/>
          <w:sz w:val="24"/>
          <w:szCs w:val="24"/>
        </w:rPr>
        <w:t xml:space="preserve">, referente a los </w:t>
      </w:r>
      <w:r w:rsidRPr="00E15C3C">
        <w:rPr>
          <w:rFonts w:ascii="Arial" w:hAnsi="Arial" w:cs="Arial"/>
          <w:sz w:val="24"/>
          <w:szCs w:val="24"/>
        </w:rPr>
        <w:t>Subsidios Federales para Organismos Descentralizados Estatales</w:t>
      </w:r>
      <w:r>
        <w:rPr>
          <w:rFonts w:ascii="Arial" w:hAnsi="Arial" w:cs="Arial"/>
          <w:sz w:val="24"/>
          <w:szCs w:val="24"/>
        </w:rPr>
        <w:t>, 10 universidades y tecnológicos del Estado de México resultaron con distintas observaciones.</w:t>
      </w:r>
      <w:r>
        <w:rPr>
          <w:rStyle w:val="Refdenotaalpie"/>
          <w:rFonts w:ascii="Arial" w:hAnsi="Arial" w:cs="Arial"/>
          <w:sz w:val="24"/>
          <w:szCs w:val="24"/>
        </w:rPr>
        <w:footnoteReference w:id="2"/>
      </w:r>
    </w:p>
    <w:p w14:paraId="11CF44A0" w14:textId="77777777" w:rsidR="00ED742C" w:rsidRDefault="00ED742C" w:rsidP="00D347D8">
      <w:pPr>
        <w:jc w:val="both"/>
        <w:rPr>
          <w:rFonts w:ascii="Arial" w:hAnsi="Arial" w:cs="Arial"/>
          <w:sz w:val="24"/>
          <w:szCs w:val="24"/>
        </w:rPr>
      </w:pPr>
      <w:r>
        <w:rPr>
          <w:rFonts w:ascii="Arial" w:hAnsi="Arial" w:cs="Arial"/>
          <w:sz w:val="24"/>
          <w:szCs w:val="24"/>
        </w:rPr>
        <w:t>En dichas irregularidades destaca la Universidad Tecnológica Fidel Velázquez, donde la ASF</w:t>
      </w:r>
      <w:r w:rsidRPr="009C7006">
        <w:rPr>
          <w:rFonts w:ascii="Arial" w:hAnsi="Arial" w:cs="Arial"/>
          <w:sz w:val="24"/>
          <w:szCs w:val="24"/>
        </w:rPr>
        <w:t xml:space="preserve"> </w:t>
      </w:r>
      <w:r>
        <w:rPr>
          <w:rFonts w:ascii="Arial" w:hAnsi="Arial" w:cs="Arial"/>
          <w:sz w:val="24"/>
          <w:szCs w:val="24"/>
        </w:rPr>
        <w:t>determinó que sus autoridades no realizaron</w:t>
      </w:r>
      <w:r w:rsidRPr="009C7006">
        <w:rPr>
          <w:rFonts w:ascii="Arial" w:hAnsi="Arial" w:cs="Arial"/>
          <w:sz w:val="24"/>
          <w:szCs w:val="24"/>
        </w:rPr>
        <w:t xml:space="preserve"> una gestión eficiente y </w:t>
      </w:r>
      <w:r w:rsidRPr="009C7006">
        <w:rPr>
          <w:rFonts w:ascii="Arial" w:hAnsi="Arial" w:cs="Arial"/>
          <w:sz w:val="24"/>
          <w:szCs w:val="24"/>
        </w:rPr>
        <w:lastRenderedPageBreak/>
        <w:t>transpare</w:t>
      </w:r>
      <w:r>
        <w:rPr>
          <w:rFonts w:ascii="Arial" w:hAnsi="Arial" w:cs="Arial"/>
          <w:sz w:val="24"/>
          <w:szCs w:val="24"/>
        </w:rPr>
        <w:t xml:space="preserve">nte de los citados subsidios federales, lo cual implicaba que </w:t>
      </w:r>
      <w:r w:rsidRPr="003D7803">
        <w:rPr>
          <w:rFonts w:ascii="Arial" w:hAnsi="Arial" w:cs="Arial"/>
          <w:sz w:val="24"/>
          <w:szCs w:val="24"/>
        </w:rPr>
        <w:t xml:space="preserve">44 millones 439 mil 140.50 pesos </w:t>
      </w:r>
      <w:r>
        <w:rPr>
          <w:rFonts w:ascii="Arial" w:hAnsi="Arial" w:cs="Arial"/>
          <w:sz w:val="24"/>
          <w:szCs w:val="24"/>
        </w:rPr>
        <w:t xml:space="preserve">estaban pendientes de aclararse y se consideraban un </w:t>
      </w:r>
      <w:r w:rsidRPr="003D7803">
        <w:rPr>
          <w:rFonts w:ascii="Arial" w:hAnsi="Arial" w:cs="Arial"/>
          <w:sz w:val="24"/>
          <w:szCs w:val="24"/>
        </w:rPr>
        <w:t>probable dañ</w:t>
      </w:r>
      <w:r>
        <w:rPr>
          <w:rFonts w:ascii="Arial" w:hAnsi="Arial" w:cs="Arial"/>
          <w:sz w:val="24"/>
          <w:szCs w:val="24"/>
        </w:rPr>
        <w:t>o a la Hacienda Pública federal.</w:t>
      </w:r>
    </w:p>
    <w:p w14:paraId="57886F29" w14:textId="77777777" w:rsidR="00ED742C" w:rsidRDefault="00ED742C" w:rsidP="00D347D8">
      <w:pPr>
        <w:jc w:val="both"/>
        <w:rPr>
          <w:rFonts w:ascii="Arial" w:hAnsi="Arial" w:cs="Arial"/>
          <w:sz w:val="24"/>
          <w:szCs w:val="24"/>
        </w:rPr>
      </w:pPr>
      <w:r>
        <w:rPr>
          <w:rFonts w:ascii="Arial" w:hAnsi="Arial" w:cs="Arial"/>
          <w:sz w:val="24"/>
          <w:szCs w:val="24"/>
        </w:rPr>
        <w:t xml:space="preserve">A la serie de observaciones financieras se suma la </w:t>
      </w:r>
      <w:r w:rsidRPr="00404F14">
        <w:rPr>
          <w:rFonts w:ascii="Arial" w:hAnsi="Arial" w:cs="Arial"/>
          <w:sz w:val="24"/>
          <w:szCs w:val="24"/>
        </w:rPr>
        <w:t>Universidad Mexiquense del Bicentenario</w:t>
      </w:r>
      <w:r>
        <w:rPr>
          <w:rFonts w:ascii="Arial" w:hAnsi="Arial" w:cs="Arial"/>
          <w:sz w:val="24"/>
          <w:szCs w:val="24"/>
        </w:rPr>
        <w:t xml:space="preserve">, quien no </w:t>
      </w:r>
      <w:r w:rsidRPr="00F92739">
        <w:rPr>
          <w:rFonts w:ascii="Arial" w:hAnsi="Arial" w:cs="Arial"/>
          <w:sz w:val="24"/>
          <w:szCs w:val="24"/>
        </w:rPr>
        <w:t>acreditó que los recursos</w:t>
      </w:r>
      <w:r>
        <w:rPr>
          <w:rFonts w:ascii="Arial" w:hAnsi="Arial" w:cs="Arial"/>
          <w:sz w:val="24"/>
          <w:szCs w:val="24"/>
        </w:rPr>
        <w:t xml:space="preserve"> federales se administrara</w:t>
      </w:r>
      <w:r w:rsidRPr="00F92739">
        <w:rPr>
          <w:rFonts w:ascii="Arial" w:hAnsi="Arial" w:cs="Arial"/>
          <w:sz w:val="24"/>
          <w:szCs w:val="24"/>
        </w:rPr>
        <w:t>n con eficiencia, eficacia, economía y transparen</w:t>
      </w:r>
      <w:r>
        <w:rPr>
          <w:rFonts w:ascii="Arial" w:hAnsi="Arial" w:cs="Arial"/>
          <w:sz w:val="24"/>
          <w:szCs w:val="24"/>
        </w:rPr>
        <w:t xml:space="preserve">cia. Esto porque </w:t>
      </w:r>
      <w:r w:rsidRPr="00F92739">
        <w:rPr>
          <w:rFonts w:ascii="Arial" w:hAnsi="Arial" w:cs="Arial"/>
          <w:sz w:val="24"/>
          <w:szCs w:val="24"/>
        </w:rPr>
        <w:t>n</w:t>
      </w:r>
      <w:r>
        <w:rPr>
          <w:rFonts w:ascii="Arial" w:hAnsi="Arial" w:cs="Arial"/>
          <w:sz w:val="24"/>
          <w:szCs w:val="24"/>
        </w:rPr>
        <w:t xml:space="preserve">o proporcionó el expediente del </w:t>
      </w:r>
      <w:r w:rsidRPr="00F92739">
        <w:rPr>
          <w:rFonts w:ascii="Arial" w:hAnsi="Arial" w:cs="Arial"/>
          <w:sz w:val="24"/>
          <w:szCs w:val="24"/>
        </w:rPr>
        <w:t>procedimiento de a</w:t>
      </w:r>
      <w:r>
        <w:rPr>
          <w:rFonts w:ascii="Arial" w:hAnsi="Arial" w:cs="Arial"/>
          <w:sz w:val="24"/>
          <w:szCs w:val="24"/>
        </w:rPr>
        <w:t xml:space="preserve">djudicación, referente al contrato </w:t>
      </w:r>
      <w:r w:rsidRPr="00F92739">
        <w:rPr>
          <w:rFonts w:ascii="Arial" w:hAnsi="Arial" w:cs="Arial"/>
          <w:sz w:val="24"/>
          <w:szCs w:val="24"/>
        </w:rPr>
        <w:t>CB/A/7/2020</w:t>
      </w:r>
      <w:r>
        <w:rPr>
          <w:rFonts w:ascii="Arial" w:hAnsi="Arial" w:cs="Arial"/>
          <w:sz w:val="24"/>
          <w:szCs w:val="24"/>
        </w:rPr>
        <w:t>,</w:t>
      </w:r>
      <w:r w:rsidRPr="00F92739">
        <w:rPr>
          <w:rFonts w:ascii="Arial" w:hAnsi="Arial" w:cs="Arial"/>
          <w:sz w:val="24"/>
          <w:szCs w:val="24"/>
        </w:rPr>
        <w:t xml:space="preserve"> denomin</w:t>
      </w:r>
      <w:r>
        <w:rPr>
          <w:rFonts w:ascii="Arial" w:hAnsi="Arial" w:cs="Arial"/>
          <w:sz w:val="24"/>
          <w:szCs w:val="24"/>
        </w:rPr>
        <w:t xml:space="preserve">ado "combustibles, lubricantes, </w:t>
      </w:r>
      <w:r w:rsidRPr="00F92739">
        <w:rPr>
          <w:rFonts w:ascii="Arial" w:hAnsi="Arial" w:cs="Arial"/>
          <w:sz w:val="24"/>
          <w:szCs w:val="24"/>
        </w:rPr>
        <w:t>aditivos y grasas”</w:t>
      </w:r>
      <w:r>
        <w:rPr>
          <w:rFonts w:ascii="Arial" w:hAnsi="Arial" w:cs="Arial"/>
          <w:sz w:val="24"/>
          <w:szCs w:val="24"/>
        </w:rPr>
        <w:t>.</w:t>
      </w:r>
    </w:p>
    <w:p w14:paraId="281D6B36" w14:textId="77777777" w:rsidR="00ED742C" w:rsidRDefault="00ED742C" w:rsidP="00D347D8">
      <w:pPr>
        <w:jc w:val="both"/>
        <w:rPr>
          <w:rFonts w:ascii="Arial" w:hAnsi="Arial" w:cs="Arial"/>
          <w:sz w:val="24"/>
          <w:szCs w:val="24"/>
        </w:rPr>
      </w:pPr>
      <w:r>
        <w:rPr>
          <w:rFonts w:ascii="Arial" w:hAnsi="Arial" w:cs="Arial"/>
          <w:sz w:val="24"/>
          <w:szCs w:val="24"/>
        </w:rPr>
        <w:t xml:space="preserve">En esta revisión de la ASF también resultaron con observaciones financieras los </w:t>
      </w:r>
      <w:r w:rsidRPr="006F0A3D">
        <w:rPr>
          <w:rFonts w:ascii="Arial" w:hAnsi="Arial" w:cs="Arial"/>
          <w:sz w:val="24"/>
          <w:szCs w:val="24"/>
        </w:rPr>
        <w:t>Tecnológicos de Estudios Superiores de Ecatepec y Coacalco, así como las Universidades Estatal del Valle de Ecatepec, Tecnológica de Nezahualcóyotl, Tecnológica del Valle de Toluca y la Politécnica del Valle de Toluca.</w:t>
      </w:r>
    </w:p>
    <w:p w14:paraId="0BA6BF00" w14:textId="77777777" w:rsidR="00ED742C" w:rsidRDefault="00ED742C" w:rsidP="00D347D8">
      <w:pPr>
        <w:jc w:val="both"/>
        <w:rPr>
          <w:rFonts w:ascii="Arial" w:hAnsi="Arial" w:cs="Arial"/>
          <w:sz w:val="24"/>
          <w:szCs w:val="24"/>
        </w:rPr>
      </w:pPr>
      <w:r>
        <w:rPr>
          <w:rFonts w:ascii="Arial" w:hAnsi="Arial" w:cs="Arial"/>
          <w:sz w:val="24"/>
          <w:szCs w:val="24"/>
        </w:rPr>
        <w:t xml:space="preserve">Estos hallazgos, de acuerdo con la ASF, evidenciaron violaciones a </w:t>
      </w:r>
      <w:r w:rsidRPr="00312501">
        <w:rPr>
          <w:rFonts w:ascii="Arial" w:hAnsi="Arial" w:cs="Arial"/>
          <w:sz w:val="24"/>
          <w:szCs w:val="24"/>
        </w:rPr>
        <w:t>la</w:t>
      </w:r>
      <w:r>
        <w:rPr>
          <w:rFonts w:ascii="Arial" w:hAnsi="Arial" w:cs="Arial"/>
          <w:sz w:val="24"/>
          <w:szCs w:val="24"/>
        </w:rPr>
        <w:t>s</w:t>
      </w:r>
      <w:r w:rsidRPr="00312501">
        <w:rPr>
          <w:rFonts w:ascii="Arial" w:hAnsi="Arial" w:cs="Arial"/>
          <w:sz w:val="24"/>
          <w:szCs w:val="24"/>
        </w:rPr>
        <w:t xml:space="preserve"> Ley</w:t>
      </w:r>
      <w:r>
        <w:rPr>
          <w:rFonts w:ascii="Arial" w:hAnsi="Arial" w:cs="Arial"/>
          <w:sz w:val="24"/>
          <w:szCs w:val="24"/>
        </w:rPr>
        <w:t xml:space="preserve">es </w:t>
      </w:r>
      <w:r w:rsidRPr="00312501">
        <w:rPr>
          <w:rFonts w:ascii="Arial" w:hAnsi="Arial" w:cs="Arial"/>
          <w:sz w:val="24"/>
          <w:szCs w:val="24"/>
        </w:rPr>
        <w:t>de Presupuesto y Responsabilidad</w:t>
      </w:r>
      <w:r>
        <w:rPr>
          <w:rFonts w:ascii="Arial" w:hAnsi="Arial" w:cs="Arial"/>
          <w:sz w:val="24"/>
          <w:szCs w:val="24"/>
        </w:rPr>
        <w:t xml:space="preserve"> Hacendaria y de Contabilidad Gubernamental.</w:t>
      </w:r>
    </w:p>
    <w:p w14:paraId="16FA2850" w14:textId="77777777" w:rsidR="00ED742C" w:rsidRDefault="00ED742C" w:rsidP="00D347D8">
      <w:pPr>
        <w:jc w:val="both"/>
        <w:rPr>
          <w:rFonts w:ascii="Arial" w:hAnsi="Arial" w:cs="Arial"/>
          <w:sz w:val="24"/>
          <w:szCs w:val="24"/>
        </w:rPr>
      </w:pPr>
      <w:r>
        <w:rPr>
          <w:rFonts w:ascii="Arial" w:hAnsi="Arial" w:cs="Arial"/>
          <w:sz w:val="24"/>
          <w:szCs w:val="24"/>
        </w:rPr>
        <w:t>A las irregularidades financieras se suma que la mayoría de los puestos directivos de estas instituciones son reservados para integrantes de la clase política del PRI y exfuncionarios provenientes de administraciones priistas.</w:t>
      </w:r>
    </w:p>
    <w:p w14:paraId="15E93937" w14:textId="77777777" w:rsidR="00ED742C" w:rsidRDefault="00ED742C" w:rsidP="00D347D8">
      <w:pPr>
        <w:jc w:val="both"/>
        <w:rPr>
          <w:rFonts w:ascii="Arial" w:hAnsi="Arial" w:cs="Arial"/>
          <w:sz w:val="24"/>
          <w:szCs w:val="24"/>
        </w:rPr>
      </w:pPr>
      <w:r>
        <w:rPr>
          <w:rFonts w:ascii="Arial" w:hAnsi="Arial" w:cs="Arial"/>
          <w:sz w:val="24"/>
          <w:szCs w:val="24"/>
        </w:rPr>
        <w:t xml:space="preserve">Lo anterior de acuerdo con información que se sustenta en documentos publicados vía la Ley de Transparencia y Acceso a la Información Pública, consultas en fuentes documentales y digitales de dichos planteles educativos y referencias directas de empleados de las propias instituciones. </w:t>
      </w:r>
    </w:p>
    <w:p w14:paraId="2F44B6A4" w14:textId="77777777" w:rsidR="00882EBD" w:rsidRDefault="00ED742C" w:rsidP="00D347D8">
      <w:pPr>
        <w:jc w:val="both"/>
        <w:rPr>
          <w:rFonts w:ascii="Arial" w:hAnsi="Arial" w:cs="Arial"/>
          <w:sz w:val="24"/>
          <w:szCs w:val="24"/>
        </w:rPr>
      </w:pPr>
      <w:r>
        <w:rPr>
          <w:rFonts w:ascii="Arial" w:hAnsi="Arial" w:cs="Arial"/>
          <w:sz w:val="24"/>
          <w:szCs w:val="24"/>
        </w:rPr>
        <w:t xml:space="preserve">Pues se ha vuelto un proceso </w:t>
      </w:r>
      <w:proofErr w:type="spellStart"/>
      <w:r>
        <w:rPr>
          <w:rFonts w:ascii="Arial" w:hAnsi="Arial" w:cs="Arial"/>
          <w:sz w:val="24"/>
          <w:szCs w:val="24"/>
        </w:rPr>
        <w:t>normalozado</w:t>
      </w:r>
      <w:proofErr w:type="spellEnd"/>
      <w:r>
        <w:rPr>
          <w:rFonts w:ascii="Arial" w:hAnsi="Arial" w:cs="Arial"/>
          <w:sz w:val="24"/>
          <w:szCs w:val="24"/>
        </w:rPr>
        <w:t xml:space="preserve"> donde las designaciones de directores y rectores, de dichas instituciones, suelen favorecer a quienes han realizado trabajo político o administrativo en gobiernos del PRI</w:t>
      </w:r>
    </w:p>
    <w:p w14:paraId="7A1F8C3D" w14:textId="77777777" w:rsidR="00ED742C" w:rsidRDefault="00ED742C" w:rsidP="00D347D8">
      <w:pPr>
        <w:jc w:val="both"/>
        <w:rPr>
          <w:rFonts w:ascii="Arial" w:hAnsi="Arial" w:cs="Arial"/>
          <w:sz w:val="24"/>
          <w:szCs w:val="24"/>
        </w:rPr>
      </w:pPr>
      <w:r>
        <w:rPr>
          <w:rFonts w:ascii="Arial" w:hAnsi="Arial" w:cs="Arial"/>
          <w:sz w:val="24"/>
          <w:szCs w:val="24"/>
        </w:rPr>
        <w:t xml:space="preserve">Teniendo como denominador común </w:t>
      </w:r>
      <w:r w:rsidR="00D347D8">
        <w:rPr>
          <w:rFonts w:ascii="Arial" w:hAnsi="Arial" w:cs="Arial"/>
          <w:sz w:val="24"/>
          <w:szCs w:val="24"/>
        </w:rPr>
        <w:t>l</w:t>
      </w:r>
      <w:r>
        <w:rPr>
          <w:rFonts w:ascii="Arial" w:hAnsi="Arial" w:cs="Arial"/>
          <w:sz w:val="24"/>
          <w:szCs w:val="24"/>
        </w:rPr>
        <w:t>a relación laboral en administraciones priistas, familiares vinculados a la clase política y gubernamental del PRI o el haber ocupado cargos de elección popular, además de participar en actividades partidistas o de activismo a favor del tricolor.</w:t>
      </w:r>
    </w:p>
    <w:p w14:paraId="2753F81F" w14:textId="77777777" w:rsidR="00D347D8" w:rsidRDefault="00D347D8" w:rsidP="00D347D8">
      <w:pPr>
        <w:jc w:val="both"/>
        <w:rPr>
          <w:rFonts w:ascii="Arial" w:hAnsi="Arial" w:cs="Arial"/>
          <w:sz w:val="24"/>
          <w:szCs w:val="24"/>
        </w:rPr>
      </w:pPr>
      <w:r>
        <w:rPr>
          <w:rFonts w:ascii="Arial" w:hAnsi="Arial" w:cs="Arial"/>
          <w:sz w:val="24"/>
          <w:szCs w:val="24"/>
        </w:rPr>
        <w:t xml:space="preserve">En el caso de los 15 Tecnológicos de Estudios Superiores, 12 directores y directoras tenían vínculos visibles con administraciones priistas, así como una trayectoria en puestos de elección popular bajo las siglas del PRI. </w:t>
      </w:r>
    </w:p>
    <w:p w14:paraId="5B628FC2" w14:textId="77777777" w:rsidR="00D347D8" w:rsidRDefault="00D347D8" w:rsidP="00D347D8">
      <w:pPr>
        <w:jc w:val="both"/>
        <w:rPr>
          <w:rFonts w:ascii="Arial" w:hAnsi="Arial" w:cs="Arial"/>
          <w:sz w:val="24"/>
          <w:szCs w:val="24"/>
        </w:rPr>
      </w:pPr>
      <w:r>
        <w:rPr>
          <w:rFonts w:ascii="Arial" w:hAnsi="Arial" w:cs="Arial"/>
          <w:sz w:val="24"/>
          <w:szCs w:val="24"/>
        </w:rPr>
        <w:t xml:space="preserve">Por ejemplo, Pablo Bedolla López despacha como director del Tecnológico de Estudios Superiores de Ecatepec. Es un líder priista con larga trayectoria en el oriente del Estado de México. Fue Alcalde de Ecatepec en el trienio 2013-2015. Diputado local </w:t>
      </w:r>
      <w:r w:rsidRPr="000B074F">
        <w:rPr>
          <w:rFonts w:ascii="Arial" w:hAnsi="Arial" w:cs="Arial"/>
          <w:sz w:val="24"/>
          <w:szCs w:val="24"/>
        </w:rPr>
        <w:t>(1990-1993) (2009-2012)</w:t>
      </w:r>
      <w:r>
        <w:t xml:space="preserve"> </w:t>
      </w:r>
      <w:r>
        <w:rPr>
          <w:rFonts w:ascii="Arial" w:hAnsi="Arial" w:cs="Arial"/>
          <w:sz w:val="24"/>
          <w:szCs w:val="24"/>
        </w:rPr>
        <w:t xml:space="preserve">y legislador federal del PRI </w:t>
      </w:r>
      <w:r w:rsidRPr="000B074F">
        <w:rPr>
          <w:rFonts w:ascii="Arial" w:hAnsi="Arial" w:cs="Arial"/>
          <w:sz w:val="24"/>
          <w:szCs w:val="24"/>
        </w:rPr>
        <w:t>(2003-2006) (2015-2018)</w:t>
      </w:r>
      <w:r>
        <w:rPr>
          <w:rFonts w:ascii="Arial" w:hAnsi="Arial" w:cs="Arial"/>
          <w:sz w:val="24"/>
          <w:szCs w:val="24"/>
        </w:rPr>
        <w:t>.</w:t>
      </w:r>
    </w:p>
    <w:p w14:paraId="6F31DECA" w14:textId="77777777" w:rsidR="00D347D8" w:rsidRDefault="00D347D8" w:rsidP="00D347D8">
      <w:pPr>
        <w:jc w:val="both"/>
        <w:rPr>
          <w:rFonts w:ascii="Arial" w:hAnsi="Arial" w:cs="Arial"/>
          <w:sz w:val="24"/>
          <w:szCs w:val="24"/>
        </w:rPr>
      </w:pPr>
      <w:r>
        <w:rPr>
          <w:rFonts w:ascii="Arial" w:hAnsi="Arial" w:cs="Arial"/>
          <w:sz w:val="24"/>
          <w:szCs w:val="24"/>
        </w:rPr>
        <w:lastRenderedPageBreak/>
        <w:t xml:space="preserve">Otro caso es el Tecnológico de Estudios Superiores de Ixtapaluca. Lo encabeza Demetrio Moreno Arcega, hermano de Isidro Moreno Arcega, exdiputado local y federal del PRI. Ambos dirigen la agrupación política nacional “Ala Progresista”. </w:t>
      </w:r>
    </w:p>
    <w:p w14:paraId="673CD900" w14:textId="77777777" w:rsidR="00D347D8" w:rsidRDefault="00D347D8" w:rsidP="00D347D8">
      <w:pPr>
        <w:jc w:val="both"/>
        <w:rPr>
          <w:rFonts w:ascii="Arial" w:hAnsi="Arial" w:cs="Arial"/>
          <w:sz w:val="24"/>
          <w:szCs w:val="24"/>
        </w:rPr>
      </w:pPr>
      <w:r>
        <w:rPr>
          <w:rFonts w:ascii="Arial" w:hAnsi="Arial" w:cs="Arial"/>
          <w:sz w:val="24"/>
          <w:szCs w:val="24"/>
        </w:rPr>
        <w:t>También destaca Rodolfo Jardón Zarza como rector de la Universidad Politécnica del Valle de Toluca. Él fue vocal ejecutivo del Instituto del Transporte en el Estado de México, además de diputado local del PRI, pero por breves minutos.</w:t>
      </w:r>
    </w:p>
    <w:p w14:paraId="245DCB50" w14:textId="77777777" w:rsidR="00D347D8" w:rsidRDefault="00D347D8" w:rsidP="00D347D8">
      <w:pPr>
        <w:jc w:val="both"/>
        <w:rPr>
          <w:rFonts w:ascii="Arial" w:hAnsi="Arial" w:cs="Arial"/>
          <w:sz w:val="24"/>
          <w:szCs w:val="24"/>
        </w:rPr>
      </w:pPr>
      <w:r>
        <w:rPr>
          <w:rFonts w:ascii="Arial" w:hAnsi="Arial" w:cs="Arial"/>
          <w:sz w:val="24"/>
          <w:szCs w:val="24"/>
        </w:rPr>
        <w:t>No podemos dejar de denunciar y visibilizar este tipo de situaciones que se han presentado como una forma de supervivencia política y substancial para las clases políticas de los gobiernos del Estado de México</w:t>
      </w:r>
      <w:r w:rsidR="00C717B6">
        <w:rPr>
          <w:rFonts w:ascii="Arial" w:hAnsi="Arial" w:cs="Arial"/>
          <w:sz w:val="24"/>
          <w:szCs w:val="24"/>
        </w:rPr>
        <w:t xml:space="preserve">, pero sobre todo pone en el centro de la discusión, </w:t>
      </w:r>
      <w:r w:rsidR="00C717B6" w:rsidRPr="00792757">
        <w:rPr>
          <w:rFonts w:ascii="Arial" w:hAnsi="Arial" w:cs="Arial"/>
          <w:color w:val="FF0000"/>
          <w:sz w:val="24"/>
          <w:szCs w:val="24"/>
        </w:rPr>
        <w:t>los…</w:t>
      </w:r>
      <w:r w:rsidR="00C717B6">
        <w:rPr>
          <w:rFonts w:ascii="Arial" w:hAnsi="Arial" w:cs="Arial"/>
          <w:sz w:val="24"/>
          <w:szCs w:val="24"/>
        </w:rPr>
        <w:t>.</w:t>
      </w:r>
    </w:p>
    <w:p w14:paraId="3D4D8EA2" w14:textId="77777777" w:rsidR="00C717B6" w:rsidRDefault="00C717B6" w:rsidP="00D347D8">
      <w:pPr>
        <w:jc w:val="both"/>
        <w:rPr>
          <w:rFonts w:ascii="Arial" w:hAnsi="Arial" w:cs="Arial"/>
          <w:sz w:val="24"/>
          <w:szCs w:val="24"/>
        </w:rPr>
      </w:pPr>
    </w:p>
    <w:p w14:paraId="6365BD22" w14:textId="77777777" w:rsidR="00D347D8" w:rsidRDefault="00D347D8" w:rsidP="00D347D8">
      <w:pPr>
        <w:jc w:val="both"/>
        <w:rPr>
          <w:rFonts w:ascii="Arial" w:hAnsi="Arial" w:cs="Arial"/>
          <w:sz w:val="24"/>
          <w:szCs w:val="24"/>
        </w:rPr>
      </w:pPr>
    </w:p>
    <w:p w14:paraId="5115AADA" w14:textId="77777777" w:rsidR="00D347D8" w:rsidRPr="00D347D8" w:rsidRDefault="00D347D8" w:rsidP="00D347D8">
      <w:pPr>
        <w:jc w:val="center"/>
        <w:rPr>
          <w:rFonts w:ascii="Arial" w:hAnsi="Arial" w:cs="Arial"/>
          <w:b/>
          <w:sz w:val="24"/>
          <w:szCs w:val="24"/>
        </w:rPr>
      </w:pPr>
      <w:r w:rsidRPr="00D347D8">
        <w:rPr>
          <w:rFonts w:ascii="Arial" w:hAnsi="Arial" w:cs="Arial"/>
          <w:b/>
          <w:sz w:val="24"/>
          <w:szCs w:val="24"/>
        </w:rPr>
        <w:t>Atentamente</w:t>
      </w:r>
    </w:p>
    <w:p w14:paraId="47483D72" w14:textId="77777777" w:rsidR="00D347D8" w:rsidRDefault="00D347D8" w:rsidP="00D347D8">
      <w:pPr>
        <w:jc w:val="center"/>
        <w:rPr>
          <w:rFonts w:ascii="Arial" w:hAnsi="Arial" w:cs="Arial"/>
          <w:b/>
          <w:sz w:val="24"/>
          <w:szCs w:val="24"/>
        </w:rPr>
      </w:pPr>
      <w:r w:rsidRPr="00D347D8">
        <w:rPr>
          <w:rFonts w:ascii="Arial" w:hAnsi="Arial" w:cs="Arial"/>
          <w:b/>
          <w:sz w:val="24"/>
          <w:szCs w:val="24"/>
        </w:rPr>
        <w:t>DIP. FAUSTINO DE LA CRUZ PÉREZ</w:t>
      </w:r>
    </w:p>
    <w:p w14:paraId="396A067F" w14:textId="77777777" w:rsidR="00C717B6" w:rsidRDefault="00C717B6" w:rsidP="00D347D8">
      <w:pPr>
        <w:jc w:val="center"/>
        <w:rPr>
          <w:rFonts w:ascii="Arial" w:hAnsi="Arial" w:cs="Arial"/>
          <w:b/>
          <w:sz w:val="24"/>
          <w:szCs w:val="24"/>
        </w:rPr>
      </w:pPr>
    </w:p>
    <w:p w14:paraId="338805F0" w14:textId="77777777" w:rsidR="00C717B6" w:rsidRDefault="00C717B6" w:rsidP="00D347D8">
      <w:pPr>
        <w:jc w:val="center"/>
        <w:rPr>
          <w:rFonts w:ascii="Arial" w:hAnsi="Arial" w:cs="Arial"/>
          <w:b/>
          <w:sz w:val="24"/>
          <w:szCs w:val="24"/>
        </w:rPr>
      </w:pPr>
    </w:p>
    <w:p w14:paraId="04588CD3" w14:textId="77777777" w:rsidR="00792757" w:rsidRDefault="00792757" w:rsidP="00D347D8">
      <w:pPr>
        <w:jc w:val="center"/>
        <w:rPr>
          <w:rFonts w:ascii="Arial" w:hAnsi="Arial" w:cs="Arial"/>
          <w:b/>
          <w:sz w:val="24"/>
          <w:szCs w:val="24"/>
        </w:rPr>
      </w:pPr>
    </w:p>
    <w:p w14:paraId="541F3CD0" w14:textId="77777777" w:rsidR="00792757" w:rsidRDefault="00792757" w:rsidP="00D347D8">
      <w:pPr>
        <w:jc w:val="center"/>
        <w:rPr>
          <w:rFonts w:ascii="Arial" w:hAnsi="Arial" w:cs="Arial"/>
          <w:b/>
          <w:sz w:val="24"/>
          <w:szCs w:val="24"/>
        </w:rPr>
      </w:pPr>
    </w:p>
    <w:p w14:paraId="4D6CE050" w14:textId="77777777" w:rsidR="00792757" w:rsidRDefault="00792757" w:rsidP="00D347D8">
      <w:pPr>
        <w:jc w:val="center"/>
        <w:rPr>
          <w:rFonts w:ascii="Arial" w:hAnsi="Arial" w:cs="Arial"/>
          <w:b/>
          <w:sz w:val="24"/>
          <w:szCs w:val="24"/>
        </w:rPr>
      </w:pPr>
    </w:p>
    <w:p w14:paraId="64E6345A" w14:textId="77777777" w:rsidR="00792757" w:rsidRDefault="00792757" w:rsidP="00D347D8">
      <w:pPr>
        <w:jc w:val="center"/>
        <w:rPr>
          <w:rFonts w:ascii="Arial" w:hAnsi="Arial" w:cs="Arial"/>
          <w:b/>
          <w:sz w:val="24"/>
          <w:szCs w:val="24"/>
        </w:rPr>
      </w:pPr>
    </w:p>
    <w:p w14:paraId="6E7351FC" w14:textId="77777777" w:rsidR="00792757" w:rsidRDefault="00792757" w:rsidP="00D347D8">
      <w:pPr>
        <w:jc w:val="center"/>
        <w:rPr>
          <w:rFonts w:ascii="Arial" w:hAnsi="Arial" w:cs="Arial"/>
          <w:b/>
          <w:sz w:val="24"/>
          <w:szCs w:val="24"/>
        </w:rPr>
      </w:pPr>
    </w:p>
    <w:p w14:paraId="591D22F6" w14:textId="77777777" w:rsidR="00792757" w:rsidRDefault="00792757" w:rsidP="00D347D8">
      <w:pPr>
        <w:jc w:val="center"/>
        <w:rPr>
          <w:rFonts w:ascii="Arial" w:hAnsi="Arial" w:cs="Arial"/>
          <w:b/>
          <w:sz w:val="24"/>
          <w:szCs w:val="24"/>
        </w:rPr>
      </w:pPr>
    </w:p>
    <w:p w14:paraId="4DD31F4B" w14:textId="77777777" w:rsidR="00792757" w:rsidRDefault="00792757" w:rsidP="00D347D8">
      <w:pPr>
        <w:jc w:val="center"/>
        <w:rPr>
          <w:rFonts w:ascii="Arial" w:hAnsi="Arial" w:cs="Arial"/>
          <w:b/>
          <w:sz w:val="24"/>
          <w:szCs w:val="24"/>
        </w:rPr>
      </w:pPr>
    </w:p>
    <w:p w14:paraId="3764579D" w14:textId="77777777" w:rsidR="00792757" w:rsidRDefault="00792757" w:rsidP="00D347D8">
      <w:pPr>
        <w:jc w:val="center"/>
        <w:rPr>
          <w:rFonts w:ascii="Arial" w:hAnsi="Arial" w:cs="Arial"/>
          <w:b/>
          <w:sz w:val="24"/>
          <w:szCs w:val="24"/>
        </w:rPr>
      </w:pPr>
    </w:p>
    <w:p w14:paraId="1F81F3EF" w14:textId="77777777" w:rsidR="00792757" w:rsidRDefault="00792757" w:rsidP="00D347D8">
      <w:pPr>
        <w:jc w:val="center"/>
        <w:rPr>
          <w:rFonts w:ascii="Arial" w:hAnsi="Arial" w:cs="Arial"/>
          <w:b/>
          <w:sz w:val="24"/>
          <w:szCs w:val="24"/>
        </w:rPr>
      </w:pPr>
    </w:p>
    <w:p w14:paraId="5777DFC1" w14:textId="77777777" w:rsidR="00C717B6" w:rsidRDefault="00C717B6" w:rsidP="00D347D8">
      <w:pPr>
        <w:jc w:val="center"/>
        <w:rPr>
          <w:rFonts w:ascii="Arial" w:hAnsi="Arial" w:cs="Arial"/>
          <w:b/>
          <w:sz w:val="24"/>
          <w:szCs w:val="24"/>
        </w:rPr>
      </w:pPr>
    </w:p>
    <w:p w14:paraId="2CCFD757" w14:textId="77777777" w:rsidR="00C717B6" w:rsidRDefault="00C717B6" w:rsidP="00D347D8">
      <w:pPr>
        <w:jc w:val="center"/>
        <w:rPr>
          <w:rFonts w:ascii="Arial" w:hAnsi="Arial" w:cs="Arial"/>
          <w:b/>
          <w:sz w:val="24"/>
          <w:szCs w:val="24"/>
        </w:rPr>
      </w:pPr>
    </w:p>
    <w:p w14:paraId="3C84F17C" w14:textId="77777777" w:rsidR="00C717B6" w:rsidRDefault="00C717B6" w:rsidP="00D347D8">
      <w:pPr>
        <w:jc w:val="center"/>
        <w:rPr>
          <w:rFonts w:ascii="Arial" w:hAnsi="Arial" w:cs="Arial"/>
          <w:b/>
          <w:sz w:val="24"/>
          <w:szCs w:val="24"/>
        </w:rPr>
      </w:pPr>
    </w:p>
    <w:p w14:paraId="5330E375" w14:textId="77777777" w:rsidR="00C717B6" w:rsidRDefault="00C717B6" w:rsidP="00D347D8">
      <w:pPr>
        <w:jc w:val="center"/>
        <w:rPr>
          <w:rFonts w:ascii="Arial" w:hAnsi="Arial" w:cs="Arial"/>
          <w:b/>
          <w:sz w:val="24"/>
          <w:szCs w:val="24"/>
        </w:rPr>
      </w:pPr>
    </w:p>
    <w:p w14:paraId="1592EF4D" w14:textId="77777777" w:rsidR="00C717B6" w:rsidRDefault="00C717B6" w:rsidP="00D347D8">
      <w:pPr>
        <w:jc w:val="center"/>
        <w:rPr>
          <w:rFonts w:ascii="Arial" w:hAnsi="Arial" w:cs="Arial"/>
          <w:b/>
          <w:sz w:val="24"/>
          <w:szCs w:val="24"/>
        </w:rPr>
      </w:pPr>
    </w:p>
    <w:p w14:paraId="40F310C0" w14:textId="77777777" w:rsidR="00C717B6" w:rsidRDefault="00C717B6" w:rsidP="00D347D8">
      <w:pPr>
        <w:jc w:val="center"/>
        <w:rPr>
          <w:rFonts w:ascii="Arial" w:hAnsi="Arial" w:cs="Arial"/>
          <w:b/>
          <w:sz w:val="24"/>
          <w:szCs w:val="24"/>
        </w:rPr>
      </w:pPr>
    </w:p>
    <w:p w14:paraId="47D65CEF" w14:textId="77777777" w:rsidR="00C717B6" w:rsidRDefault="00C717B6" w:rsidP="00C717B6">
      <w:pPr>
        <w:jc w:val="both"/>
        <w:rPr>
          <w:rFonts w:ascii="Arial" w:hAnsi="Arial" w:cs="Arial"/>
          <w:b/>
          <w:sz w:val="24"/>
          <w:szCs w:val="24"/>
        </w:rPr>
      </w:pPr>
    </w:p>
    <w:p w14:paraId="05B805BC" w14:textId="77777777" w:rsidR="00C717B6" w:rsidRDefault="00C717B6" w:rsidP="00C717B6">
      <w:pPr>
        <w:jc w:val="both"/>
        <w:rPr>
          <w:rFonts w:ascii="Arial" w:hAnsi="Arial" w:cs="Arial"/>
          <w:b/>
          <w:sz w:val="24"/>
          <w:szCs w:val="24"/>
        </w:rPr>
      </w:pPr>
    </w:p>
    <w:p w14:paraId="7FC0A6A7" w14:textId="77777777" w:rsidR="00C717B6" w:rsidRDefault="00C717B6" w:rsidP="00C717B6">
      <w:pPr>
        <w:jc w:val="center"/>
        <w:rPr>
          <w:rFonts w:ascii="Arial" w:hAnsi="Arial" w:cs="Arial"/>
          <w:b/>
          <w:sz w:val="24"/>
          <w:szCs w:val="24"/>
        </w:rPr>
      </w:pPr>
      <w:r>
        <w:rPr>
          <w:rFonts w:ascii="Arial" w:hAnsi="Arial" w:cs="Arial"/>
          <w:b/>
          <w:sz w:val="24"/>
          <w:szCs w:val="24"/>
        </w:rPr>
        <w:t>PROYECTO DE ACUERDO</w:t>
      </w:r>
    </w:p>
    <w:p w14:paraId="1CC65F10" w14:textId="77777777" w:rsidR="00C717B6" w:rsidRDefault="00C717B6" w:rsidP="00C717B6">
      <w:pPr>
        <w:jc w:val="both"/>
        <w:rPr>
          <w:rFonts w:ascii="Arial" w:hAnsi="Arial" w:cs="Arial"/>
          <w:b/>
          <w:sz w:val="24"/>
          <w:szCs w:val="24"/>
        </w:rPr>
      </w:pPr>
    </w:p>
    <w:p w14:paraId="0139AF2D" w14:textId="77777777" w:rsidR="00C717B6" w:rsidRDefault="00C717B6" w:rsidP="00C717B6">
      <w:pPr>
        <w:jc w:val="both"/>
        <w:rPr>
          <w:rFonts w:ascii="Arial" w:hAnsi="Arial" w:cs="Arial"/>
          <w:b/>
          <w:sz w:val="24"/>
          <w:szCs w:val="24"/>
        </w:rPr>
      </w:pPr>
    </w:p>
    <w:p w14:paraId="1D01F3F8" w14:textId="77777777" w:rsidR="00C717B6" w:rsidRPr="00C717B6" w:rsidRDefault="00792757" w:rsidP="00C717B6">
      <w:pPr>
        <w:jc w:val="both"/>
        <w:rPr>
          <w:rFonts w:ascii="Arial" w:hAnsi="Arial" w:cs="Arial"/>
          <w:b/>
          <w:sz w:val="24"/>
          <w:szCs w:val="24"/>
        </w:rPr>
      </w:pPr>
      <w:proofErr w:type="gramStart"/>
      <w:r>
        <w:rPr>
          <w:rFonts w:ascii="Arial" w:hAnsi="Arial" w:cs="Arial"/>
          <w:b/>
          <w:sz w:val="24"/>
          <w:szCs w:val="24"/>
        </w:rPr>
        <w:t>Único.-</w:t>
      </w:r>
      <w:proofErr w:type="gramEnd"/>
      <w:r>
        <w:rPr>
          <w:rFonts w:ascii="Arial" w:hAnsi="Arial" w:cs="Arial"/>
          <w:b/>
          <w:sz w:val="24"/>
          <w:szCs w:val="24"/>
        </w:rPr>
        <w:t xml:space="preserve"> </w:t>
      </w:r>
      <w:r w:rsidR="00C717B6" w:rsidRPr="00C717B6">
        <w:rPr>
          <w:rFonts w:ascii="Arial" w:hAnsi="Arial" w:cs="Arial"/>
          <w:b/>
          <w:sz w:val="24"/>
          <w:szCs w:val="24"/>
        </w:rPr>
        <w:t xml:space="preserve"> </w:t>
      </w:r>
      <w:r w:rsidR="00C717B6" w:rsidRPr="00C717B6">
        <w:rPr>
          <w:rFonts w:ascii="Arial" w:hAnsi="Arial" w:cs="Arial"/>
          <w:sz w:val="24"/>
          <w:szCs w:val="24"/>
        </w:rPr>
        <w:t>se exhorta al Secretario de Educación del Estado de México para que entregue un informe detallado de los procedimientos</w:t>
      </w:r>
      <w:r>
        <w:rPr>
          <w:rFonts w:ascii="Arial" w:hAnsi="Arial" w:cs="Arial"/>
          <w:sz w:val="24"/>
          <w:szCs w:val="24"/>
        </w:rPr>
        <w:t xml:space="preserve"> y criterios</w:t>
      </w:r>
      <w:r w:rsidR="00C717B6" w:rsidRPr="00C717B6">
        <w:rPr>
          <w:rFonts w:ascii="Arial" w:hAnsi="Arial" w:cs="Arial"/>
          <w:sz w:val="24"/>
          <w:szCs w:val="24"/>
        </w:rPr>
        <w:t xml:space="preserve"> para la designación de directivos de las Universidades Públicas y Tecnológicos adscritos a la secr</w:t>
      </w:r>
      <w:r>
        <w:rPr>
          <w:rFonts w:ascii="Arial" w:hAnsi="Arial" w:cs="Arial"/>
          <w:sz w:val="24"/>
          <w:szCs w:val="24"/>
        </w:rPr>
        <w:t>etaría a su cargo.</w:t>
      </w:r>
      <w:r w:rsidR="00C717B6" w:rsidRPr="00C717B6">
        <w:rPr>
          <w:rFonts w:ascii="Arial" w:hAnsi="Arial" w:cs="Arial"/>
          <w:b/>
          <w:sz w:val="24"/>
          <w:szCs w:val="24"/>
        </w:rPr>
        <w:t xml:space="preserve"> </w:t>
      </w:r>
    </w:p>
    <w:p w14:paraId="6EF9216C" w14:textId="77777777" w:rsidR="00C717B6" w:rsidRDefault="00C717B6" w:rsidP="00C717B6">
      <w:pPr>
        <w:rPr>
          <w:rFonts w:ascii="Arial" w:hAnsi="Arial" w:cs="Arial"/>
          <w:b/>
          <w:sz w:val="24"/>
          <w:szCs w:val="24"/>
        </w:rPr>
      </w:pPr>
    </w:p>
    <w:p w14:paraId="668417A4" w14:textId="77777777" w:rsidR="00C717B6" w:rsidRPr="00D347D8" w:rsidRDefault="00C717B6" w:rsidP="00C717B6">
      <w:pPr>
        <w:rPr>
          <w:rFonts w:ascii="Arial" w:hAnsi="Arial" w:cs="Arial"/>
          <w:b/>
          <w:sz w:val="24"/>
          <w:szCs w:val="24"/>
        </w:rPr>
      </w:pPr>
    </w:p>
    <w:p w14:paraId="748BEA48" w14:textId="77777777" w:rsidR="00D347D8" w:rsidRDefault="00D347D8" w:rsidP="00D347D8">
      <w:pPr>
        <w:jc w:val="both"/>
        <w:rPr>
          <w:rFonts w:ascii="Arial" w:hAnsi="Arial" w:cs="Arial"/>
          <w:sz w:val="24"/>
          <w:szCs w:val="24"/>
        </w:rPr>
      </w:pPr>
    </w:p>
    <w:p w14:paraId="36A7C817" w14:textId="77777777" w:rsidR="00D347D8" w:rsidRDefault="00D347D8" w:rsidP="00D347D8">
      <w:pPr>
        <w:jc w:val="both"/>
        <w:rPr>
          <w:rFonts w:ascii="Arial" w:hAnsi="Arial" w:cs="Arial"/>
          <w:sz w:val="24"/>
          <w:szCs w:val="24"/>
        </w:rPr>
      </w:pPr>
    </w:p>
    <w:p w14:paraId="5DB3DE9D" w14:textId="77777777" w:rsidR="00ED742C" w:rsidRPr="00882EBD" w:rsidRDefault="00ED742C" w:rsidP="00D347D8">
      <w:pPr>
        <w:jc w:val="both"/>
        <w:rPr>
          <w:rFonts w:ascii="Arial" w:hAnsi="Arial" w:cs="Arial"/>
          <w:sz w:val="24"/>
          <w:szCs w:val="24"/>
        </w:rPr>
      </w:pPr>
    </w:p>
    <w:sectPr w:rsidR="00ED742C" w:rsidRPr="00882EB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A7A3C" w14:textId="77777777" w:rsidR="00CD3147" w:rsidRDefault="00CD3147" w:rsidP="005A7DEE">
      <w:pPr>
        <w:spacing w:after="0" w:line="240" w:lineRule="auto"/>
      </w:pPr>
      <w:r>
        <w:separator/>
      </w:r>
    </w:p>
  </w:endnote>
  <w:endnote w:type="continuationSeparator" w:id="0">
    <w:p w14:paraId="3B6C19BB" w14:textId="77777777" w:rsidR="00CD3147" w:rsidRDefault="00CD3147" w:rsidP="005A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01915" w14:textId="77777777" w:rsidR="00CD3147" w:rsidRDefault="00CD3147" w:rsidP="005A7DEE">
      <w:pPr>
        <w:spacing w:after="0" w:line="240" w:lineRule="auto"/>
      </w:pPr>
      <w:r>
        <w:separator/>
      </w:r>
    </w:p>
  </w:footnote>
  <w:footnote w:type="continuationSeparator" w:id="0">
    <w:p w14:paraId="28D3D62F" w14:textId="77777777" w:rsidR="00CD3147" w:rsidRDefault="00CD3147" w:rsidP="005A7DEE">
      <w:pPr>
        <w:spacing w:after="0" w:line="240" w:lineRule="auto"/>
      </w:pPr>
      <w:r>
        <w:continuationSeparator/>
      </w:r>
    </w:p>
  </w:footnote>
  <w:footnote w:id="1">
    <w:p w14:paraId="417617C7" w14:textId="77777777" w:rsidR="005A7DEE" w:rsidRDefault="005A7DEE" w:rsidP="005A7DEE">
      <w:pPr>
        <w:pStyle w:val="Textonotapie"/>
      </w:pPr>
      <w:r>
        <w:rPr>
          <w:rStyle w:val="Refdenotaalpie"/>
        </w:rPr>
        <w:footnoteRef/>
      </w:r>
      <w:r>
        <w:t xml:space="preserve"> </w:t>
      </w:r>
      <w:r w:rsidRPr="007C6A69">
        <w:t>Informe del Resultado de la Fiscalización Superior de la Cuenta Pública 2015</w:t>
      </w:r>
      <w:r>
        <w:t xml:space="preserve"> (ASF). </w:t>
      </w:r>
      <w:hyperlink r:id="rId1" w:history="1">
        <w:r w:rsidRPr="00E755D9">
          <w:rPr>
            <w:rStyle w:val="Hipervnculo"/>
          </w:rPr>
          <w:t>https://www.pressreader.com/mexico/el-heraldo-de-aguascalientes/20210719/281891596291884</w:t>
        </w:r>
      </w:hyperlink>
    </w:p>
    <w:p w14:paraId="6A7B1092" w14:textId="77777777" w:rsidR="005A7DEE" w:rsidRDefault="00AE5815" w:rsidP="005A7DEE">
      <w:pPr>
        <w:pStyle w:val="Textonotapie"/>
      </w:pPr>
      <w:hyperlink r:id="rId2" w:history="1">
        <w:r w:rsidR="005A7DEE" w:rsidRPr="00E755D9">
          <w:rPr>
            <w:rStyle w:val="Hipervnculo"/>
          </w:rPr>
          <w:t>https://www.reforma.com/aplicacioneslibre/preacceso/articulo/default.aspx?__rval=1&amp;urlredirect=/procesa-juez-a-dos-por-estafa-maestra/ar2209273</w:t>
        </w:r>
      </w:hyperlink>
    </w:p>
    <w:p w14:paraId="0E37A4BB" w14:textId="77777777" w:rsidR="005A7DEE" w:rsidRDefault="00AE5815" w:rsidP="005A7DEE">
      <w:pPr>
        <w:pStyle w:val="Textonotapie"/>
      </w:pPr>
      <w:hyperlink r:id="rId3" w:history="1">
        <w:r w:rsidR="005A7DEE" w:rsidRPr="00E755D9">
          <w:rPr>
            <w:rStyle w:val="Hipervnculo"/>
          </w:rPr>
          <w:t>https://www.tvazteca.com/aztecanoticias/sedesol-texcoco-estafa-maestra-especiales</w:t>
        </w:r>
      </w:hyperlink>
    </w:p>
  </w:footnote>
  <w:footnote w:id="2">
    <w:p w14:paraId="07B75ECC" w14:textId="77777777" w:rsidR="00ED742C" w:rsidRDefault="00ED742C" w:rsidP="00ED742C">
      <w:pPr>
        <w:pStyle w:val="Textonotapie"/>
      </w:pPr>
      <w:r>
        <w:rPr>
          <w:rStyle w:val="Refdenotaalpie"/>
        </w:rPr>
        <w:footnoteRef/>
      </w:r>
      <w:r>
        <w:t xml:space="preserve"> </w:t>
      </w:r>
      <w:r w:rsidRPr="00596EAC">
        <w:t>Informe del Resultado de la Fiscalización Superior de la Cuenta Pública 2021</w:t>
      </w:r>
      <w:r>
        <w:t xml:space="preserve"> (ASF).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BD"/>
    <w:rsid w:val="00023F0F"/>
    <w:rsid w:val="000E6B7E"/>
    <w:rsid w:val="004964BF"/>
    <w:rsid w:val="00544413"/>
    <w:rsid w:val="005A7DEE"/>
    <w:rsid w:val="005E19A5"/>
    <w:rsid w:val="00792757"/>
    <w:rsid w:val="007B44CE"/>
    <w:rsid w:val="00882EBD"/>
    <w:rsid w:val="00893467"/>
    <w:rsid w:val="00A1022A"/>
    <w:rsid w:val="00A360C4"/>
    <w:rsid w:val="00AE5815"/>
    <w:rsid w:val="00C559F7"/>
    <w:rsid w:val="00C717B6"/>
    <w:rsid w:val="00CD3147"/>
    <w:rsid w:val="00D347D8"/>
    <w:rsid w:val="00DE46C0"/>
    <w:rsid w:val="00E93974"/>
    <w:rsid w:val="00EA2676"/>
    <w:rsid w:val="00ED74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75B1"/>
  <w15:chartTrackingRefBased/>
  <w15:docId w15:val="{0D8D2B2A-BF72-4B21-91C0-B8209DEB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A7DE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7DEE"/>
    <w:rPr>
      <w:sz w:val="20"/>
      <w:szCs w:val="20"/>
    </w:rPr>
  </w:style>
  <w:style w:type="character" w:styleId="Refdenotaalpie">
    <w:name w:val="footnote reference"/>
    <w:basedOn w:val="Fuentedeprrafopredeter"/>
    <w:uiPriority w:val="99"/>
    <w:semiHidden/>
    <w:unhideWhenUsed/>
    <w:rsid w:val="005A7DEE"/>
    <w:rPr>
      <w:vertAlign w:val="superscript"/>
    </w:rPr>
  </w:style>
  <w:style w:type="character" w:styleId="Hipervnculo">
    <w:name w:val="Hyperlink"/>
    <w:basedOn w:val="Fuentedeprrafopredeter"/>
    <w:uiPriority w:val="99"/>
    <w:unhideWhenUsed/>
    <w:rsid w:val="005A7DEE"/>
    <w:rPr>
      <w:color w:val="0563C1" w:themeColor="hyperlink"/>
      <w:u w:val="single"/>
    </w:rPr>
  </w:style>
  <w:style w:type="paragraph" w:styleId="NormalWeb">
    <w:name w:val="Normal (Web)"/>
    <w:basedOn w:val="Normal"/>
    <w:uiPriority w:val="99"/>
    <w:unhideWhenUsed/>
    <w:rsid w:val="00E93974"/>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vazteca.com/aztecanoticias/sedesol-texcoco-estafa-maestra-especiales" TargetMode="External"/><Relationship Id="rId2" Type="http://schemas.openxmlformats.org/officeDocument/2006/relationships/hyperlink" Target="https://www.reforma.com/aplicacioneslibre/preacceso/articulo/default.aspx?__rval=1&amp;urlredirect=/procesa-juez-a-dos-por-estafa-maestra/ar2209273" TargetMode="External"/><Relationship Id="rId1" Type="http://schemas.openxmlformats.org/officeDocument/2006/relationships/hyperlink" Target="https://www.pressreader.com/mexico/el-heraldo-de-aguascalientes/20210719/28189159629188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1231</Words>
  <Characters>6773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Pérez Alemán</dc:creator>
  <cp:keywords/>
  <dc:description/>
  <cp:lastModifiedBy>LEGISLATURA</cp:lastModifiedBy>
  <cp:revision>2</cp:revision>
  <dcterms:created xsi:type="dcterms:W3CDTF">2023-05-02T15:35:00Z</dcterms:created>
  <dcterms:modified xsi:type="dcterms:W3CDTF">2023-05-02T15:35:00Z</dcterms:modified>
</cp:coreProperties>
</file>