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 xml:space="preserve">Toluca de Lerdo, Estado de México a __ </w:t>
      </w:r>
      <w:proofErr w:type="spellStart"/>
      <w:r w:rsidRPr="00E246B3">
        <w:rPr>
          <w:rFonts w:ascii="Arial" w:eastAsia="Times New Roman" w:hAnsi="Arial" w:cs="Arial"/>
          <w:color w:val="000000" w:themeColor="text1"/>
          <w:sz w:val="24"/>
          <w:szCs w:val="24"/>
        </w:rPr>
        <w:t>de</w:t>
      </w:r>
      <w:proofErr w:type="spellEnd"/>
      <w:r w:rsidRPr="00E246B3">
        <w:rPr>
          <w:rFonts w:ascii="Arial" w:eastAsia="Times New Roman" w:hAnsi="Arial" w:cs="Arial"/>
          <w:color w:val="000000" w:themeColor="text1"/>
          <w:sz w:val="24"/>
          <w:szCs w:val="24"/>
        </w:rPr>
        <w:t xml:space="preserve"> __ </w:t>
      </w:r>
      <w:proofErr w:type="spellStart"/>
      <w:r w:rsidRPr="00E246B3">
        <w:rPr>
          <w:rFonts w:ascii="Arial" w:eastAsia="Times New Roman" w:hAnsi="Arial" w:cs="Arial"/>
          <w:color w:val="000000" w:themeColor="text1"/>
          <w:sz w:val="24"/>
          <w:szCs w:val="24"/>
        </w:rPr>
        <w:t>de</w:t>
      </w:r>
      <w:proofErr w:type="spellEnd"/>
      <w:r w:rsidRPr="00E246B3">
        <w:rPr>
          <w:rFonts w:ascii="Arial" w:eastAsia="Times New Roman" w:hAnsi="Arial" w:cs="Arial"/>
          <w:color w:val="000000" w:themeColor="text1"/>
          <w:sz w:val="24"/>
          <w:szCs w:val="24"/>
        </w:rPr>
        <w:t xml:space="preserv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00EBDCD6" w14:textId="2CF33D76"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2D36E4">
        <w:rPr>
          <w:rFonts w:ascii="Arial" w:eastAsia="Times New Roman" w:hAnsi="Arial" w:cs="Arial"/>
          <w:b/>
          <w:color w:val="000000" w:themeColor="text1"/>
          <w:sz w:val="24"/>
          <w:szCs w:val="24"/>
        </w:rPr>
        <w:t>ENRIQUE EDGARDO JACOB ROCHA</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734A5804" w14:textId="57D44954" w:rsidR="0078508C" w:rsidRPr="00621E2A"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677115" w:rsidRPr="00677115">
        <w:rPr>
          <w:rFonts w:ascii="Arial" w:hAnsi="Arial" w:cs="Arial"/>
          <w:b/>
          <w:bCs/>
          <w:sz w:val="24"/>
          <w:szCs w:val="24"/>
        </w:rPr>
        <w:t>PROPOSICIÓN CON PUNTO DE ACUERDO DE URGENTE Y OBVIA RESOLUCIÓN POR EL QUE SE EXHORTA</w:t>
      </w:r>
      <w:r w:rsidR="00677115">
        <w:rPr>
          <w:rFonts w:ascii="Arial" w:hAnsi="Arial" w:cs="Arial"/>
          <w:b/>
          <w:bCs/>
          <w:sz w:val="24"/>
          <w:szCs w:val="24"/>
        </w:rPr>
        <w:t xml:space="preserve"> RESPETUOSAMENTE</w:t>
      </w:r>
      <w:r w:rsidR="00677115" w:rsidRPr="00677115">
        <w:rPr>
          <w:rFonts w:ascii="Arial" w:hAnsi="Arial" w:cs="Arial"/>
          <w:b/>
          <w:bCs/>
          <w:sz w:val="24"/>
          <w:szCs w:val="24"/>
        </w:rPr>
        <w:t xml:space="preserve"> AL MUNICIPIO DE TIMILPAN PARA QUE ATIENDA LAS OBSERVACIONES REALIZADAS POR EL ÓRGANO SUPERIOR DE FISCALIZACIÓN DEL ESTADO DE MÉXICO, CONTENIDAS EN EL INFORME DE RESULTADOS DE LA CUENTA PÚBLICA 2020</w:t>
      </w:r>
      <w:r w:rsidR="0031705B">
        <w:rPr>
          <w:rFonts w:ascii="Arial" w:hAnsi="Arial" w:cs="Arial"/>
          <w:b/>
          <w:bCs/>
          <w:sz w:val="24"/>
          <w:szCs w:val="24"/>
        </w:rPr>
        <w:t>,</w:t>
      </w:r>
      <w:r w:rsidR="0031705B"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even" r:id="rId8"/>
          <w:headerReference w:type="default" r:id="rId9"/>
          <w:footerReference w:type="even" r:id="rId10"/>
          <w:footerReference w:type="default" r:id="rId11"/>
          <w:headerReference w:type="first" r:id="rId12"/>
          <w:footerReference w:type="first" r:id="rId13"/>
          <w:pgSz w:w="12240" w:h="15840" w:code="1"/>
          <w:pgMar w:top="2126" w:right="1418" w:bottom="851" w:left="1418" w:header="567" w:footer="851" w:gutter="0"/>
          <w:cols w:space="708"/>
          <w:docGrid w:linePitch="360"/>
        </w:sectPr>
      </w:pPr>
    </w:p>
    <w:p w14:paraId="4FF78E0D" w14:textId="77777777" w:rsidR="00FE3FF8" w:rsidRPr="00E246B3" w:rsidRDefault="00FE3FF8" w:rsidP="002D36E4">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75E0BBC3" w14:textId="1EFA48B9" w:rsidR="00B52823" w:rsidRPr="00A95087" w:rsidRDefault="00B52823" w:rsidP="002D36E4">
      <w:pPr>
        <w:spacing w:after="0" w:line="360" w:lineRule="auto"/>
        <w:jc w:val="both"/>
        <w:rPr>
          <w:rFonts w:ascii="Arial" w:hAnsi="Arial" w:cs="Arial"/>
          <w:color w:val="000000" w:themeColor="text1"/>
          <w:sz w:val="24"/>
          <w:szCs w:val="24"/>
          <w:shd w:val="clear" w:color="auto" w:fill="FFFFFF"/>
        </w:rPr>
      </w:pPr>
    </w:p>
    <w:p w14:paraId="5D989804" w14:textId="12051EC2" w:rsidR="009C2D71" w:rsidRDefault="009C2D71" w:rsidP="002D36E4">
      <w:pPr>
        <w:spacing w:after="0" w:line="360" w:lineRule="auto"/>
        <w:jc w:val="both"/>
        <w:rPr>
          <w:rFonts w:ascii="Arial" w:hAnsi="Arial" w:cs="Arial"/>
          <w:color w:val="000000" w:themeColor="text1"/>
          <w:sz w:val="24"/>
          <w:szCs w:val="24"/>
          <w:shd w:val="clear" w:color="auto" w:fill="FFFFFF"/>
        </w:rPr>
      </w:pPr>
      <w:r w:rsidRPr="00A95087">
        <w:rPr>
          <w:rFonts w:ascii="Arial" w:hAnsi="Arial" w:cs="Arial"/>
          <w:color w:val="000000" w:themeColor="text1"/>
          <w:sz w:val="24"/>
          <w:szCs w:val="24"/>
          <w:shd w:val="clear" w:color="auto" w:fill="FFFFFF"/>
        </w:rPr>
        <w:t>El control en el ámbito gubernamental es un proceso en el que se demanda a los actores de una institución pública a propiciar confianza en cuanto al cumplimento de l</w:t>
      </w:r>
      <w:r w:rsidR="002D36E4">
        <w:rPr>
          <w:rFonts w:ascii="Arial" w:hAnsi="Arial" w:cs="Arial"/>
          <w:color w:val="000000" w:themeColor="text1"/>
          <w:sz w:val="24"/>
          <w:szCs w:val="24"/>
          <w:shd w:val="clear" w:color="auto" w:fill="FFFFFF"/>
        </w:rPr>
        <w:t xml:space="preserve">as metas </w:t>
      </w:r>
      <w:r w:rsidRPr="00A95087">
        <w:rPr>
          <w:rFonts w:ascii="Arial" w:hAnsi="Arial" w:cs="Arial"/>
          <w:color w:val="000000" w:themeColor="text1"/>
          <w:sz w:val="24"/>
          <w:szCs w:val="24"/>
          <w:shd w:val="clear" w:color="auto" w:fill="FFFFFF"/>
        </w:rPr>
        <w:t>institucionales y la salvaguarda de los recursos públicos.</w:t>
      </w:r>
      <w:r>
        <w:rPr>
          <w:rFonts w:ascii="Arial" w:hAnsi="Arial" w:cs="Arial"/>
          <w:color w:val="000000" w:themeColor="text1"/>
          <w:sz w:val="24"/>
          <w:szCs w:val="24"/>
          <w:shd w:val="clear" w:color="auto" w:fill="FFFFFF"/>
        </w:rPr>
        <w:t xml:space="preserve"> Asimismo, se encuentra estrechamente vinculado con las buenas prácticas de gobernanza administrativa, contribuyendo de esta manera a la prevención de la corrupción.</w:t>
      </w:r>
    </w:p>
    <w:p w14:paraId="71670386" w14:textId="77777777" w:rsidR="00C53551" w:rsidRPr="00A95087" w:rsidRDefault="00C53551" w:rsidP="002D36E4">
      <w:pPr>
        <w:spacing w:after="0" w:line="360" w:lineRule="auto"/>
        <w:jc w:val="both"/>
        <w:rPr>
          <w:rFonts w:ascii="Arial" w:hAnsi="Arial" w:cs="Arial"/>
          <w:color w:val="000000" w:themeColor="text1"/>
          <w:sz w:val="24"/>
          <w:szCs w:val="24"/>
          <w:shd w:val="clear" w:color="auto" w:fill="FFFFFF"/>
        </w:rPr>
      </w:pPr>
    </w:p>
    <w:p w14:paraId="386E95FD" w14:textId="29832C43" w:rsidR="00B52823" w:rsidRDefault="007F30B1" w:rsidP="002D36E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A lo largo de toda la historia de nuestro país</w:t>
      </w:r>
      <w:r w:rsidR="00B52823" w:rsidRPr="00A95087">
        <w:rPr>
          <w:rFonts w:ascii="Arial" w:hAnsi="Arial" w:cs="Arial"/>
          <w:color w:val="000000" w:themeColor="text1"/>
          <w:sz w:val="24"/>
          <w:szCs w:val="24"/>
          <w:shd w:val="clear" w:color="auto" w:fill="FFFFFF"/>
        </w:rPr>
        <w:t>, el ejercicio de la función de control gubernamental ha jugado un papel importante en el desarrollo de la administración pública. Antes del año 1824</w:t>
      </w:r>
      <w:r w:rsidR="00A7594E" w:rsidRPr="00A95087">
        <w:rPr>
          <w:rFonts w:ascii="Arial" w:hAnsi="Arial" w:cs="Arial"/>
          <w:color w:val="000000" w:themeColor="text1"/>
          <w:sz w:val="24"/>
          <w:szCs w:val="24"/>
          <w:shd w:val="clear" w:color="auto" w:fill="FFFFFF"/>
        </w:rPr>
        <w:t>,</w:t>
      </w:r>
      <w:r w:rsidR="00B52823" w:rsidRPr="00A95087">
        <w:rPr>
          <w:rFonts w:ascii="Arial" w:hAnsi="Arial" w:cs="Arial"/>
          <w:color w:val="000000" w:themeColor="text1"/>
          <w:sz w:val="24"/>
          <w:szCs w:val="24"/>
          <w:shd w:val="clear" w:color="auto" w:fill="FFFFFF"/>
        </w:rPr>
        <w:t xml:space="preserve"> la naturaleza de la función de fiscalización se enfocaba a fortalecer y complementar la actividad de recaudación; desde 1824 </w:t>
      </w:r>
      <w:r w:rsidR="002B6C52">
        <w:rPr>
          <w:rFonts w:ascii="Arial" w:hAnsi="Arial" w:cs="Arial"/>
          <w:color w:val="000000" w:themeColor="text1"/>
          <w:sz w:val="24"/>
          <w:szCs w:val="24"/>
          <w:shd w:val="clear" w:color="auto" w:fill="FFFFFF"/>
        </w:rPr>
        <w:t>y hasta el</w:t>
      </w:r>
      <w:r w:rsidR="00B52823" w:rsidRPr="00A95087">
        <w:rPr>
          <w:rFonts w:ascii="Arial" w:hAnsi="Arial" w:cs="Arial"/>
          <w:color w:val="000000" w:themeColor="text1"/>
          <w:sz w:val="24"/>
          <w:szCs w:val="24"/>
          <w:shd w:val="clear" w:color="auto" w:fill="FFFFFF"/>
        </w:rPr>
        <w:t xml:space="preserve"> 2000 su ámbito de actuación se direccionó a la revisión de la cuenta pública y del cumplimiento de la normatividad</w:t>
      </w:r>
      <w:r w:rsidR="002B6C52">
        <w:rPr>
          <w:rFonts w:ascii="Arial" w:hAnsi="Arial" w:cs="Arial"/>
          <w:color w:val="000000" w:themeColor="text1"/>
          <w:sz w:val="24"/>
          <w:szCs w:val="24"/>
          <w:shd w:val="clear" w:color="auto" w:fill="FFFFFF"/>
        </w:rPr>
        <w:t xml:space="preserve">, y </w:t>
      </w:r>
      <w:r w:rsidR="00B52823" w:rsidRPr="00A95087">
        <w:rPr>
          <w:rFonts w:ascii="Arial" w:hAnsi="Arial" w:cs="Arial"/>
          <w:color w:val="000000" w:themeColor="text1"/>
          <w:sz w:val="24"/>
          <w:szCs w:val="24"/>
          <w:shd w:val="clear" w:color="auto" w:fill="FFFFFF"/>
        </w:rPr>
        <w:t>a partir del año 2000</w:t>
      </w:r>
      <w:r w:rsidR="002B6C52">
        <w:rPr>
          <w:rFonts w:ascii="Arial" w:hAnsi="Arial" w:cs="Arial"/>
          <w:color w:val="000000" w:themeColor="text1"/>
          <w:sz w:val="24"/>
          <w:szCs w:val="24"/>
          <w:shd w:val="clear" w:color="auto" w:fill="FFFFFF"/>
        </w:rPr>
        <w:t xml:space="preserve"> hasta nuestros días </w:t>
      </w:r>
      <w:r w:rsidR="00B52823" w:rsidRPr="00A95087">
        <w:rPr>
          <w:rFonts w:ascii="Arial" w:hAnsi="Arial" w:cs="Arial"/>
          <w:color w:val="000000" w:themeColor="text1"/>
          <w:sz w:val="24"/>
          <w:szCs w:val="24"/>
          <w:shd w:val="clear" w:color="auto" w:fill="FFFFFF"/>
        </w:rPr>
        <w:t xml:space="preserve">se adopta el término de fiscalización superior, mismo que </w:t>
      </w:r>
      <w:r w:rsidR="002D36E4">
        <w:rPr>
          <w:rFonts w:ascii="Arial" w:hAnsi="Arial" w:cs="Arial"/>
          <w:color w:val="000000" w:themeColor="text1"/>
          <w:sz w:val="24"/>
          <w:szCs w:val="24"/>
          <w:shd w:val="clear" w:color="auto" w:fill="FFFFFF"/>
        </w:rPr>
        <w:t>se encuentra en un constante cambio</w:t>
      </w:r>
      <w:r w:rsidR="00B52823" w:rsidRPr="00A95087">
        <w:rPr>
          <w:rFonts w:ascii="Arial" w:hAnsi="Arial" w:cs="Arial"/>
          <w:color w:val="000000" w:themeColor="text1"/>
          <w:sz w:val="24"/>
          <w:szCs w:val="24"/>
          <w:shd w:val="clear" w:color="auto" w:fill="FFFFFF"/>
        </w:rPr>
        <w:t xml:space="preserve"> por efecto de la normatividad </w:t>
      </w:r>
      <w:r w:rsidR="002D36E4">
        <w:rPr>
          <w:rFonts w:ascii="Arial" w:hAnsi="Arial" w:cs="Arial"/>
          <w:color w:val="000000" w:themeColor="text1"/>
          <w:sz w:val="24"/>
          <w:szCs w:val="24"/>
          <w:shd w:val="clear" w:color="auto" w:fill="FFFFFF"/>
        </w:rPr>
        <w:t>d</w:t>
      </w:r>
      <w:r w:rsidR="00B52823" w:rsidRPr="00A95087">
        <w:rPr>
          <w:rFonts w:ascii="Arial" w:hAnsi="Arial" w:cs="Arial"/>
          <w:color w:val="000000" w:themeColor="text1"/>
          <w:sz w:val="24"/>
          <w:szCs w:val="24"/>
          <w:shd w:val="clear" w:color="auto" w:fill="FFFFFF"/>
        </w:rPr>
        <w:t>el año 2015 en materia</w:t>
      </w:r>
      <w:r w:rsidR="002D36E4">
        <w:rPr>
          <w:rFonts w:ascii="Arial" w:hAnsi="Arial" w:cs="Arial"/>
          <w:color w:val="000000" w:themeColor="text1"/>
          <w:sz w:val="24"/>
          <w:szCs w:val="24"/>
          <w:shd w:val="clear" w:color="auto" w:fill="FFFFFF"/>
        </w:rPr>
        <w:t xml:space="preserve"> de</w:t>
      </w:r>
      <w:r w:rsidR="00B52823" w:rsidRPr="00A95087">
        <w:rPr>
          <w:rFonts w:ascii="Arial" w:hAnsi="Arial" w:cs="Arial"/>
          <w:color w:val="000000" w:themeColor="text1"/>
          <w:sz w:val="24"/>
          <w:szCs w:val="24"/>
          <w:shd w:val="clear" w:color="auto" w:fill="FFFFFF"/>
        </w:rPr>
        <w:t xml:space="preserve"> anticorrupción.</w:t>
      </w:r>
      <w:r w:rsidR="00B52823" w:rsidRPr="00A95087">
        <w:rPr>
          <w:rStyle w:val="Refdenotaalpie"/>
          <w:rFonts w:ascii="Arial" w:hAnsi="Arial" w:cs="Arial"/>
          <w:color w:val="000000" w:themeColor="text1"/>
          <w:sz w:val="24"/>
          <w:szCs w:val="24"/>
          <w:shd w:val="clear" w:color="auto" w:fill="FFFFFF"/>
        </w:rPr>
        <w:footnoteReference w:id="1"/>
      </w:r>
    </w:p>
    <w:p w14:paraId="6C818C19" w14:textId="605A8803" w:rsidR="00FC7FAE" w:rsidRDefault="00FC7FAE" w:rsidP="002D36E4">
      <w:pPr>
        <w:spacing w:after="0" w:line="360" w:lineRule="auto"/>
        <w:jc w:val="both"/>
        <w:rPr>
          <w:rFonts w:ascii="Arial" w:hAnsi="Arial" w:cs="Arial"/>
          <w:color w:val="000000" w:themeColor="text1"/>
          <w:sz w:val="24"/>
          <w:szCs w:val="24"/>
          <w:shd w:val="clear" w:color="auto" w:fill="FFFFFF"/>
        </w:rPr>
      </w:pPr>
    </w:p>
    <w:p w14:paraId="7250757B" w14:textId="603DED25" w:rsidR="002D36E4" w:rsidRDefault="002B6C52" w:rsidP="002D36E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La fiscalización superior tiene como una de sus principales funciones </w:t>
      </w:r>
      <w:r w:rsidR="002D36E4" w:rsidRPr="002D36E4">
        <w:rPr>
          <w:rFonts w:ascii="Arial" w:hAnsi="Arial" w:cs="Arial"/>
          <w:color w:val="000000" w:themeColor="text1"/>
          <w:sz w:val="24"/>
          <w:szCs w:val="24"/>
          <w:shd w:val="clear" w:color="auto" w:fill="FFFFFF"/>
        </w:rPr>
        <w:t>evaluar a fondo el origen y el destino</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de los recursos públicos</w:t>
      </w:r>
      <w:r w:rsidR="002D36E4">
        <w:rPr>
          <w:rFonts w:ascii="Arial" w:hAnsi="Arial" w:cs="Arial"/>
          <w:color w:val="000000" w:themeColor="text1"/>
          <w:sz w:val="24"/>
          <w:szCs w:val="24"/>
          <w:shd w:val="clear" w:color="auto" w:fill="FFFFFF"/>
        </w:rPr>
        <w:t xml:space="preserve">, así como </w:t>
      </w:r>
      <w:r w:rsidR="002D36E4" w:rsidRPr="002D36E4">
        <w:rPr>
          <w:rFonts w:ascii="Arial" w:hAnsi="Arial" w:cs="Arial"/>
          <w:color w:val="000000" w:themeColor="text1"/>
          <w:sz w:val="24"/>
          <w:szCs w:val="24"/>
          <w:shd w:val="clear" w:color="auto" w:fill="FFFFFF"/>
        </w:rPr>
        <w:t>evaluar el desempeño institucional de los titulares de</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los</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entes auditados</w:t>
      </w:r>
      <w:r>
        <w:rPr>
          <w:rFonts w:ascii="Arial" w:hAnsi="Arial" w:cs="Arial"/>
          <w:color w:val="000000" w:themeColor="text1"/>
          <w:sz w:val="24"/>
          <w:szCs w:val="24"/>
          <w:shd w:val="clear" w:color="auto" w:fill="FFFFFF"/>
        </w:rPr>
        <w:t>. Si bien</w:t>
      </w:r>
      <w:r w:rsidR="002D36E4" w:rsidRPr="002D36E4">
        <w:rPr>
          <w:rFonts w:ascii="Arial" w:hAnsi="Arial" w:cs="Arial"/>
          <w:color w:val="000000" w:themeColor="text1"/>
          <w:sz w:val="24"/>
          <w:szCs w:val="24"/>
          <w:shd w:val="clear" w:color="auto" w:fill="FFFFFF"/>
        </w:rPr>
        <w:t>, en situaciones extremas y excepcionales</w:t>
      </w:r>
      <w:r>
        <w:rPr>
          <w:rFonts w:ascii="Arial" w:hAnsi="Arial" w:cs="Arial"/>
          <w:color w:val="000000" w:themeColor="text1"/>
          <w:sz w:val="24"/>
          <w:szCs w:val="24"/>
          <w:shd w:val="clear" w:color="auto" w:fill="FFFFFF"/>
        </w:rPr>
        <w:t>,</w:t>
      </w:r>
      <w:r w:rsidR="002D36E4" w:rsidRPr="002D36E4">
        <w:rPr>
          <w:rFonts w:ascii="Arial" w:hAnsi="Arial" w:cs="Arial"/>
          <w:color w:val="000000" w:themeColor="text1"/>
          <w:sz w:val="24"/>
          <w:szCs w:val="24"/>
          <w:shd w:val="clear" w:color="auto" w:fill="FFFFFF"/>
        </w:rPr>
        <w:t xml:space="preserve"> el desvío de</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 xml:space="preserve">recursos surge de una motivación personal por el bienestar propio, la </w:t>
      </w:r>
      <w:r>
        <w:rPr>
          <w:rFonts w:ascii="Arial" w:hAnsi="Arial" w:cs="Arial"/>
          <w:color w:val="000000" w:themeColor="text1"/>
          <w:sz w:val="24"/>
          <w:szCs w:val="24"/>
          <w:shd w:val="clear" w:color="auto" w:fill="FFFFFF"/>
        </w:rPr>
        <w:t>práctica</w:t>
      </w:r>
      <w:r w:rsidR="002D36E4" w:rsidRPr="002D36E4">
        <w:rPr>
          <w:rFonts w:ascii="Arial" w:hAnsi="Arial" w:cs="Arial"/>
          <w:color w:val="000000" w:themeColor="text1"/>
          <w:sz w:val="24"/>
          <w:szCs w:val="24"/>
          <w:shd w:val="clear" w:color="auto" w:fill="FFFFFF"/>
        </w:rPr>
        <w:t xml:space="preserve"> de</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estas conductas incrementa como consecuencia de la discrecionalidad,</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opacidad y ambigüedad de las normas que definen las responsabilidades y los</w:t>
      </w:r>
      <w:r w:rsidR="002D36E4">
        <w:rPr>
          <w:rFonts w:ascii="Arial" w:hAnsi="Arial" w:cs="Arial"/>
          <w:color w:val="000000" w:themeColor="text1"/>
          <w:sz w:val="24"/>
          <w:szCs w:val="24"/>
          <w:shd w:val="clear" w:color="auto" w:fill="FFFFFF"/>
        </w:rPr>
        <w:t xml:space="preserve"> </w:t>
      </w:r>
      <w:r w:rsidR="002D36E4" w:rsidRPr="002D36E4">
        <w:rPr>
          <w:rFonts w:ascii="Arial" w:hAnsi="Arial" w:cs="Arial"/>
          <w:color w:val="000000" w:themeColor="text1"/>
          <w:sz w:val="24"/>
          <w:szCs w:val="24"/>
          <w:shd w:val="clear" w:color="auto" w:fill="FFFFFF"/>
        </w:rPr>
        <w:t>derechos de las autoridades encargadas de administrar los recursos públicos.</w:t>
      </w:r>
      <w:r w:rsidR="00542E73">
        <w:rPr>
          <w:rStyle w:val="Refdenotaalpie"/>
          <w:rFonts w:ascii="Arial" w:hAnsi="Arial" w:cs="Arial"/>
          <w:color w:val="000000" w:themeColor="text1"/>
          <w:sz w:val="24"/>
          <w:szCs w:val="24"/>
          <w:shd w:val="clear" w:color="auto" w:fill="FFFFFF"/>
        </w:rPr>
        <w:footnoteReference w:id="2"/>
      </w:r>
    </w:p>
    <w:p w14:paraId="33DF7241" w14:textId="77777777" w:rsidR="002D36E4" w:rsidRDefault="002D36E4" w:rsidP="002D36E4">
      <w:pPr>
        <w:spacing w:after="0" w:line="360" w:lineRule="auto"/>
        <w:jc w:val="both"/>
        <w:rPr>
          <w:rFonts w:ascii="Arial" w:hAnsi="Arial" w:cs="Arial"/>
          <w:color w:val="000000" w:themeColor="text1"/>
          <w:sz w:val="24"/>
          <w:szCs w:val="24"/>
          <w:shd w:val="clear" w:color="auto" w:fill="FFFFFF"/>
        </w:rPr>
      </w:pPr>
    </w:p>
    <w:p w14:paraId="447A3582" w14:textId="3047767B" w:rsidR="00596D62" w:rsidRPr="00596D62" w:rsidRDefault="002B6C52" w:rsidP="00596D62">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Al respecto</w:t>
      </w:r>
      <w:r w:rsidR="009C2D71">
        <w:rPr>
          <w:rFonts w:ascii="Arial" w:hAnsi="Arial" w:cs="Arial"/>
          <w:color w:val="000000" w:themeColor="text1"/>
          <w:sz w:val="24"/>
          <w:szCs w:val="24"/>
          <w:shd w:val="clear" w:color="auto" w:fill="FFFFFF"/>
        </w:rPr>
        <w:t>, e</w:t>
      </w:r>
      <w:r w:rsidR="00596D62" w:rsidRPr="00596D62">
        <w:rPr>
          <w:rFonts w:ascii="Arial" w:hAnsi="Arial" w:cs="Arial"/>
          <w:color w:val="000000" w:themeColor="text1"/>
          <w:sz w:val="24"/>
          <w:szCs w:val="24"/>
          <w:shd w:val="clear" w:color="auto" w:fill="FFFFFF"/>
        </w:rPr>
        <w:t>l artículo 61 de la Constitución Política del Estado Libre y Soberano de México, establece en su fracción XXXIII,</w:t>
      </w:r>
      <w:r w:rsidR="00596D62">
        <w:rPr>
          <w:rFonts w:ascii="Arial" w:hAnsi="Arial" w:cs="Arial"/>
          <w:color w:val="000000" w:themeColor="text1"/>
          <w:sz w:val="24"/>
          <w:szCs w:val="24"/>
          <w:shd w:val="clear" w:color="auto" w:fill="FFFFFF"/>
        </w:rPr>
        <w:t xml:space="preserve"> </w:t>
      </w:r>
      <w:r w:rsidR="00596D62" w:rsidRPr="00596D62">
        <w:rPr>
          <w:rFonts w:ascii="Arial" w:hAnsi="Arial" w:cs="Arial"/>
          <w:color w:val="000000" w:themeColor="text1"/>
          <w:sz w:val="24"/>
          <w:szCs w:val="24"/>
          <w:shd w:val="clear" w:color="auto" w:fill="FFFFFF"/>
        </w:rPr>
        <w:t>como facultad de la Legislatura</w:t>
      </w:r>
      <w:r w:rsidR="00542E73">
        <w:rPr>
          <w:rFonts w:ascii="Arial" w:hAnsi="Arial" w:cs="Arial"/>
          <w:color w:val="000000" w:themeColor="text1"/>
          <w:sz w:val="24"/>
          <w:szCs w:val="24"/>
          <w:shd w:val="clear" w:color="auto" w:fill="FFFFFF"/>
        </w:rPr>
        <w:t xml:space="preserve"> Mexiquense</w:t>
      </w:r>
      <w:r w:rsidR="00596D62" w:rsidRPr="00596D62">
        <w:rPr>
          <w:rFonts w:ascii="Arial" w:hAnsi="Arial" w:cs="Arial"/>
          <w:color w:val="000000" w:themeColor="text1"/>
          <w:sz w:val="24"/>
          <w:szCs w:val="24"/>
          <w:shd w:val="clear" w:color="auto" w:fill="FFFFFF"/>
        </w:rPr>
        <w:t>, lo siguiente:</w:t>
      </w:r>
    </w:p>
    <w:p w14:paraId="65CF4672" w14:textId="77777777" w:rsidR="00542E73" w:rsidRDefault="00542E73" w:rsidP="00087F15">
      <w:pPr>
        <w:spacing w:after="0" w:line="240" w:lineRule="auto"/>
        <w:ind w:left="567" w:right="567"/>
        <w:jc w:val="both"/>
        <w:rPr>
          <w:rFonts w:ascii="Arial" w:hAnsi="Arial" w:cs="Arial"/>
          <w:i/>
          <w:iCs/>
          <w:color w:val="000000" w:themeColor="text1"/>
          <w:sz w:val="20"/>
          <w:szCs w:val="20"/>
          <w:shd w:val="clear" w:color="auto" w:fill="FFFFFF"/>
        </w:rPr>
      </w:pPr>
    </w:p>
    <w:p w14:paraId="59712E8B" w14:textId="4E63CD7E" w:rsidR="00087F15" w:rsidRDefault="00087F15" w:rsidP="00087F15">
      <w:pPr>
        <w:spacing w:after="0" w:line="240" w:lineRule="auto"/>
        <w:ind w:left="567" w:right="567"/>
        <w:jc w:val="both"/>
        <w:rPr>
          <w:rFonts w:ascii="Arial" w:hAnsi="Arial" w:cs="Arial"/>
          <w:i/>
          <w:iCs/>
          <w:color w:val="000000" w:themeColor="text1"/>
          <w:sz w:val="20"/>
          <w:szCs w:val="20"/>
          <w:shd w:val="clear" w:color="auto" w:fill="FFFFFF"/>
        </w:rPr>
      </w:pPr>
      <w:r>
        <w:rPr>
          <w:rFonts w:ascii="Arial" w:hAnsi="Arial" w:cs="Arial"/>
          <w:i/>
          <w:iCs/>
          <w:color w:val="000000" w:themeColor="text1"/>
          <w:sz w:val="20"/>
          <w:szCs w:val="20"/>
          <w:shd w:val="clear" w:color="auto" w:fill="FFFFFF"/>
        </w:rPr>
        <w:t>Artículo 61. …</w:t>
      </w:r>
    </w:p>
    <w:p w14:paraId="45D682D7" w14:textId="77777777" w:rsidR="00087F15" w:rsidRDefault="00087F15" w:rsidP="00087F15">
      <w:pPr>
        <w:spacing w:after="0" w:line="240" w:lineRule="auto"/>
        <w:ind w:left="567" w:right="567"/>
        <w:jc w:val="both"/>
        <w:rPr>
          <w:rFonts w:ascii="Arial" w:hAnsi="Arial" w:cs="Arial"/>
          <w:i/>
          <w:iCs/>
          <w:color w:val="000000" w:themeColor="text1"/>
          <w:sz w:val="20"/>
          <w:szCs w:val="20"/>
          <w:shd w:val="clear" w:color="auto" w:fill="FFFFFF"/>
        </w:rPr>
      </w:pPr>
    </w:p>
    <w:p w14:paraId="4BBFED7E" w14:textId="1C68FD8D" w:rsidR="00596D62" w:rsidRPr="00A96E56" w:rsidRDefault="00087F15" w:rsidP="00087F15">
      <w:pPr>
        <w:spacing w:after="0" w:line="240" w:lineRule="auto"/>
        <w:ind w:left="567" w:right="567"/>
        <w:jc w:val="both"/>
        <w:rPr>
          <w:rFonts w:ascii="Arial" w:hAnsi="Arial" w:cs="Arial"/>
          <w:b/>
          <w:bCs/>
          <w:color w:val="000000" w:themeColor="text1"/>
          <w:sz w:val="20"/>
          <w:szCs w:val="20"/>
          <w:shd w:val="clear" w:color="auto" w:fill="FFFFFF"/>
        </w:rPr>
      </w:pPr>
      <w:r>
        <w:rPr>
          <w:rFonts w:ascii="Arial" w:hAnsi="Arial" w:cs="Arial"/>
          <w:i/>
          <w:iCs/>
          <w:color w:val="000000" w:themeColor="text1"/>
          <w:sz w:val="20"/>
          <w:szCs w:val="20"/>
          <w:shd w:val="clear" w:color="auto" w:fill="FFFFFF"/>
        </w:rPr>
        <w:t xml:space="preserve">XXXIII. </w:t>
      </w:r>
      <w:r w:rsidR="00596D62" w:rsidRPr="00A96E56">
        <w:rPr>
          <w:rFonts w:ascii="Arial" w:hAnsi="Arial" w:cs="Arial"/>
          <w:b/>
          <w:bCs/>
          <w:i/>
          <w:iCs/>
          <w:color w:val="000000" w:themeColor="text1"/>
          <w:sz w:val="20"/>
          <w:szCs w:val="20"/>
          <w:shd w:val="clear" w:color="auto" w:fill="FFFFFF"/>
        </w:rPr>
        <w:t>Revisar, por conducto del Órgano Superior de Fiscalización del Estado de México, las cuentas y actos relativos a la aplicación de los fondos públicos del Estado y de los Municipios</w:t>
      </w:r>
      <w:r w:rsidR="00596D62" w:rsidRPr="00596D62">
        <w:rPr>
          <w:rFonts w:ascii="Arial" w:hAnsi="Arial" w:cs="Arial"/>
          <w:i/>
          <w:iCs/>
          <w:color w:val="000000" w:themeColor="text1"/>
          <w:sz w:val="20"/>
          <w:szCs w:val="20"/>
          <w:shd w:val="clear" w:color="auto" w:fill="FFFFFF"/>
        </w:rPr>
        <w:t>, así como fondos públicos federales en los términos convenidos con dicho ámbito que incluirán la información correspondiente a los Poderes Públicos, organismos autónomos, organismos auxiliares, fideicomisos públicos o privados y demás entes que manejen recursos del Estado y Municipios.</w:t>
      </w:r>
      <w:r w:rsidR="00A96E56">
        <w:rPr>
          <w:rFonts w:ascii="Arial" w:hAnsi="Arial" w:cs="Arial"/>
          <w:i/>
          <w:iCs/>
          <w:color w:val="000000" w:themeColor="text1"/>
          <w:sz w:val="20"/>
          <w:szCs w:val="20"/>
          <w:shd w:val="clear" w:color="auto" w:fill="FFFFFF"/>
        </w:rPr>
        <w:t xml:space="preserve"> </w:t>
      </w:r>
      <w:r w:rsidR="00A96E56" w:rsidRPr="00A96E56">
        <w:rPr>
          <w:rFonts w:ascii="Arial" w:hAnsi="Arial" w:cs="Arial"/>
          <w:b/>
          <w:bCs/>
          <w:color w:val="000000" w:themeColor="text1"/>
          <w:sz w:val="20"/>
          <w:szCs w:val="20"/>
          <w:shd w:val="clear" w:color="auto" w:fill="FFFFFF"/>
        </w:rPr>
        <w:t>(Énfasis añadido).</w:t>
      </w:r>
    </w:p>
    <w:p w14:paraId="1519AF78" w14:textId="156D3915" w:rsidR="00087F15" w:rsidRDefault="00087F15" w:rsidP="00087F15">
      <w:pPr>
        <w:spacing w:after="0" w:line="240" w:lineRule="auto"/>
        <w:ind w:left="567" w:right="567"/>
        <w:jc w:val="both"/>
        <w:rPr>
          <w:rFonts w:ascii="Arial" w:hAnsi="Arial" w:cs="Arial"/>
          <w:i/>
          <w:iCs/>
          <w:color w:val="000000" w:themeColor="text1"/>
          <w:sz w:val="20"/>
          <w:szCs w:val="20"/>
          <w:shd w:val="clear" w:color="auto" w:fill="FFFFFF"/>
        </w:rPr>
      </w:pPr>
    </w:p>
    <w:p w14:paraId="1A33993C" w14:textId="3500B267" w:rsidR="00087F15" w:rsidRPr="00596D62" w:rsidRDefault="00087F15" w:rsidP="00087F15">
      <w:pPr>
        <w:spacing w:after="0" w:line="240" w:lineRule="auto"/>
        <w:ind w:left="567" w:right="567"/>
        <w:jc w:val="both"/>
        <w:rPr>
          <w:rFonts w:ascii="Arial" w:hAnsi="Arial" w:cs="Arial"/>
          <w:i/>
          <w:iCs/>
          <w:color w:val="000000" w:themeColor="text1"/>
          <w:sz w:val="20"/>
          <w:szCs w:val="20"/>
          <w:shd w:val="clear" w:color="auto" w:fill="FFFFFF"/>
        </w:rPr>
      </w:pPr>
      <w:r>
        <w:rPr>
          <w:rFonts w:ascii="Arial" w:hAnsi="Arial" w:cs="Arial"/>
          <w:i/>
          <w:iCs/>
          <w:color w:val="000000" w:themeColor="text1"/>
          <w:sz w:val="20"/>
          <w:szCs w:val="20"/>
          <w:shd w:val="clear" w:color="auto" w:fill="FFFFFF"/>
        </w:rPr>
        <w:t>…</w:t>
      </w:r>
    </w:p>
    <w:p w14:paraId="43A7615C" w14:textId="4B8573D5" w:rsidR="00596D62" w:rsidRDefault="00596D62" w:rsidP="00555AFF">
      <w:pPr>
        <w:spacing w:after="0" w:line="360" w:lineRule="auto"/>
        <w:jc w:val="both"/>
        <w:rPr>
          <w:rFonts w:ascii="Arial" w:hAnsi="Arial" w:cs="Arial"/>
          <w:color w:val="000000" w:themeColor="text1"/>
          <w:sz w:val="24"/>
          <w:szCs w:val="24"/>
          <w:shd w:val="clear" w:color="auto" w:fill="FFFFFF"/>
        </w:rPr>
      </w:pPr>
    </w:p>
    <w:p w14:paraId="59B99A27" w14:textId="581A9A3E" w:rsidR="00693778" w:rsidRDefault="00087F15" w:rsidP="00555AFF">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En cumplimiento </w:t>
      </w:r>
      <w:r w:rsidR="002B6C52">
        <w:rPr>
          <w:rFonts w:ascii="Arial" w:hAnsi="Arial" w:cs="Arial"/>
          <w:color w:val="000000" w:themeColor="text1"/>
          <w:sz w:val="24"/>
          <w:szCs w:val="24"/>
          <w:shd w:val="clear" w:color="auto" w:fill="FFFFFF"/>
        </w:rPr>
        <w:t>al</w:t>
      </w:r>
      <w:r>
        <w:rPr>
          <w:rFonts w:ascii="Arial" w:hAnsi="Arial" w:cs="Arial"/>
          <w:color w:val="000000" w:themeColor="text1"/>
          <w:sz w:val="24"/>
          <w:szCs w:val="24"/>
          <w:shd w:val="clear" w:color="auto" w:fill="FFFFFF"/>
        </w:rPr>
        <w:t xml:space="preserve"> </w:t>
      </w:r>
      <w:r w:rsidR="002B6C52">
        <w:rPr>
          <w:rFonts w:ascii="Arial" w:hAnsi="Arial" w:cs="Arial"/>
          <w:color w:val="000000" w:themeColor="text1"/>
          <w:sz w:val="24"/>
          <w:szCs w:val="24"/>
          <w:shd w:val="clear" w:color="auto" w:fill="FFFFFF"/>
        </w:rPr>
        <w:t xml:space="preserve">citado </w:t>
      </w:r>
      <w:r>
        <w:rPr>
          <w:rFonts w:ascii="Arial" w:hAnsi="Arial" w:cs="Arial"/>
          <w:color w:val="000000" w:themeColor="text1"/>
          <w:sz w:val="24"/>
          <w:szCs w:val="24"/>
          <w:shd w:val="clear" w:color="auto" w:fill="FFFFFF"/>
        </w:rPr>
        <w:t>artículo, e</w:t>
      </w:r>
      <w:r w:rsidR="00693778" w:rsidRPr="00693778">
        <w:rPr>
          <w:rFonts w:ascii="Arial" w:hAnsi="Arial" w:cs="Arial"/>
          <w:color w:val="000000" w:themeColor="text1"/>
          <w:sz w:val="24"/>
          <w:szCs w:val="24"/>
          <w:shd w:val="clear" w:color="auto" w:fill="FFFFFF"/>
        </w:rPr>
        <w:t xml:space="preserve">l </w:t>
      </w:r>
      <w:bookmarkStart w:id="3" w:name="_Hlk118966649"/>
      <w:r w:rsidR="00693778" w:rsidRPr="00693778">
        <w:rPr>
          <w:rFonts w:ascii="Arial" w:hAnsi="Arial" w:cs="Arial"/>
          <w:color w:val="000000" w:themeColor="text1"/>
          <w:sz w:val="24"/>
          <w:szCs w:val="24"/>
          <w:shd w:val="clear" w:color="auto" w:fill="FFFFFF"/>
        </w:rPr>
        <w:t>Órgano Superior de Fiscalización del Estado de México (OSFEM)</w:t>
      </w:r>
      <w:bookmarkEnd w:id="3"/>
      <w:r w:rsidR="00693778" w:rsidRPr="00693778">
        <w:rPr>
          <w:rFonts w:ascii="Arial" w:hAnsi="Arial" w:cs="Arial"/>
          <w:color w:val="000000" w:themeColor="text1"/>
          <w:sz w:val="24"/>
          <w:szCs w:val="24"/>
          <w:shd w:val="clear" w:color="auto" w:fill="FFFFFF"/>
        </w:rPr>
        <w:t xml:space="preserve"> tiene como facultad la recepción, revisión y fiscalización de las cuentas públicas, aplicación de fondos públicos, la administración de los ingresos y egresos del Estado y de los municipios; la determinación de daños y perjuicios que afecten a la hacienda o patrimonio público, así como la promoción de responsabilidades legales procedentes y sanciones que correspondan a los servidores públicos y particulares vinculados con el ejercicio de recursos públicos.</w:t>
      </w:r>
    </w:p>
    <w:p w14:paraId="19F9EC82" w14:textId="77777777" w:rsidR="00693778" w:rsidRDefault="00693778" w:rsidP="00555AFF">
      <w:pPr>
        <w:spacing w:after="0" w:line="360" w:lineRule="auto"/>
        <w:jc w:val="both"/>
        <w:rPr>
          <w:rFonts w:ascii="Arial" w:hAnsi="Arial" w:cs="Arial"/>
          <w:color w:val="000000" w:themeColor="text1"/>
          <w:sz w:val="24"/>
          <w:szCs w:val="24"/>
          <w:shd w:val="clear" w:color="auto" w:fill="FFFFFF"/>
        </w:rPr>
      </w:pPr>
    </w:p>
    <w:p w14:paraId="647DD313" w14:textId="02483527" w:rsidR="00C76533" w:rsidRDefault="00A96E56" w:rsidP="00C76533">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A su vez</w:t>
      </w:r>
      <w:r w:rsidR="00C76533" w:rsidRPr="00C76533">
        <w:rPr>
          <w:rFonts w:ascii="Arial" w:hAnsi="Arial" w:cs="Arial"/>
          <w:color w:val="000000" w:themeColor="text1"/>
          <w:sz w:val="24"/>
          <w:szCs w:val="24"/>
          <w:shd w:val="clear" w:color="auto" w:fill="FFFFFF"/>
        </w:rPr>
        <w:t>, las autoridades municipales</w:t>
      </w:r>
      <w:r>
        <w:rPr>
          <w:rFonts w:ascii="Arial" w:hAnsi="Arial" w:cs="Arial"/>
          <w:color w:val="000000" w:themeColor="text1"/>
          <w:sz w:val="24"/>
          <w:szCs w:val="24"/>
          <w:shd w:val="clear" w:color="auto" w:fill="FFFFFF"/>
        </w:rPr>
        <w:t xml:space="preserve"> tienen el deber de</w:t>
      </w:r>
      <w:r w:rsidR="00C76533" w:rsidRPr="00C76533">
        <w:rPr>
          <w:rFonts w:ascii="Arial" w:hAnsi="Arial" w:cs="Arial"/>
          <w:color w:val="000000" w:themeColor="text1"/>
          <w:sz w:val="24"/>
          <w:szCs w:val="24"/>
          <w:shd w:val="clear" w:color="auto" w:fill="FFFFFF"/>
        </w:rPr>
        <w:t xml:space="preserve"> presentar la cuenta</w:t>
      </w:r>
      <w:r>
        <w:rPr>
          <w:rFonts w:ascii="Arial" w:hAnsi="Arial" w:cs="Arial"/>
          <w:color w:val="000000" w:themeColor="text1"/>
          <w:sz w:val="24"/>
          <w:szCs w:val="24"/>
          <w:shd w:val="clear" w:color="auto" w:fill="FFFFFF"/>
        </w:rPr>
        <w:t xml:space="preserve"> pública</w:t>
      </w:r>
      <w:r w:rsidR="00C76533" w:rsidRPr="00C76533">
        <w:rPr>
          <w:rFonts w:ascii="Arial" w:hAnsi="Arial" w:cs="Arial"/>
          <w:color w:val="000000" w:themeColor="text1"/>
          <w:sz w:val="24"/>
          <w:szCs w:val="24"/>
          <w:shd w:val="clear" w:color="auto" w:fill="FFFFFF"/>
        </w:rPr>
        <w:t xml:space="preserve"> al Congreso Local, </w:t>
      </w:r>
      <w:r>
        <w:rPr>
          <w:rFonts w:ascii="Arial" w:hAnsi="Arial" w:cs="Arial"/>
          <w:color w:val="000000" w:themeColor="text1"/>
          <w:sz w:val="24"/>
          <w:szCs w:val="24"/>
          <w:shd w:val="clear" w:color="auto" w:fill="FFFFFF"/>
        </w:rPr>
        <w:t>como parte de</w:t>
      </w:r>
      <w:r w:rsidR="00087F15">
        <w:rPr>
          <w:rFonts w:ascii="Arial" w:hAnsi="Arial" w:cs="Arial"/>
          <w:color w:val="000000" w:themeColor="text1"/>
          <w:sz w:val="24"/>
          <w:szCs w:val="24"/>
          <w:shd w:val="clear" w:color="auto" w:fill="FFFFFF"/>
        </w:rPr>
        <w:t xml:space="preserve"> su obligación de</w:t>
      </w:r>
      <w:r w:rsidR="00C76533" w:rsidRPr="00C76533">
        <w:rPr>
          <w:rFonts w:ascii="Arial" w:hAnsi="Arial" w:cs="Arial"/>
          <w:color w:val="000000" w:themeColor="text1"/>
          <w:sz w:val="24"/>
          <w:szCs w:val="24"/>
          <w:shd w:val="clear" w:color="auto" w:fill="FFFFFF"/>
        </w:rPr>
        <w:t xml:space="preserve"> </w:t>
      </w:r>
      <w:r w:rsidR="00087F15">
        <w:rPr>
          <w:rFonts w:ascii="Arial" w:hAnsi="Arial" w:cs="Arial"/>
          <w:color w:val="000000" w:themeColor="text1"/>
          <w:sz w:val="24"/>
          <w:szCs w:val="24"/>
          <w:shd w:val="clear" w:color="auto" w:fill="FFFFFF"/>
        </w:rPr>
        <w:t>informar</w:t>
      </w:r>
      <w:r w:rsidR="00C76533" w:rsidRPr="00C76533">
        <w:rPr>
          <w:rFonts w:ascii="Arial" w:hAnsi="Arial" w:cs="Arial"/>
          <w:color w:val="000000" w:themeColor="text1"/>
          <w:sz w:val="24"/>
          <w:szCs w:val="24"/>
          <w:shd w:val="clear" w:color="auto" w:fill="FFFFFF"/>
        </w:rPr>
        <w:t xml:space="preserve"> sobre el manejo de las finanzas pública</w:t>
      </w:r>
      <w:r>
        <w:rPr>
          <w:rFonts w:ascii="Arial" w:hAnsi="Arial" w:cs="Arial"/>
          <w:color w:val="000000" w:themeColor="text1"/>
          <w:sz w:val="24"/>
          <w:szCs w:val="24"/>
          <w:shd w:val="clear" w:color="auto" w:fill="FFFFFF"/>
        </w:rPr>
        <w:t>s</w:t>
      </w:r>
      <w:r w:rsidR="00C76533" w:rsidRPr="00C76533">
        <w:rPr>
          <w:rFonts w:ascii="Arial" w:hAnsi="Arial" w:cs="Arial"/>
          <w:color w:val="000000" w:themeColor="text1"/>
          <w:sz w:val="24"/>
          <w:szCs w:val="24"/>
          <w:shd w:val="clear" w:color="auto" w:fill="FFFFFF"/>
        </w:rPr>
        <w:t>.</w:t>
      </w:r>
      <w:r w:rsidR="00C76533">
        <w:rPr>
          <w:rFonts w:ascii="Arial" w:hAnsi="Arial" w:cs="Arial"/>
          <w:color w:val="000000" w:themeColor="text1"/>
          <w:sz w:val="24"/>
          <w:szCs w:val="24"/>
          <w:shd w:val="clear" w:color="auto" w:fill="FFFFFF"/>
        </w:rPr>
        <w:t xml:space="preserve"> </w:t>
      </w:r>
      <w:r w:rsidR="00C76533" w:rsidRPr="00C76533">
        <w:rPr>
          <w:rFonts w:ascii="Arial" w:hAnsi="Arial" w:cs="Arial"/>
          <w:color w:val="000000" w:themeColor="text1"/>
          <w:sz w:val="24"/>
          <w:szCs w:val="24"/>
          <w:shd w:val="clear" w:color="auto" w:fill="FFFFFF"/>
        </w:rPr>
        <w:t xml:space="preserve">Este informe </w:t>
      </w:r>
      <w:r w:rsidR="008534E1">
        <w:rPr>
          <w:rFonts w:ascii="Arial" w:hAnsi="Arial" w:cs="Arial"/>
          <w:color w:val="000000" w:themeColor="text1"/>
          <w:sz w:val="24"/>
          <w:szCs w:val="24"/>
          <w:shd w:val="clear" w:color="auto" w:fill="FFFFFF"/>
        </w:rPr>
        <w:t>debe ser</w:t>
      </w:r>
      <w:r w:rsidR="00C76533" w:rsidRPr="00C76533">
        <w:rPr>
          <w:rFonts w:ascii="Arial" w:hAnsi="Arial" w:cs="Arial"/>
          <w:color w:val="000000" w:themeColor="text1"/>
          <w:sz w:val="24"/>
          <w:szCs w:val="24"/>
          <w:shd w:val="clear" w:color="auto" w:fill="FFFFFF"/>
        </w:rPr>
        <w:t xml:space="preserve"> eficaz, si se integra debidamente</w:t>
      </w:r>
      <w:r w:rsidR="008534E1">
        <w:rPr>
          <w:rFonts w:ascii="Arial" w:hAnsi="Arial" w:cs="Arial"/>
          <w:color w:val="000000" w:themeColor="text1"/>
          <w:sz w:val="24"/>
          <w:szCs w:val="24"/>
          <w:shd w:val="clear" w:color="auto" w:fill="FFFFFF"/>
        </w:rPr>
        <w:t>,</w:t>
      </w:r>
      <w:r w:rsidR="00C76533" w:rsidRPr="00C76533">
        <w:rPr>
          <w:rFonts w:ascii="Arial" w:hAnsi="Arial" w:cs="Arial"/>
          <w:color w:val="000000" w:themeColor="text1"/>
          <w:sz w:val="24"/>
          <w:szCs w:val="24"/>
          <w:shd w:val="clear" w:color="auto" w:fill="FFFFFF"/>
        </w:rPr>
        <w:t xml:space="preserve"> en caso </w:t>
      </w:r>
      <w:r w:rsidR="00542E73">
        <w:rPr>
          <w:rFonts w:ascii="Arial" w:hAnsi="Arial" w:cs="Arial"/>
          <w:color w:val="000000" w:themeColor="text1"/>
          <w:sz w:val="24"/>
          <w:szCs w:val="24"/>
          <w:shd w:val="clear" w:color="auto" w:fill="FFFFFF"/>
        </w:rPr>
        <w:t>contrario</w:t>
      </w:r>
      <w:r w:rsidR="00C76533" w:rsidRPr="00C76533">
        <w:rPr>
          <w:rFonts w:ascii="Arial" w:hAnsi="Arial" w:cs="Arial"/>
          <w:color w:val="000000" w:themeColor="text1"/>
          <w:sz w:val="24"/>
          <w:szCs w:val="24"/>
          <w:shd w:val="clear" w:color="auto" w:fill="FFFFFF"/>
        </w:rPr>
        <w:t>, puede traer como consecuencia el fincamiento de responsabilidades a cargo de los servidores públicos involucrados.</w:t>
      </w:r>
    </w:p>
    <w:p w14:paraId="2603DB31" w14:textId="73ABC25F" w:rsidR="00693778" w:rsidRDefault="00693778" w:rsidP="00555AFF">
      <w:pPr>
        <w:spacing w:after="0" w:line="360" w:lineRule="auto"/>
        <w:jc w:val="both"/>
        <w:rPr>
          <w:rFonts w:ascii="Arial" w:hAnsi="Arial" w:cs="Arial"/>
          <w:color w:val="000000" w:themeColor="text1"/>
          <w:sz w:val="24"/>
          <w:szCs w:val="24"/>
          <w:shd w:val="clear" w:color="auto" w:fill="FFFFFF"/>
        </w:rPr>
      </w:pPr>
    </w:p>
    <w:p w14:paraId="1F4CAE66" w14:textId="7F2BC16C" w:rsidR="00693778" w:rsidRDefault="00693778" w:rsidP="00555AFF">
      <w:pPr>
        <w:spacing w:after="0" w:line="360" w:lineRule="auto"/>
        <w:jc w:val="both"/>
        <w:rPr>
          <w:rFonts w:ascii="Arial" w:hAnsi="Arial" w:cs="Arial"/>
          <w:color w:val="000000" w:themeColor="text1"/>
          <w:sz w:val="24"/>
          <w:szCs w:val="24"/>
          <w:shd w:val="clear" w:color="auto" w:fill="FFFFFF"/>
        </w:rPr>
      </w:pPr>
      <w:r w:rsidRPr="00B3224F">
        <w:rPr>
          <w:rFonts w:ascii="Arial" w:hAnsi="Arial" w:cs="Arial"/>
          <w:color w:val="000000" w:themeColor="text1"/>
          <w:sz w:val="24"/>
          <w:szCs w:val="24"/>
          <w:shd w:val="clear" w:color="auto" w:fill="FFFFFF"/>
        </w:rPr>
        <w:t xml:space="preserve">Cabe </w:t>
      </w:r>
      <w:r>
        <w:rPr>
          <w:rFonts w:ascii="Arial" w:hAnsi="Arial" w:cs="Arial"/>
          <w:color w:val="000000" w:themeColor="text1"/>
          <w:sz w:val="24"/>
          <w:szCs w:val="24"/>
          <w:shd w:val="clear" w:color="auto" w:fill="FFFFFF"/>
        </w:rPr>
        <w:t>señalar</w:t>
      </w:r>
      <w:r w:rsidRPr="00B3224F">
        <w:rPr>
          <w:rFonts w:ascii="Arial" w:hAnsi="Arial" w:cs="Arial"/>
          <w:color w:val="000000" w:themeColor="text1"/>
          <w:sz w:val="24"/>
          <w:szCs w:val="24"/>
          <w:shd w:val="clear" w:color="auto" w:fill="FFFFFF"/>
        </w:rPr>
        <w:t xml:space="preserve"> que</w:t>
      </w:r>
      <w:r w:rsidR="00A96E56">
        <w:rPr>
          <w:rFonts w:ascii="Arial" w:hAnsi="Arial" w:cs="Arial"/>
          <w:color w:val="000000" w:themeColor="text1"/>
          <w:sz w:val="24"/>
          <w:szCs w:val="24"/>
          <w:shd w:val="clear" w:color="auto" w:fill="FFFFFF"/>
        </w:rPr>
        <w:t>,</w:t>
      </w:r>
      <w:r w:rsidRPr="00B3224F">
        <w:rPr>
          <w:rFonts w:ascii="Arial" w:hAnsi="Arial" w:cs="Arial"/>
          <w:color w:val="000000" w:themeColor="text1"/>
          <w:sz w:val="24"/>
          <w:szCs w:val="24"/>
          <w:shd w:val="clear" w:color="auto" w:fill="FFFFFF"/>
        </w:rPr>
        <w:t xml:space="preserve"> las entidades fiscalizables obligadas al cumplimiento de la presentación de la Cuenta Pública Municipal</w:t>
      </w:r>
      <w:r w:rsidR="008534E1">
        <w:rPr>
          <w:rFonts w:ascii="Arial" w:hAnsi="Arial" w:cs="Arial"/>
          <w:color w:val="000000" w:themeColor="text1"/>
          <w:sz w:val="24"/>
          <w:szCs w:val="24"/>
          <w:shd w:val="clear" w:color="auto" w:fill="FFFFFF"/>
        </w:rPr>
        <w:t xml:space="preserve">, en caso de </w:t>
      </w:r>
      <w:r w:rsidR="008534E1" w:rsidRPr="00B3224F">
        <w:rPr>
          <w:rFonts w:ascii="Arial" w:hAnsi="Arial" w:cs="Arial"/>
          <w:color w:val="000000" w:themeColor="text1"/>
          <w:sz w:val="24"/>
          <w:szCs w:val="24"/>
          <w:shd w:val="clear" w:color="auto" w:fill="FFFFFF"/>
        </w:rPr>
        <w:t>omisión</w:t>
      </w:r>
      <w:r w:rsidR="00B644AB">
        <w:rPr>
          <w:rFonts w:ascii="Arial" w:hAnsi="Arial" w:cs="Arial"/>
          <w:color w:val="000000" w:themeColor="text1"/>
          <w:sz w:val="24"/>
          <w:szCs w:val="24"/>
          <w:shd w:val="clear" w:color="auto" w:fill="FFFFFF"/>
        </w:rPr>
        <w:t xml:space="preserve"> o de</w:t>
      </w:r>
      <w:r w:rsidR="008534E1" w:rsidRPr="00B3224F">
        <w:rPr>
          <w:rFonts w:ascii="Arial" w:hAnsi="Arial" w:cs="Arial"/>
          <w:color w:val="000000" w:themeColor="text1"/>
          <w:sz w:val="24"/>
          <w:szCs w:val="24"/>
          <w:shd w:val="clear" w:color="auto" w:fill="FFFFFF"/>
        </w:rPr>
        <w:t xml:space="preserve"> presentar información incompleta e incongruente que impida, retrase o entorpezca la revisión y fiscalización</w:t>
      </w:r>
      <w:r w:rsidR="002B6C52">
        <w:rPr>
          <w:rFonts w:ascii="Arial" w:hAnsi="Arial" w:cs="Arial"/>
          <w:color w:val="000000" w:themeColor="text1"/>
          <w:sz w:val="24"/>
          <w:szCs w:val="24"/>
          <w:shd w:val="clear" w:color="auto" w:fill="FFFFFF"/>
        </w:rPr>
        <w:t xml:space="preserve"> a</w:t>
      </w:r>
      <w:r w:rsidR="008534E1">
        <w:rPr>
          <w:rFonts w:ascii="Arial" w:hAnsi="Arial" w:cs="Arial"/>
          <w:color w:val="000000" w:themeColor="text1"/>
          <w:sz w:val="24"/>
          <w:szCs w:val="24"/>
          <w:shd w:val="clear" w:color="auto" w:fill="FFFFFF"/>
        </w:rPr>
        <w:t xml:space="preserve">l OSFEM, </w:t>
      </w:r>
      <w:r w:rsidRPr="00B3224F">
        <w:rPr>
          <w:rFonts w:ascii="Arial" w:hAnsi="Arial" w:cs="Arial"/>
          <w:color w:val="000000" w:themeColor="text1"/>
          <w:sz w:val="24"/>
          <w:szCs w:val="24"/>
          <w:shd w:val="clear" w:color="auto" w:fill="FFFFFF"/>
        </w:rPr>
        <w:t>se harán acreedores a las medidas de apremio y sanciones</w:t>
      </w:r>
      <w:r w:rsidR="008534E1">
        <w:rPr>
          <w:rFonts w:ascii="Arial" w:hAnsi="Arial" w:cs="Arial"/>
          <w:color w:val="000000" w:themeColor="text1"/>
          <w:sz w:val="24"/>
          <w:szCs w:val="24"/>
          <w:shd w:val="clear" w:color="auto" w:fill="FFFFFF"/>
        </w:rPr>
        <w:t>,</w:t>
      </w:r>
      <w:r w:rsidRPr="00B3224F">
        <w:rPr>
          <w:rFonts w:ascii="Arial" w:hAnsi="Arial" w:cs="Arial"/>
          <w:color w:val="000000" w:themeColor="text1"/>
          <w:sz w:val="24"/>
          <w:szCs w:val="24"/>
          <w:shd w:val="clear" w:color="auto" w:fill="FFFFFF"/>
        </w:rPr>
        <w:t xml:space="preserve"> en términos de la Ley de Fiscalización Superior del Estado de México y la Ley de Responsabilidades Administrativas del Estado de México y Municipios.</w:t>
      </w:r>
    </w:p>
    <w:p w14:paraId="6962ACA8" w14:textId="4A4F003E" w:rsidR="00B3224F" w:rsidRDefault="00B3224F" w:rsidP="00555AFF">
      <w:pPr>
        <w:spacing w:after="0" w:line="360" w:lineRule="auto"/>
        <w:jc w:val="both"/>
        <w:rPr>
          <w:rFonts w:ascii="Arial" w:hAnsi="Arial" w:cs="Arial"/>
          <w:color w:val="000000" w:themeColor="text1"/>
          <w:sz w:val="24"/>
          <w:szCs w:val="24"/>
          <w:shd w:val="clear" w:color="auto" w:fill="FFFFFF"/>
        </w:rPr>
      </w:pPr>
    </w:p>
    <w:p w14:paraId="44ADB226" w14:textId="72942099" w:rsidR="001E7A7D" w:rsidRDefault="00087F15" w:rsidP="001E7A7D">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Recientemente, el </w:t>
      </w:r>
      <w:r w:rsidR="001E7A7D" w:rsidRPr="001E7A7D">
        <w:rPr>
          <w:rFonts w:ascii="Arial" w:hAnsi="Arial" w:cs="Arial"/>
          <w:color w:val="000000" w:themeColor="text1"/>
          <w:sz w:val="24"/>
          <w:szCs w:val="24"/>
          <w:shd w:val="clear" w:color="auto" w:fill="FFFFFF"/>
        </w:rPr>
        <w:t xml:space="preserve">30 de enero de 2022, el </w:t>
      </w:r>
      <w:r>
        <w:rPr>
          <w:rFonts w:ascii="Arial" w:hAnsi="Arial" w:cs="Arial"/>
          <w:color w:val="000000" w:themeColor="text1"/>
          <w:sz w:val="24"/>
          <w:szCs w:val="24"/>
          <w:shd w:val="clear" w:color="auto" w:fill="FFFFFF"/>
        </w:rPr>
        <w:t>OSFEM</w:t>
      </w:r>
      <w:r w:rsidR="001E7A7D" w:rsidRPr="001E7A7D">
        <w:rPr>
          <w:rFonts w:ascii="Arial" w:hAnsi="Arial" w:cs="Arial"/>
          <w:color w:val="000000" w:themeColor="text1"/>
          <w:sz w:val="24"/>
          <w:szCs w:val="24"/>
          <w:shd w:val="clear" w:color="auto" w:fill="FFFFFF"/>
        </w:rPr>
        <w:t xml:space="preserve"> presentó a la LXI Legislatura</w:t>
      </w:r>
      <w:r w:rsidR="001E7A7D">
        <w:rPr>
          <w:rFonts w:ascii="Arial" w:hAnsi="Arial" w:cs="Arial"/>
          <w:color w:val="000000" w:themeColor="text1"/>
          <w:sz w:val="24"/>
          <w:szCs w:val="24"/>
          <w:shd w:val="clear" w:color="auto" w:fill="FFFFFF"/>
        </w:rPr>
        <w:t xml:space="preserve"> </w:t>
      </w:r>
      <w:r w:rsidR="001E7A7D" w:rsidRPr="001E7A7D">
        <w:rPr>
          <w:rFonts w:ascii="Arial" w:hAnsi="Arial" w:cs="Arial"/>
          <w:color w:val="000000" w:themeColor="text1"/>
          <w:sz w:val="24"/>
          <w:szCs w:val="24"/>
          <w:shd w:val="clear" w:color="auto" w:fill="FFFFFF"/>
        </w:rPr>
        <w:t xml:space="preserve">Mexiquense y a la Comisión de Vigilancia del Órgano Superior de Fiscalización el </w:t>
      </w:r>
      <w:r w:rsidR="001E7A7D" w:rsidRPr="00542E73">
        <w:rPr>
          <w:rFonts w:ascii="Arial" w:hAnsi="Arial" w:cs="Arial"/>
          <w:i/>
          <w:iCs/>
          <w:color w:val="000000" w:themeColor="text1"/>
          <w:sz w:val="24"/>
          <w:szCs w:val="24"/>
          <w:shd w:val="clear" w:color="auto" w:fill="FFFFFF"/>
        </w:rPr>
        <w:t>“Informe de Resultados de la Fiscalización de las Cuentas Públicas del Gobierno del Estado de México y los Municipios correspondiente al ejercicio fiscal 2020”,</w:t>
      </w:r>
      <w:r w:rsidR="001E7A7D" w:rsidRPr="001E7A7D">
        <w:rPr>
          <w:rFonts w:ascii="Arial" w:hAnsi="Arial" w:cs="Arial"/>
          <w:color w:val="000000" w:themeColor="text1"/>
          <w:sz w:val="24"/>
          <w:szCs w:val="24"/>
          <w:shd w:val="clear" w:color="auto" w:fill="FFFFFF"/>
        </w:rPr>
        <w:t xml:space="preserve"> en</w:t>
      </w:r>
      <w:r w:rsidR="001E7A7D">
        <w:rPr>
          <w:rFonts w:ascii="Arial" w:hAnsi="Arial" w:cs="Arial"/>
          <w:color w:val="000000" w:themeColor="text1"/>
          <w:sz w:val="24"/>
          <w:szCs w:val="24"/>
          <w:shd w:val="clear" w:color="auto" w:fill="FFFFFF"/>
        </w:rPr>
        <w:t xml:space="preserve"> </w:t>
      </w:r>
      <w:r w:rsidR="001E7A7D" w:rsidRPr="001E7A7D">
        <w:rPr>
          <w:rFonts w:ascii="Arial" w:hAnsi="Arial" w:cs="Arial"/>
          <w:color w:val="000000" w:themeColor="text1"/>
          <w:sz w:val="24"/>
          <w:szCs w:val="24"/>
          <w:shd w:val="clear" w:color="auto" w:fill="FFFFFF"/>
        </w:rPr>
        <w:t>términos de lo dispuesto en los artículos 50 y 51 de la Ley de Fiscalización Superior del Estado de México.</w:t>
      </w:r>
    </w:p>
    <w:p w14:paraId="49FC5750" w14:textId="77777777" w:rsidR="001E7A7D" w:rsidRPr="001E7A7D" w:rsidRDefault="001E7A7D" w:rsidP="001E7A7D">
      <w:pPr>
        <w:spacing w:after="0" w:line="360" w:lineRule="auto"/>
        <w:jc w:val="both"/>
        <w:rPr>
          <w:rFonts w:ascii="Arial" w:hAnsi="Arial" w:cs="Arial"/>
          <w:color w:val="000000" w:themeColor="text1"/>
          <w:sz w:val="24"/>
          <w:szCs w:val="24"/>
          <w:shd w:val="clear" w:color="auto" w:fill="FFFFFF"/>
        </w:rPr>
      </w:pPr>
    </w:p>
    <w:p w14:paraId="011CC9BE" w14:textId="2FDFB3AC" w:rsidR="001E7A7D" w:rsidRDefault="00087F15" w:rsidP="006141D9">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Dicho</w:t>
      </w:r>
      <w:r w:rsidR="001E7A7D" w:rsidRPr="001E7A7D">
        <w:rPr>
          <w:rFonts w:ascii="Arial" w:hAnsi="Arial" w:cs="Arial"/>
          <w:color w:val="000000" w:themeColor="text1"/>
          <w:sz w:val="24"/>
          <w:szCs w:val="24"/>
          <w:shd w:val="clear" w:color="auto" w:fill="FFFFFF"/>
        </w:rPr>
        <w:t xml:space="preserve"> Informe contempla un total de 94 auditorías en los ámbitos Estatal, Municipal,</w:t>
      </w:r>
      <w:r w:rsidR="001E7A7D">
        <w:rPr>
          <w:rFonts w:ascii="Arial" w:hAnsi="Arial" w:cs="Arial"/>
          <w:color w:val="000000" w:themeColor="text1"/>
          <w:sz w:val="24"/>
          <w:szCs w:val="24"/>
          <w:shd w:val="clear" w:color="auto" w:fill="FFFFFF"/>
        </w:rPr>
        <w:t xml:space="preserve"> </w:t>
      </w:r>
      <w:r w:rsidR="001E7A7D" w:rsidRPr="001E7A7D">
        <w:rPr>
          <w:rFonts w:ascii="Arial" w:hAnsi="Arial" w:cs="Arial"/>
          <w:color w:val="000000" w:themeColor="text1"/>
          <w:sz w:val="24"/>
          <w:szCs w:val="24"/>
          <w:shd w:val="clear" w:color="auto" w:fill="FFFFFF"/>
        </w:rPr>
        <w:t>Órganos Autónomos y Poderes Ejecutivo y Judicial</w:t>
      </w:r>
      <w:r w:rsidR="006141D9">
        <w:rPr>
          <w:rFonts w:ascii="Arial" w:hAnsi="Arial" w:cs="Arial"/>
          <w:color w:val="000000" w:themeColor="text1"/>
          <w:sz w:val="24"/>
          <w:szCs w:val="24"/>
          <w:shd w:val="clear" w:color="auto" w:fill="FFFFFF"/>
        </w:rPr>
        <w:t xml:space="preserve">, </w:t>
      </w:r>
      <w:r w:rsidR="00B644AB">
        <w:rPr>
          <w:rFonts w:ascii="Arial" w:hAnsi="Arial" w:cs="Arial"/>
          <w:color w:val="000000" w:themeColor="text1"/>
          <w:sz w:val="24"/>
          <w:szCs w:val="24"/>
          <w:shd w:val="clear" w:color="auto" w:fill="FFFFFF"/>
        </w:rPr>
        <w:t xml:space="preserve">de estas </w:t>
      </w:r>
      <w:r w:rsidR="006141D9" w:rsidRPr="006141D9">
        <w:rPr>
          <w:rFonts w:ascii="Arial" w:hAnsi="Arial" w:cs="Arial"/>
          <w:color w:val="000000" w:themeColor="text1"/>
          <w:sz w:val="24"/>
          <w:szCs w:val="24"/>
          <w:shd w:val="clear" w:color="auto" w:fill="FFFFFF"/>
        </w:rPr>
        <w:t>47 corresponden a entes</w:t>
      </w:r>
      <w:r w:rsidR="006141D9">
        <w:rPr>
          <w:rFonts w:ascii="Arial" w:hAnsi="Arial" w:cs="Arial"/>
          <w:color w:val="000000" w:themeColor="text1"/>
          <w:sz w:val="24"/>
          <w:szCs w:val="24"/>
          <w:shd w:val="clear" w:color="auto" w:fill="FFFFFF"/>
        </w:rPr>
        <w:t xml:space="preserve"> </w:t>
      </w:r>
      <w:r w:rsidR="006141D9" w:rsidRPr="006141D9">
        <w:rPr>
          <w:rFonts w:ascii="Arial" w:hAnsi="Arial" w:cs="Arial"/>
          <w:color w:val="000000" w:themeColor="text1"/>
          <w:sz w:val="24"/>
          <w:szCs w:val="24"/>
          <w:shd w:val="clear" w:color="auto" w:fill="FFFFFF"/>
        </w:rPr>
        <w:t>municipales y 47 a entes estatales.</w:t>
      </w:r>
      <w:r w:rsidR="006141D9" w:rsidRPr="006141D9">
        <w:t xml:space="preserve"> </w:t>
      </w:r>
      <w:r w:rsidR="006141D9" w:rsidRPr="006141D9">
        <w:rPr>
          <w:rFonts w:ascii="Arial" w:hAnsi="Arial" w:cs="Arial"/>
          <w:color w:val="000000" w:themeColor="text1"/>
          <w:sz w:val="24"/>
          <w:szCs w:val="24"/>
          <w:shd w:val="clear" w:color="auto" w:fill="FFFFFF"/>
        </w:rPr>
        <w:t>Las auditorías</w:t>
      </w:r>
      <w:r w:rsidR="00A96E56">
        <w:rPr>
          <w:rFonts w:ascii="Arial" w:hAnsi="Arial" w:cs="Arial"/>
          <w:color w:val="000000" w:themeColor="text1"/>
          <w:sz w:val="24"/>
          <w:szCs w:val="24"/>
          <w:shd w:val="clear" w:color="auto" w:fill="FFFFFF"/>
        </w:rPr>
        <w:t xml:space="preserve"> que se realizaron</w:t>
      </w:r>
      <w:r w:rsidR="006141D9" w:rsidRPr="006141D9">
        <w:rPr>
          <w:rFonts w:ascii="Arial" w:hAnsi="Arial" w:cs="Arial"/>
          <w:color w:val="000000" w:themeColor="text1"/>
          <w:sz w:val="24"/>
          <w:szCs w:val="24"/>
          <w:shd w:val="clear" w:color="auto" w:fill="FFFFFF"/>
        </w:rPr>
        <w:t xml:space="preserve"> fueron de tipo financiera, obra, desempeño y de tecnologías de la información y comunicaciones</w:t>
      </w:r>
      <w:r w:rsidR="00542E73">
        <w:rPr>
          <w:rFonts w:ascii="Arial" w:hAnsi="Arial" w:cs="Arial"/>
          <w:color w:val="000000" w:themeColor="text1"/>
          <w:sz w:val="24"/>
          <w:szCs w:val="24"/>
          <w:shd w:val="clear" w:color="auto" w:fill="FFFFFF"/>
        </w:rPr>
        <w:t xml:space="preserve">, mismas que </w:t>
      </w:r>
      <w:r w:rsidR="006141D9" w:rsidRPr="006141D9">
        <w:rPr>
          <w:rFonts w:ascii="Arial" w:hAnsi="Arial" w:cs="Arial"/>
          <w:color w:val="000000" w:themeColor="text1"/>
          <w:sz w:val="24"/>
          <w:szCs w:val="24"/>
          <w:shd w:val="clear" w:color="auto" w:fill="FFFFFF"/>
        </w:rPr>
        <w:t>se efectuaron de manera individual, conjunta o integral.</w:t>
      </w:r>
    </w:p>
    <w:p w14:paraId="7C67623F" w14:textId="5B336AC0" w:rsidR="006141D9" w:rsidRDefault="006141D9" w:rsidP="00555AFF">
      <w:pPr>
        <w:spacing w:after="0" w:line="360" w:lineRule="auto"/>
        <w:jc w:val="both"/>
        <w:rPr>
          <w:rFonts w:ascii="Arial" w:hAnsi="Arial" w:cs="Arial"/>
          <w:color w:val="000000" w:themeColor="text1"/>
          <w:sz w:val="24"/>
          <w:szCs w:val="24"/>
          <w:shd w:val="clear" w:color="auto" w:fill="FFFFFF"/>
        </w:rPr>
      </w:pPr>
    </w:p>
    <w:p w14:paraId="5F4AAE87" w14:textId="77777777" w:rsidR="00B644AB" w:rsidRDefault="007661C3" w:rsidP="007661C3">
      <w:pPr>
        <w:spacing w:after="0" w:line="360" w:lineRule="auto"/>
        <w:jc w:val="both"/>
        <w:rPr>
          <w:rFonts w:ascii="Arial" w:hAnsi="Arial" w:cs="Arial"/>
          <w:sz w:val="24"/>
          <w:szCs w:val="24"/>
        </w:rPr>
      </w:pPr>
      <w:r w:rsidRPr="007661C3">
        <w:rPr>
          <w:rFonts w:ascii="Arial" w:hAnsi="Arial" w:cs="Arial"/>
          <w:color w:val="000000" w:themeColor="text1"/>
          <w:sz w:val="24"/>
          <w:szCs w:val="24"/>
          <w:shd w:val="clear" w:color="auto" w:fill="FFFFFF"/>
        </w:rPr>
        <w:t xml:space="preserve">En la revisión de la Cuenta Pública </w:t>
      </w:r>
      <w:r w:rsidR="00542E73">
        <w:rPr>
          <w:rFonts w:ascii="Arial" w:hAnsi="Arial" w:cs="Arial"/>
          <w:color w:val="000000" w:themeColor="text1"/>
          <w:sz w:val="24"/>
          <w:szCs w:val="24"/>
          <w:shd w:val="clear" w:color="auto" w:fill="FFFFFF"/>
        </w:rPr>
        <w:t xml:space="preserve">Municipal </w:t>
      </w:r>
      <w:r w:rsidRPr="007661C3">
        <w:rPr>
          <w:rFonts w:ascii="Arial" w:hAnsi="Arial" w:cs="Arial"/>
          <w:color w:val="000000" w:themeColor="text1"/>
          <w:sz w:val="24"/>
          <w:szCs w:val="24"/>
          <w:shd w:val="clear" w:color="auto" w:fill="FFFFFF"/>
        </w:rPr>
        <w:t>correspondiente al ejercicio fiscal 2020</w:t>
      </w:r>
      <w:r w:rsidR="00207995">
        <w:rPr>
          <w:rStyle w:val="Refdenotaalpie"/>
          <w:rFonts w:ascii="Arial" w:hAnsi="Arial" w:cs="Arial"/>
          <w:color w:val="000000" w:themeColor="text1"/>
          <w:sz w:val="24"/>
          <w:szCs w:val="24"/>
          <w:shd w:val="clear" w:color="auto" w:fill="FFFFFF"/>
        </w:rPr>
        <w:footnoteReference w:id="3"/>
      </w:r>
      <w:r>
        <w:rPr>
          <w:rFonts w:ascii="Arial" w:hAnsi="Arial" w:cs="Arial"/>
          <w:color w:val="000000" w:themeColor="text1"/>
          <w:sz w:val="24"/>
          <w:szCs w:val="24"/>
          <w:shd w:val="clear" w:color="auto" w:fill="FFFFFF"/>
        </w:rPr>
        <w:t xml:space="preserve">, llama la atención </w:t>
      </w:r>
      <w:r w:rsidRPr="007661C3">
        <w:rPr>
          <w:rFonts w:ascii="Arial" w:hAnsi="Arial" w:cs="Arial"/>
          <w:color w:val="000000" w:themeColor="text1"/>
          <w:sz w:val="24"/>
          <w:szCs w:val="24"/>
          <w:shd w:val="clear" w:color="auto" w:fill="FFFFFF"/>
        </w:rPr>
        <w:t>el</w:t>
      </w:r>
      <w:r w:rsidR="00542E73">
        <w:rPr>
          <w:rFonts w:ascii="Arial" w:hAnsi="Arial" w:cs="Arial"/>
          <w:color w:val="000000" w:themeColor="text1"/>
          <w:sz w:val="24"/>
          <w:szCs w:val="24"/>
          <w:shd w:val="clear" w:color="auto" w:fill="FFFFFF"/>
        </w:rPr>
        <w:t xml:space="preserve"> Informe </w:t>
      </w:r>
      <w:r w:rsidR="00B644AB">
        <w:rPr>
          <w:rFonts w:ascii="Arial" w:hAnsi="Arial" w:cs="Arial"/>
          <w:color w:val="000000" w:themeColor="text1"/>
          <w:sz w:val="24"/>
          <w:szCs w:val="24"/>
          <w:shd w:val="clear" w:color="auto" w:fill="FFFFFF"/>
        </w:rPr>
        <w:t>relativo a</w:t>
      </w:r>
      <w:r w:rsidR="00542E73">
        <w:rPr>
          <w:rFonts w:ascii="Arial" w:hAnsi="Arial" w:cs="Arial"/>
          <w:color w:val="000000" w:themeColor="text1"/>
          <w:sz w:val="24"/>
          <w:szCs w:val="24"/>
          <w:shd w:val="clear" w:color="auto" w:fill="FFFFFF"/>
        </w:rPr>
        <w:t>l</w:t>
      </w:r>
      <w:r w:rsidRPr="007661C3">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m</w:t>
      </w:r>
      <w:r w:rsidRPr="007661C3">
        <w:rPr>
          <w:rFonts w:ascii="Arial" w:hAnsi="Arial" w:cs="Arial"/>
          <w:color w:val="000000" w:themeColor="text1"/>
          <w:sz w:val="24"/>
          <w:szCs w:val="24"/>
          <w:shd w:val="clear" w:color="auto" w:fill="FFFFFF"/>
        </w:rPr>
        <w:t xml:space="preserve">unicipio de </w:t>
      </w:r>
      <w:r>
        <w:rPr>
          <w:rFonts w:ascii="Arial" w:hAnsi="Arial" w:cs="Arial"/>
          <w:color w:val="000000" w:themeColor="text1"/>
          <w:sz w:val="24"/>
          <w:szCs w:val="24"/>
          <w:shd w:val="clear" w:color="auto" w:fill="FFFFFF"/>
        </w:rPr>
        <w:t xml:space="preserve">Timilpan, </w:t>
      </w:r>
      <w:r w:rsidR="00B644AB">
        <w:rPr>
          <w:rFonts w:ascii="Arial" w:hAnsi="Arial" w:cs="Arial"/>
          <w:color w:val="000000" w:themeColor="text1"/>
          <w:sz w:val="24"/>
          <w:szCs w:val="24"/>
          <w:shd w:val="clear" w:color="auto" w:fill="FFFFFF"/>
        </w:rPr>
        <w:t>al que se realizaron nueve observaciones</w:t>
      </w:r>
      <w:r w:rsidR="00B644AB">
        <w:rPr>
          <w:rFonts w:ascii="Arial" w:hAnsi="Arial" w:cs="Arial"/>
          <w:sz w:val="24"/>
          <w:szCs w:val="24"/>
        </w:rPr>
        <w:t>.</w:t>
      </w:r>
    </w:p>
    <w:p w14:paraId="256EAFD6" w14:textId="77777777" w:rsidR="00B644AB" w:rsidRDefault="00B644AB" w:rsidP="007661C3">
      <w:pPr>
        <w:spacing w:after="0" w:line="360" w:lineRule="auto"/>
        <w:jc w:val="both"/>
        <w:rPr>
          <w:rFonts w:ascii="Arial" w:hAnsi="Arial" w:cs="Arial"/>
          <w:sz w:val="24"/>
          <w:szCs w:val="24"/>
        </w:rPr>
      </w:pPr>
    </w:p>
    <w:p w14:paraId="62612A0A" w14:textId="1F36550A" w:rsidR="000E531C" w:rsidRDefault="00B644AB" w:rsidP="007661C3">
      <w:pPr>
        <w:spacing w:after="0" w:line="360" w:lineRule="auto"/>
        <w:jc w:val="both"/>
        <w:rPr>
          <w:rFonts w:ascii="Arial" w:hAnsi="Arial" w:cs="Arial"/>
          <w:color w:val="000000" w:themeColor="text1"/>
          <w:sz w:val="24"/>
          <w:szCs w:val="24"/>
          <w:shd w:val="clear" w:color="auto" w:fill="FFFFFF"/>
        </w:rPr>
      </w:pPr>
      <w:r>
        <w:rPr>
          <w:rFonts w:ascii="Arial" w:hAnsi="Arial" w:cs="Arial"/>
          <w:sz w:val="24"/>
          <w:szCs w:val="24"/>
        </w:rPr>
        <w:t xml:space="preserve">En primer lugar, se menciona que </w:t>
      </w:r>
      <w:r w:rsidR="007661C3" w:rsidRPr="007661C3">
        <w:rPr>
          <w:rFonts w:ascii="Arial" w:hAnsi="Arial" w:cs="Arial"/>
          <w:color w:val="000000" w:themeColor="text1"/>
          <w:sz w:val="24"/>
          <w:szCs w:val="24"/>
          <w:shd w:val="clear" w:color="auto" w:fill="FFFFFF"/>
        </w:rPr>
        <w:t xml:space="preserve">no cumplió con lo establecido por el artículo 27 de la Ley General de Contabilidad Gubernamental, </w:t>
      </w:r>
      <w:r w:rsidR="000E531C" w:rsidRPr="000E531C">
        <w:rPr>
          <w:rFonts w:ascii="Arial" w:hAnsi="Arial" w:cs="Arial"/>
          <w:color w:val="000000" w:themeColor="text1"/>
          <w:sz w:val="24"/>
          <w:szCs w:val="24"/>
          <w:shd w:val="clear" w:color="auto" w:fill="FFFFFF"/>
        </w:rPr>
        <w:t xml:space="preserve">ya que se registran diferencias contables de inventarios de bienes inmuebles por más de </w:t>
      </w:r>
      <w:r w:rsidR="00542E73" w:rsidRPr="00542E73">
        <w:rPr>
          <w:rFonts w:ascii="Arial" w:hAnsi="Arial" w:cs="Arial"/>
          <w:color w:val="000000" w:themeColor="text1"/>
          <w:sz w:val="24"/>
          <w:szCs w:val="24"/>
          <w:shd w:val="clear" w:color="auto" w:fill="FFFFFF"/>
        </w:rPr>
        <w:t>1,067.4</w:t>
      </w:r>
      <w:r w:rsidR="00542E73">
        <w:rPr>
          <w:rFonts w:ascii="Arial" w:hAnsi="Arial" w:cs="Arial"/>
          <w:color w:val="000000" w:themeColor="text1"/>
          <w:sz w:val="24"/>
          <w:szCs w:val="24"/>
          <w:shd w:val="clear" w:color="auto" w:fill="FFFFFF"/>
        </w:rPr>
        <w:t xml:space="preserve"> miles de pesos</w:t>
      </w:r>
      <w:r w:rsidR="000E531C" w:rsidRPr="000E531C">
        <w:rPr>
          <w:rFonts w:ascii="Arial" w:hAnsi="Arial" w:cs="Arial"/>
          <w:color w:val="000000" w:themeColor="text1"/>
          <w:sz w:val="24"/>
          <w:szCs w:val="24"/>
          <w:shd w:val="clear" w:color="auto" w:fill="FFFFFF"/>
        </w:rPr>
        <w:t>.</w:t>
      </w:r>
    </w:p>
    <w:p w14:paraId="12046AFB" w14:textId="35E2F558" w:rsidR="007661C3" w:rsidRDefault="007661C3" w:rsidP="007661C3">
      <w:pPr>
        <w:spacing w:after="0" w:line="360" w:lineRule="auto"/>
        <w:jc w:val="both"/>
        <w:rPr>
          <w:rFonts w:ascii="Arial" w:hAnsi="Arial" w:cs="Arial"/>
          <w:color w:val="000000" w:themeColor="text1"/>
          <w:sz w:val="24"/>
          <w:szCs w:val="24"/>
          <w:shd w:val="clear" w:color="auto" w:fill="FFFFFF"/>
        </w:rPr>
      </w:pPr>
    </w:p>
    <w:p w14:paraId="5EEAFD78" w14:textId="37B17A2A" w:rsidR="00207995" w:rsidRDefault="00207995" w:rsidP="00207995">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Asimismo, </w:t>
      </w:r>
      <w:r w:rsidR="00B644AB">
        <w:rPr>
          <w:rFonts w:ascii="Arial" w:hAnsi="Arial" w:cs="Arial"/>
          <w:color w:val="000000" w:themeColor="text1"/>
          <w:sz w:val="24"/>
          <w:szCs w:val="24"/>
          <w:shd w:val="clear" w:color="auto" w:fill="FFFFFF"/>
        </w:rPr>
        <w:t>que</w:t>
      </w:r>
      <w:r>
        <w:rPr>
          <w:rFonts w:ascii="Arial" w:hAnsi="Arial" w:cs="Arial"/>
          <w:color w:val="000000" w:themeColor="text1"/>
          <w:sz w:val="24"/>
          <w:szCs w:val="24"/>
          <w:shd w:val="clear" w:color="auto" w:fill="FFFFFF"/>
        </w:rPr>
        <w:t xml:space="preserve"> </w:t>
      </w:r>
      <w:r w:rsidRPr="00207995">
        <w:rPr>
          <w:rFonts w:ascii="Arial" w:hAnsi="Arial" w:cs="Arial"/>
          <w:color w:val="000000" w:themeColor="text1"/>
          <w:sz w:val="24"/>
          <w:szCs w:val="24"/>
          <w:shd w:val="clear" w:color="auto" w:fill="FFFFFF"/>
        </w:rPr>
        <w:t xml:space="preserve">los </w:t>
      </w:r>
      <w:r w:rsidR="00B644AB">
        <w:rPr>
          <w:rFonts w:ascii="Arial" w:hAnsi="Arial" w:cs="Arial"/>
          <w:color w:val="000000" w:themeColor="text1"/>
          <w:sz w:val="24"/>
          <w:szCs w:val="24"/>
          <w:shd w:val="clear" w:color="auto" w:fill="FFFFFF"/>
        </w:rPr>
        <w:t>registros</w:t>
      </w:r>
      <w:r w:rsidRPr="00207995">
        <w:rPr>
          <w:rFonts w:ascii="Arial" w:hAnsi="Arial" w:cs="Arial"/>
          <w:color w:val="000000" w:themeColor="text1"/>
          <w:sz w:val="24"/>
          <w:szCs w:val="24"/>
          <w:shd w:val="clear" w:color="auto" w:fill="FFFFFF"/>
        </w:rPr>
        <w:t xml:space="preserve"> de</w:t>
      </w:r>
      <w:r w:rsidR="00B644AB">
        <w:rPr>
          <w:rFonts w:ascii="Arial" w:hAnsi="Arial" w:cs="Arial"/>
          <w:color w:val="000000" w:themeColor="text1"/>
          <w:sz w:val="24"/>
          <w:szCs w:val="24"/>
          <w:shd w:val="clear" w:color="auto" w:fill="FFFFFF"/>
        </w:rPr>
        <w:t xml:space="preserve"> </w:t>
      </w:r>
      <w:r w:rsidRPr="00207995">
        <w:rPr>
          <w:rFonts w:ascii="Arial" w:hAnsi="Arial" w:cs="Arial"/>
          <w:color w:val="000000" w:themeColor="text1"/>
          <w:sz w:val="24"/>
          <w:szCs w:val="24"/>
          <w:shd w:val="clear" w:color="auto" w:fill="FFFFFF"/>
        </w:rPr>
        <w:t>bienes muebles en la Balanza de</w:t>
      </w:r>
      <w:r>
        <w:rPr>
          <w:rFonts w:ascii="Arial" w:hAnsi="Arial" w:cs="Arial"/>
          <w:color w:val="000000" w:themeColor="text1"/>
          <w:sz w:val="24"/>
          <w:szCs w:val="24"/>
          <w:shd w:val="clear" w:color="auto" w:fill="FFFFFF"/>
        </w:rPr>
        <w:t xml:space="preserve"> </w:t>
      </w:r>
      <w:r w:rsidRPr="00207995">
        <w:rPr>
          <w:rFonts w:ascii="Arial" w:hAnsi="Arial" w:cs="Arial"/>
          <w:color w:val="000000" w:themeColor="text1"/>
          <w:sz w:val="24"/>
          <w:szCs w:val="24"/>
          <w:shd w:val="clear" w:color="auto" w:fill="FFFFFF"/>
        </w:rPr>
        <w:t>Comprobación y en los Reportes de Altas y Bajas de Bienes Muebles e Inmuebles, no coinciden</w:t>
      </w:r>
      <w:r>
        <w:rPr>
          <w:rFonts w:ascii="Arial" w:hAnsi="Arial" w:cs="Arial"/>
          <w:color w:val="000000" w:themeColor="text1"/>
          <w:sz w:val="24"/>
          <w:szCs w:val="24"/>
          <w:shd w:val="clear" w:color="auto" w:fill="FFFFFF"/>
        </w:rPr>
        <w:t xml:space="preserve">, incumpliendo de esta manera </w:t>
      </w:r>
      <w:r w:rsidRPr="00207995">
        <w:rPr>
          <w:rFonts w:ascii="Arial" w:hAnsi="Arial" w:cs="Arial"/>
          <w:color w:val="000000" w:themeColor="text1"/>
          <w:sz w:val="24"/>
          <w:szCs w:val="24"/>
          <w:shd w:val="clear" w:color="auto" w:fill="FFFFFF"/>
        </w:rPr>
        <w:t>con lo establecido en los artículos 23 y</w:t>
      </w:r>
      <w:r>
        <w:rPr>
          <w:rFonts w:ascii="Arial" w:hAnsi="Arial" w:cs="Arial"/>
          <w:color w:val="000000" w:themeColor="text1"/>
          <w:sz w:val="24"/>
          <w:szCs w:val="24"/>
          <w:shd w:val="clear" w:color="auto" w:fill="FFFFFF"/>
        </w:rPr>
        <w:t xml:space="preserve"> </w:t>
      </w:r>
      <w:r w:rsidRPr="00207995">
        <w:rPr>
          <w:rFonts w:ascii="Arial" w:hAnsi="Arial" w:cs="Arial"/>
          <w:color w:val="000000" w:themeColor="text1"/>
          <w:sz w:val="24"/>
          <w:szCs w:val="24"/>
          <w:shd w:val="clear" w:color="auto" w:fill="FFFFFF"/>
        </w:rPr>
        <w:t>25 de la Ley General de Contabilidad Gubernamental.</w:t>
      </w:r>
    </w:p>
    <w:p w14:paraId="45EFF57B" w14:textId="77777777" w:rsidR="001C38D7" w:rsidRDefault="001C38D7" w:rsidP="007661C3">
      <w:pPr>
        <w:spacing w:after="0" w:line="360" w:lineRule="auto"/>
        <w:jc w:val="both"/>
        <w:rPr>
          <w:rFonts w:ascii="Arial" w:hAnsi="Arial" w:cs="Arial"/>
          <w:color w:val="000000" w:themeColor="text1"/>
          <w:sz w:val="24"/>
          <w:szCs w:val="24"/>
          <w:shd w:val="clear" w:color="auto" w:fill="FFFFFF"/>
        </w:rPr>
      </w:pPr>
    </w:p>
    <w:p w14:paraId="08121554" w14:textId="77777777" w:rsidR="00B644AB" w:rsidRDefault="001C38D7" w:rsidP="001C38D7">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Por otra parte, d</w:t>
      </w:r>
      <w:r w:rsidRPr="001C38D7">
        <w:rPr>
          <w:rFonts w:ascii="Arial" w:hAnsi="Arial" w:cs="Arial"/>
          <w:color w:val="000000" w:themeColor="text1"/>
          <w:sz w:val="24"/>
          <w:szCs w:val="24"/>
          <w:shd w:val="clear" w:color="auto" w:fill="FFFFFF"/>
        </w:rPr>
        <w:t xml:space="preserve">e los 192 proyectos autorizados en la estructura programática, </w:t>
      </w:r>
      <w:r>
        <w:rPr>
          <w:rFonts w:ascii="Arial" w:hAnsi="Arial" w:cs="Arial"/>
          <w:color w:val="000000" w:themeColor="text1"/>
          <w:sz w:val="24"/>
          <w:szCs w:val="24"/>
          <w:shd w:val="clear" w:color="auto" w:fill="FFFFFF"/>
        </w:rPr>
        <w:t>el municipio</w:t>
      </w:r>
      <w:r w:rsidRPr="001C38D7">
        <w:rPr>
          <w:rFonts w:ascii="Arial" w:hAnsi="Arial" w:cs="Arial"/>
          <w:color w:val="000000" w:themeColor="text1"/>
          <w:sz w:val="24"/>
          <w:szCs w:val="24"/>
          <w:shd w:val="clear" w:color="auto" w:fill="FFFFFF"/>
        </w:rPr>
        <w:t xml:space="preserve"> ejerció</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 xml:space="preserve">recursos en </w:t>
      </w:r>
      <w:r w:rsidR="00B644AB">
        <w:rPr>
          <w:rFonts w:ascii="Arial" w:hAnsi="Arial" w:cs="Arial"/>
          <w:color w:val="000000" w:themeColor="text1"/>
          <w:sz w:val="24"/>
          <w:szCs w:val="24"/>
          <w:shd w:val="clear" w:color="auto" w:fill="FFFFFF"/>
        </w:rPr>
        <w:t xml:space="preserve">únicamente en </w:t>
      </w:r>
      <w:r w:rsidRPr="001C38D7">
        <w:rPr>
          <w:rFonts w:ascii="Arial" w:hAnsi="Arial" w:cs="Arial"/>
          <w:color w:val="000000" w:themeColor="text1"/>
          <w:sz w:val="24"/>
          <w:szCs w:val="24"/>
          <w:shd w:val="clear" w:color="auto" w:fill="FFFFFF"/>
        </w:rPr>
        <w:t xml:space="preserve">32, destinados a 12 dependencias generales, </w:t>
      </w:r>
      <w:r>
        <w:rPr>
          <w:rFonts w:ascii="Arial" w:hAnsi="Arial" w:cs="Arial"/>
          <w:color w:val="000000" w:themeColor="text1"/>
          <w:sz w:val="24"/>
          <w:szCs w:val="24"/>
          <w:shd w:val="clear" w:color="auto" w:fill="FFFFFF"/>
        </w:rPr>
        <w:t xml:space="preserve">en donde </w:t>
      </w:r>
      <w:r w:rsidRPr="001C38D7">
        <w:rPr>
          <w:rFonts w:ascii="Arial" w:hAnsi="Arial" w:cs="Arial"/>
          <w:color w:val="000000" w:themeColor="text1"/>
          <w:sz w:val="24"/>
          <w:szCs w:val="24"/>
          <w:shd w:val="clear" w:color="auto" w:fill="FFFFFF"/>
        </w:rPr>
        <w:t>se detectó una inadecuada</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planeación entre el recurso ejercido y las metas realizadas, principalmente en las dependencias de</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Desarrollo Social,</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Desarrollo Económico, Contraloría</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Desarrollo Urbano y Obras Públicas.</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Por lo anterior, no cumplió con lo establecido en los artículos 287, 307 y</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312 fracción IV del Código Financiero del Estado de México y Municipios, y 20 fracción IV de la</w:t>
      </w:r>
      <w:r>
        <w:rPr>
          <w:rFonts w:ascii="Arial" w:hAnsi="Arial" w:cs="Arial"/>
          <w:color w:val="000000" w:themeColor="text1"/>
          <w:sz w:val="24"/>
          <w:szCs w:val="24"/>
          <w:shd w:val="clear" w:color="auto" w:fill="FFFFFF"/>
        </w:rPr>
        <w:t xml:space="preserve"> </w:t>
      </w:r>
      <w:r w:rsidRPr="001C38D7">
        <w:rPr>
          <w:rFonts w:ascii="Arial" w:hAnsi="Arial" w:cs="Arial"/>
          <w:color w:val="000000" w:themeColor="text1"/>
          <w:sz w:val="24"/>
          <w:szCs w:val="24"/>
          <w:shd w:val="clear" w:color="auto" w:fill="FFFFFF"/>
        </w:rPr>
        <w:t>Ley de Planeación del Estado de México y Municipios.</w:t>
      </w:r>
    </w:p>
    <w:p w14:paraId="1195254C" w14:textId="77777777" w:rsidR="00B644AB" w:rsidRDefault="00B644AB" w:rsidP="001C38D7">
      <w:pPr>
        <w:spacing w:after="0" w:line="360" w:lineRule="auto"/>
        <w:jc w:val="both"/>
        <w:rPr>
          <w:rFonts w:ascii="Arial" w:hAnsi="Arial" w:cs="Arial"/>
          <w:color w:val="000000" w:themeColor="text1"/>
          <w:sz w:val="24"/>
          <w:szCs w:val="24"/>
          <w:shd w:val="clear" w:color="auto" w:fill="FFFFFF"/>
        </w:rPr>
      </w:pPr>
    </w:p>
    <w:p w14:paraId="52AADC15" w14:textId="38C8FCC0" w:rsidR="001C38D7" w:rsidRDefault="00542E73" w:rsidP="001C38D7">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A</w:t>
      </w:r>
      <w:r w:rsidR="001C38D7" w:rsidRPr="001C38D7">
        <w:rPr>
          <w:rFonts w:ascii="Arial" w:hAnsi="Arial" w:cs="Arial"/>
          <w:color w:val="000000" w:themeColor="text1"/>
          <w:sz w:val="24"/>
          <w:szCs w:val="24"/>
          <w:shd w:val="clear" w:color="auto" w:fill="FFFFFF"/>
        </w:rPr>
        <w:t>simismo, algunos programas no se</w:t>
      </w:r>
      <w:r w:rsidR="001C38D7">
        <w:rPr>
          <w:rFonts w:ascii="Arial" w:hAnsi="Arial" w:cs="Arial"/>
          <w:color w:val="000000" w:themeColor="text1"/>
          <w:sz w:val="24"/>
          <w:szCs w:val="24"/>
          <w:shd w:val="clear" w:color="auto" w:fill="FFFFFF"/>
        </w:rPr>
        <w:t xml:space="preserve"> </w:t>
      </w:r>
      <w:r w:rsidR="001C38D7" w:rsidRPr="001C38D7">
        <w:rPr>
          <w:rFonts w:ascii="Arial" w:hAnsi="Arial" w:cs="Arial"/>
          <w:color w:val="000000" w:themeColor="text1"/>
          <w:sz w:val="24"/>
          <w:szCs w:val="24"/>
          <w:shd w:val="clear" w:color="auto" w:fill="FFFFFF"/>
        </w:rPr>
        <w:t xml:space="preserve">ejecutaron con base </w:t>
      </w:r>
      <w:r>
        <w:rPr>
          <w:rFonts w:ascii="Arial" w:hAnsi="Arial" w:cs="Arial"/>
          <w:color w:val="000000" w:themeColor="text1"/>
          <w:sz w:val="24"/>
          <w:szCs w:val="24"/>
          <w:shd w:val="clear" w:color="auto" w:fill="FFFFFF"/>
        </w:rPr>
        <w:t>en los objetivos planeados,</w:t>
      </w:r>
      <w:r w:rsidR="001C38D7" w:rsidRPr="001C38D7">
        <w:rPr>
          <w:rFonts w:ascii="Arial" w:hAnsi="Arial" w:cs="Arial"/>
          <w:color w:val="000000" w:themeColor="text1"/>
          <w:sz w:val="24"/>
          <w:szCs w:val="24"/>
          <w:shd w:val="clear" w:color="auto" w:fill="FFFFFF"/>
        </w:rPr>
        <w:t xml:space="preserve"> </w:t>
      </w:r>
      <w:r w:rsidR="00B439BE">
        <w:rPr>
          <w:rFonts w:ascii="Arial" w:hAnsi="Arial" w:cs="Arial"/>
          <w:color w:val="000000" w:themeColor="text1"/>
          <w:sz w:val="24"/>
          <w:szCs w:val="24"/>
          <w:shd w:val="clear" w:color="auto" w:fill="FFFFFF"/>
        </w:rPr>
        <w:t>como son</w:t>
      </w:r>
      <w:r>
        <w:rPr>
          <w:rFonts w:ascii="Arial" w:hAnsi="Arial" w:cs="Arial"/>
          <w:color w:val="000000" w:themeColor="text1"/>
          <w:sz w:val="24"/>
          <w:szCs w:val="24"/>
          <w:shd w:val="clear" w:color="auto" w:fill="FFFFFF"/>
        </w:rPr>
        <w:t>:</w:t>
      </w:r>
      <w:r w:rsidR="001C38D7" w:rsidRPr="001C38D7">
        <w:rPr>
          <w:rFonts w:ascii="Arial" w:hAnsi="Arial" w:cs="Arial"/>
          <w:color w:val="000000" w:themeColor="text1"/>
          <w:sz w:val="24"/>
          <w:szCs w:val="24"/>
          <w:shd w:val="clear" w:color="auto" w:fill="FFFFFF"/>
        </w:rPr>
        <w:t xml:space="preserve"> </w:t>
      </w:r>
      <w:r w:rsidR="001C38D7">
        <w:rPr>
          <w:rFonts w:ascii="Arial" w:hAnsi="Arial" w:cs="Arial"/>
          <w:color w:val="000000" w:themeColor="text1"/>
          <w:sz w:val="24"/>
          <w:szCs w:val="24"/>
          <w:shd w:val="clear" w:color="auto" w:fill="FFFFFF"/>
        </w:rPr>
        <w:t>m</w:t>
      </w:r>
      <w:r w:rsidR="001C38D7" w:rsidRPr="001C38D7">
        <w:rPr>
          <w:rFonts w:ascii="Arial" w:hAnsi="Arial" w:cs="Arial"/>
          <w:color w:val="000000" w:themeColor="text1"/>
          <w:sz w:val="24"/>
          <w:szCs w:val="24"/>
          <w:shd w:val="clear" w:color="auto" w:fill="FFFFFF"/>
        </w:rPr>
        <w:t>anejo de aguas residuales</w:t>
      </w:r>
      <w:r w:rsidR="00B439BE">
        <w:rPr>
          <w:rFonts w:ascii="Arial" w:hAnsi="Arial" w:cs="Arial"/>
          <w:color w:val="000000" w:themeColor="text1"/>
          <w:sz w:val="24"/>
          <w:szCs w:val="24"/>
          <w:shd w:val="clear" w:color="auto" w:fill="FFFFFF"/>
        </w:rPr>
        <w:t>;</w:t>
      </w:r>
      <w:r w:rsidR="001C38D7">
        <w:rPr>
          <w:rFonts w:ascii="Arial" w:hAnsi="Arial" w:cs="Arial"/>
          <w:color w:val="000000" w:themeColor="text1"/>
          <w:sz w:val="24"/>
          <w:szCs w:val="24"/>
          <w:shd w:val="clear" w:color="auto" w:fill="FFFFFF"/>
        </w:rPr>
        <w:t xml:space="preserve"> </w:t>
      </w:r>
      <w:r w:rsidR="001C38D7" w:rsidRPr="001C38D7">
        <w:rPr>
          <w:rFonts w:ascii="Arial" w:hAnsi="Arial" w:cs="Arial"/>
          <w:color w:val="000000" w:themeColor="text1"/>
          <w:sz w:val="24"/>
          <w:szCs w:val="24"/>
          <w:shd w:val="clear" w:color="auto" w:fill="FFFFFF"/>
        </w:rPr>
        <w:t>drenaje y alcantarillado</w:t>
      </w:r>
      <w:r w:rsidR="00B439BE">
        <w:rPr>
          <w:rFonts w:ascii="Arial" w:hAnsi="Arial" w:cs="Arial"/>
          <w:color w:val="000000" w:themeColor="text1"/>
          <w:sz w:val="24"/>
          <w:szCs w:val="24"/>
          <w:shd w:val="clear" w:color="auto" w:fill="FFFFFF"/>
        </w:rPr>
        <w:t xml:space="preserve"> y,</w:t>
      </w:r>
      <w:r w:rsidR="001C38D7" w:rsidRPr="001C38D7">
        <w:rPr>
          <w:rFonts w:ascii="Arial" w:hAnsi="Arial" w:cs="Arial"/>
          <w:color w:val="000000" w:themeColor="text1"/>
          <w:sz w:val="24"/>
          <w:szCs w:val="24"/>
          <w:shd w:val="clear" w:color="auto" w:fill="FFFFFF"/>
        </w:rPr>
        <w:t xml:space="preserve"> </w:t>
      </w:r>
      <w:r w:rsidR="001C38D7">
        <w:rPr>
          <w:rFonts w:ascii="Arial" w:hAnsi="Arial" w:cs="Arial"/>
          <w:color w:val="000000" w:themeColor="text1"/>
          <w:sz w:val="24"/>
          <w:szCs w:val="24"/>
          <w:shd w:val="clear" w:color="auto" w:fill="FFFFFF"/>
        </w:rPr>
        <w:t>d</w:t>
      </w:r>
      <w:r w:rsidR="001C38D7" w:rsidRPr="001C38D7">
        <w:rPr>
          <w:rFonts w:ascii="Arial" w:hAnsi="Arial" w:cs="Arial"/>
          <w:color w:val="000000" w:themeColor="text1"/>
          <w:sz w:val="24"/>
          <w:szCs w:val="24"/>
          <w:shd w:val="clear" w:color="auto" w:fill="FFFFFF"/>
        </w:rPr>
        <w:t xml:space="preserve">esarrollo agrícola y </w:t>
      </w:r>
      <w:r w:rsidR="001C38D7">
        <w:rPr>
          <w:rFonts w:ascii="Arial" w:hAnsi="Arial" w:cs="Arial"/>
          <w:color w:val="000000" w:themeColor="text1"/>
          <w:sz w:val="24"/>
          <w:szCs w:val="24"/>
          <w:shd w:val="clear" w:color="auto" w:fill="FFFFFF"/>
        </w:rPr>
        <w:t>v</w:t>
      </w:r>
      <w:r w:rsidR="001C38D7" w:rsidRPr="001C38D7">
        <w:rPr>
          <w:rFonts w:ascii="Arial" w:hAnsi="Arial" w:cs="Arial"/>
          <w:color w:val="000000" w:themeColor="text1"/>
          <w:sz w:val="24"/>
          <w:szCs w:val="24"/>
          <w:shd w:val="clear" w:color="auto" w:fill="FFFFFF"/>
        </w:rPr>
        <w:t>ivienda</w:t>
      </w:r>
      <w:r>
        <w:rPr>
          <w:rFonts w:ascii="Arial" w:hAnsi="Arial" w:cs="Arial"/>
          <w:color w:val="000000" w:themeColor="text1"/>
          <w:sz w:val="24"/>
          <w:szCs w:val="24"/>
          <w:shd w:val="clear" w:color="auto" w:fill="FFFFFF"/>
        </w:rPr>
        <w:t>, los cuales</w:t>
      </w:r>
      <w:r w:rsidR="001C38D7" w:rsidRPr="001C38D7">
        <w:rPr>
          <w:rFonts w:ascii="Arial" w:hAnsi="Arial" w:cs="Arial"/>
          <w:color w:val="000000" w:themeColor="text1"/>
          <w:sz w:val="24"/>
          <w:szCs w:val="24"/>
          <w:shd w:val="clear" w:color="auto" w:fill="FFFFFF"/>
        </w:rPr>
        <w:t xml:space="preserve"> presentaron un</w:t>
      </w:r>
      <w:r w:rsidR="001C38D7">
        <w:rPr>
          <w:rFonts w:ascii="Arial" w:hAnsi="Arial" w:cs="Arial"/>
          <w:color w:val="000000" w:themeColor="text1"/>
          <w:sz w:val="24"/>
          <w:szCs w:val="24"/>
          <w:shd w:val="clear" w:color="auto" w:fill="FFFFFF"/>
        </w:rPr>
        <w:t xml:space="preserve"> </w:t>
      </w:r>
      <w:r w:rsidR="001C38D7" w:rsidRPr="001C38D7">
        <w:rPr>
          <w:rFonts w:ascii="Arial" w:hAnsi="Arial" w:cs="Arial"/>
          <w:color w:val="000000" w:themeColor="text1"/>
          <w:sz w:val="24"/>
          <w:szCs w:val="24"/>
          <w:shd w:val="clear" w:color="auto" w:fill="FFFFFF"/>
        </w:rPr>
        <w:t>cumplimiento de metas del 0.0, 7.3 y 20.1 por ciento, respectivamente.</w:t>
      </w:r>
    </w:p>
    <w:p w14:paraId="0789B45E" w14:textId="48D93724" w:rsidR="00070A62" w:rsidRDefault="00070A62" w:rsidP="001C38D7">
      <w:pPr>
        <w:spacing w:after="0" w:line="360" w:lineRule="auto"/>
        <w:jc w:val="both"/>
        <w:rPr>
          <w:rFonts w:ascii="Arial" w:hAnsi="Arial" w:cs="Arial"/>
          <w:color w:val="000000" w:themeColor="text1"/>
          <w:sz w:val="24"/>
          <w:szCs w:val="24"/>
          <w:shd w:val="clear" w:color="auto" w:fill="FFFFFF"/>
        </w:rPr>
      </w:pPr>
    </w:p>
    <w:p w14:paraId="157ED4F5" w14:textId="0D102D0B" w:rsidR="00542E73" w:rsidRDefault="00070A62" w:rsidP="00070A62">
      <w:pPr>
        <w:spacing w:after="0" w:line="360" w:lineRule="auto"/>
        <w:jc w:val="both"/>
        <w:rPr>
          <w:rFonts w:ascii="Arial" w:hAnsi="Arial" w:cs="Arial"/>
          <w:color w:val="000000" w:themeColor="text1"/>
          <w:sz w:val="24"/>
          <w:szCs w:val="24"/>
          <w:shd w:val="clear" w:color="auto" w:fill="FFFFFF"/>
        </w:rPr>
      </w:pPr>
      <w:r w:rsidRPr="00070A62">
        <w:rPr>
          <w:rFonts w:ascii="Arial" w:hAnsi="Arial" w:cs="Arial"/>
          <w:color w:val="000000" w:themeColor="text1"/>
          <w:sz w:val="24"/>
          <w:szCs w:val="24"/>
          <w:shd w:val="clear" w:color="auto" w:fill="FFFFFF"/>
        </w:rPr>
        <w:t>En materia de servicios personales, rebasó el 2.0 por ciento establecido para</w:t>
      </w:r>
      <w:r>
        <w:rPr>
          <w:rFonts w:ascii="Arial" w:hAnsi="Arial" w:cs="Arial"/>
          <w:color w:val="000000" w:themeColor="text1"/>
          <w:sz w:val="24"/>
          <w:szCs w:val="24"/>
          <w:shd w:val="clear" w:color="auto" w:fill="FFFFFF"/>
        </w:rPr>
        <w:t xml:space="preserve"> </w:t>
      </w:r>
      <w:r w:rsidRPr="00070A62">
        <w:rPr>
          <w:rFonts w:ascii="Arial" w:hAnsi="Arial" w:cs="Arial"/>
          <w:color w:val="000000" w:themeColor="text1"/>
          <w:sz w:val="24"/>
          <w:szCs w:val="24"/>
          <w:shd w:val="clear" w:color="auto" w:fill="FFFFFF"/>
        </w:rPr>
        <w:t>la asignación de recursos aprobados en su Presupuesto de Egresos, al tener un 21.0 por ciento</w:t>
      </w:r>
      <w:r>
        <w:rPr>
          <w:rFonts w:ascii="Arial" w:hAnsi="Arial" w:cs="Arial"/>
          <w:color w:val="000000" w:themeColor="text1"/>
          <w:sz w:val="24"/>
          <w:szCs w:val="24"/>
          <w:shd w:val="clear" w:color="auto" w:fill="FFFFFF"/>
        </w:rPr>
        <w:t xml:space="preserve"> </w:t>
      </w:r>
      <w:r w:rsidRPr="00070A62">
        <w:rPr>
          <w:rFonts w:ascii="Arial" w:hAnsi="Arial" w:cs="Arial"/>
          <w:color w:val="000000" w:themeColor="text1"/>
          <w:sz w:val="24"/>
          <w:szCs w:val="24"/>
          <w:shd w:val="clear" w:color="auto" w:fill="FFFFFF"/>
        </w:rPr>
        <w:t>aplicado</w:t>
      </w:r>
      <w:r w:rsidR="00B644AB">
        <w:rPr>
          <w:rFonts w:ascii="Arial" w:hAnsi="Arial" w:cs="Arial"/>
          <w:color w:val="000000" w:themeColor="text1"/>
          <w:sz w:val="24"/>
          <w:szCs w:val="24"/>
          <w:shd w:val="clear" w:color="auto" w:fill="FFFFFF"/>
        </w:rPr>
        <w:t>, mismo que</w:t>
      </w:r>
      <w:r w:rsidRPr="00070A62">
        <w:rPr>
          <w:rFonts w:ascii="Arial" w:hAnsi="Arial" w:cs="Arial"/>
          <w:color w:val="000000" w:themeColor="text1"/>
          <w:sz w:val="24"/>
          <w:szCs w:val="24"/>
          <w:shd w:val="clear" w:color="auto" w:fill="FFFFFF"/>
        </w:rPr>
        <w:t xml:space="preserve"> excedió en un 19.0 por ciento el límite establecido; en el artículo 10 de la L</w:t>
      </w:r>
      <w:r>
        <w:rPr>
          <w:rFonts w:ascii="Arial" w:hAnsi="Arial" w:cs="Arial"/>
          <w:color w:val="000000" w:themeColor="text1"/>
          <w:sz w:val="24"/>
          <w:szCs w:val="24"/>
          <w:shd w:val="clear" w:color="auto" w:fill="FFFFFF"/>
        </w:rPr>
        <w:t xml:space="preserve">ey de </w:t>
      </w:r>
      <w:r w:rsidRPr="00070A62">
        <w:rPr>
          <w:rFonts w:ascii="Arial" w:hAnsi="Arial" w:cs="Arial"/>
          <w:color w:val="000000" w:themeColor="text1"/>
          <w:sz w:val="24"/>
          <w:szCs w:val="24"/>
          <w:shd w:val="clear" w:color="auto" w:fill="FFFFFF"/>
        </w:rPr>
        <w:t>D</w:t>
      </w:r>
      <w:r>
        <w:rPr>
          <w:rFonts w:ascii="Arial" w:hAnsi="Arial" w:cs="Arial"/>
          <w:color w:val="000000" w:themeColor="text1"/>
          <w:sz w:val="24"/>
          <w:szCs w:val="24"/>
          <w:shd w:val="clear" w:color="auto" w:fill="FFFFFF"/>
        </w:rPr>
        <w:t xml:space="preserve">isciplina </w:t>
      </w:r>
      <w:r w:rsidRPr="00070A62">
        <w:rPr>
          <w:rFonts w:ascii="Arial" w:hAnsi="Arial" w:cs="Arial"/>
          <w:color w:val="000000" w:themeColor="text1"/>
          <w:sz w:val="24"/>
          <w:szCs w:val="24"/>
          <w:shd w:val="clear" w:color="auto" w:fill="FFFFFF"/>
        </w:rPr>
        <w:t>F</w:t>
      </w:r>
      <w:r>
        <w:rPr>
          <w:rFonts w:ascii="Arial" w:hAnsi="Arial" w:cs="Arial"/>
          <w:color w:val="000000" w:themeColor="text1"/>
          <w:sz w:val="24"/>
          <w:szCs w:val="24"/>
          <w:shd w:val="clear" w:color="auto" w:fill="FFFFFF"/>
        </w:rPr>
        <w:t xml:space="preserve">inanciera de las </w:t>
      </w:r>
      <w:r w:rsidRPr="00070A62">
        <w:rPr>
          <w:rFonts w:ascii="Arial" w:hAnsi="Arial" w:cs="Arial"/>
          <w:color w:val="000000" w:themeColor="text1"/>
          <w:sz w:val="24"/>
          <w:szCs w:val="24"/>
          <w:shd w:val="clear" w:color="auto" w:fill="FFFFFF"/>
        </w:rPr>
        <w:t>E</w:t>
      </w:r>
      <w:r>
        <w:rPr>
          <w:rFonts w:ascii="Arial" w:hAnsi="Arial" w:cs="Arial"/>
          <w:color w:val="000000" w:themeColor="text1"/>
          <w:sz w:val="24"/>
          <w:szCs w:val="24"/>
          <w:shd w:val="clear" w:color="auto" w:fill="FFFFFF"/>
        </w:rPr>
        <w:t xml:space="preserve">ntidades Federativas y los </w:t>
      </w:r>
      <w:r w:rsidRPr="00070A62">
        <w:rPr>
          <w:rFonts w:ascii="Arial" w:hAnsi="Arial" w:cs="Arial"/>
          <w:color w:val="000000" w:themeColor="text1"/>
          <w:sz w:val="24"/>
          <w:szCs w:val="24"/>
          <w:shd w:val="clear" w:color="auto" w:fill="FFFFFF"/>
        </w:rPr>
        <w:t>M</w:t>
      </w:r>
      <w:r>
        <w:rPr>
          <w:rFonts w:ascii="Arial" w:hAnsi="Arial" w:cs="Arial"/>
          <w:color w:val="000000" w:themeColor="text1"/>
          <w:sz w:val="24"/>
          <w:szCs w:val="24"/>
          <w:shd w:val="clear" w:color="auto" w:fill="FFFFFF"/>
        </w:rPr>
        <w:t>unicipios</w:t>
      </w:r>
      <w:r w:rsidRPr="00070A62">
        <w:rPr>
          <w:rFonts w:ascii="Arial" w:hAnsi="Arial" w:cs="Arial"/>
          <w:color w:val="000000" w:themeColor="text1"/>
          <w:sz w:val="24"/>
          <w:szCs w:val="24"/>
          <w:shd w:val="clear" w:color="auto" w:fill="FFFFFF"/>
        </w:rPr>
        <w:t>.</w:t>
      </w:r>
      <w:r w:rsidR="00542E73">
        <w:rPr>
          <w:rFonts w:ascii="Arial" w:hAnsi="Arial" w:cs="Arial"/>
          <w:color w:val="000000" w:themeColor="text1"/>
          <w:sz w:val="24"/>
          <w:szCs w:val="24"/>
          <w:shd w:val="clear" w:color="auto" w:fill="FFFFFF"/>
        </w:rPr>
        <w:t xml:space="preserve"> Por lo anteriormente expuesto, se presenta una tabla informativa que describe las observaciones realizadas por el Órgano Superior.</w:t>
      </w:r>
    </w:p>
    <w:p w14:paraId="282E747C" w14:textId="022D97DD" w:rsidR="001C38D7" w:rsidRDefault="001C38D7" w:rsidP="007661C3">
      <w:pPr>
        <w:spacing w:after="0" w:line="360" w:lineRule="auto"/>
        <w:jc w:val="both"/>
        <w:rPr>
          <w:rFonts w:ascii="Arial" w:hAnsi="Arial" w:cs="Arial"/>
          <w:color w:val="000000" w:themeColor="text1"/>
          <w:sz w:val="24"/>
          <w:szCs w:val="24"/>
          <w:shd w:val="clear" w:color="auto" w:fill="FFFFFF"/>
        </w:rPr>
      </w:pPr>
    </w:p>
    <w:p w14:paraId="2A27B3F5" w14:textId="409CBD1D" w:rsidR="00B439BE" w:rsidRPr="00964E8C" w:rsidRDefault="00964E8C" w:rsidP="00964E8C">
      <w:pPr>
        <w:spacing w:after="0" w:line="360" w:lineRule="auto"/>
        <w:jc w:val="center"/>
        <w:rPr>
          <w:rFonts w:ascii="Arial" w:hAnsi="Arial" w:cs="Arial"/>
          <w:b/>
          <w:bCs/>
          <w:color w:val="000000" w:themeColor="text1"/>
          <w:sz w:val="24"/>
          <w:szCs w:val="24"/>
          <w:shd w:val="clear" w:color="auto" w:fill="FFFFFF"/>
        </w:rPr>
      </w:pPr>
      <w:r w:rsidRPr="00964E8C">
        <w:rPr>
          <w:rFonts w:ascii="Arial" w:hAnsi="Arial" w:cs="Arial"/>
          <w:b/>
          <w:bCs/>
          <w:color w:val="000000" w:themeColor="text1"/>
          <w:sz w:val="24"/>
          <w:szCs w:val="24"/>
          <w:shd w:val="clear" w:color="auto" w:fill="FFFFFF"/>
        </w:rPr>
        <w:t>OBSERVACIONES REALIZADAS POR EL OSFEM A LA CUENTA PÚBLICA DEL EJERCICIO FISCAL 2020 DEL MUNICIPIO DE TIMILPAN</w:t>
      </w:r>
    </w:p>
    <w:tbl>
      <w:tblPr>
        <w:tblStyle w:val="Tablaconcuadrcu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67"/>
        <w:gridCol w:w="6803"/>
        <w:gridCol w:w="1417"/>
      </w:tblGrid>
      <w:tr w:rsidR="00865611" w:rsidRPr="001A69F2" w14:paraId="29C8294C" w14:textId="77777777" w:rsidTr="00865611">
        <w:tc>
          <w:tcPr>
            <w:tcW w:w="567" w:type="dxa"/>
            <w:shd w:val="clear" w:color="auto" w:fill="BFBFBF" w:themeFill="background1" w:themeFillShade="BF"/>
            <w:vAlign w:val="center"/>
          </w:tcPr>
          <w:p w14:paraId="247E67BC" w14:textId="054F8F7C" w:rsidR="00865611" w:rsidRPr="001A69F2" w:rsidRDefault="00865611" w:rsidP="00865611">
            <w:pPr>
              <w:jc w:val="center"/>
              <w:rPr>
                <w:rFonts w:ascii="Arial Narrow" w:hAnsi="Arial Narrow" w:cs="Arial"/>
                <w:b/>
                <w:bCs/>
                <w:sz w:val="20"/>
                <w:szCs w:val="20"/>
              </w:rPr>
            </w:pPr>
            <w:r>
              <w:rPr>
                <w:rFonts w:ascii="Arial Narrow" w:hAnsi="Arial Narrow" w:cs="Arial"/>
                <w:b/>
                <w:bCs/>
                <w:sz w:val="20"/>
                <w:szCs w:val="20"/>
              </w:rPr>
              <w:t>No.</w:t>
            </w:r>
          </w:p>
        </w:tc>
        <w:tc>
          <w:tcPr>
            <w:tcW w:w="6803" w:type="dxa"/>
            <w:shd w:val="clear" w:color="auto" w:fill="BFBFBF" w:themeFill="background1" w:themeFillShade="BF"/>
            <w:vAlign w:val="center"/>
          </w:tcPr>
          <w:p w14:paraId="205E5BEF" w14:textId="77777777" w:rsidR="00865611" w:rsidRPr="001A69F2" w:rsidRDefault="00865611" w:rsidP="00865611">
            <w:pPr>
              <w:jc w:val="center"/>
              <w:rPr>
                <w:rFonts w:ascii="Arial Narrow" w:hAnsi="Arial Narrow" w:cs="Arial"/>
                <w:b/>
                <w:bCs/>
                <w:sz w:val="20"/>
                <w:szCs w:val="20"/>
              </w:rPr>
            </w:pPr>
            <w:r w:rsidRPr="001A69F2">
              <w:rPr>
                <w:rFonts w:ascii="Arial Narrow" w:hAnsi="Arial Narrow" w:cs="Arial"/>
                <w:b/>
                <w:bCs/>
                <w:sz w:val="20"/>
                <w:szCs w:val="20"/>
              </w:rPr>
              <w:t>Observación</w:t>
            </w:r>
          </w:p>
        </w:tc>
        <w:tc>
          <w:tcPr>
            <w:tcW w:w="1417" w:type="dxa"/>
            <w:shd w:val="clear" w:color="auto" w:fill="BFBFBF" w:themeFill="background1" w:themeFillShade="BF"/>
            <w:vAlign w:val="center"/>
          </w:tcPr>
          <w:p w14:paraId="5EF9A1FC" w14:textId="77777777" w:rsidR="00865611" w:rsidRPr="001A69F2" w:rsidRDefault="00865611" w:rsidP="00865611">
            <w:pPr>
              <w:jc w:val="center"/>
              <w:rPr>
                <w:rFonts w:ascii="Arial Narrow" w:hAnsi="Arial Narrow" w:cs="Arial"/>
                <w:b/>
                <w:bCs/>
                <w:sz w:val="20"/>
                <w:szCs w:val="20"/>
              </w:rPr>
            </w:pPr>
            <w:r w:rsidRPr="001A69F2">
              <w:rPr>
                <w:rFonts w:ascii="Arial Narrow" w:hAnsi="Arial Narrow" w:cs="Arial"/>
                <w:b/>
                <w:bCs/>
                <w:sz w:val="20"/>
                <w:szCs w:val="20"/>
              </w:rPr>
              <w:t>Monto en observación</w:t>
            </w:r>
          </w:p>
        </w:tc>
      </w:tr>
      <w:tr w:rsidR="00865611" w:rsidRPr="001A69F2" w14:paraId="2C3718F4" w14:textId="77777777" w:rsidTr="00865611">
        <w:tc>
          <w:tcPr>
            <w:tcW w:w="567" w:type="dxa"/>
            <w:vAlign w:val="center"/>
          </w:tcPr>
          <w:p w14:paraId="7EE51FE6"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1</w:t>
            </w:r>
          </w:p>
        </w:tc>
        <w:tc>
          <w:tcPr>
            <w:tcW w:w="6803" w:type="dxa"/>
            <w:vAlign w:val="center"/>
          </w:tcPr>
          <w:p w14:paraId="3705ABD9" w14:textId="4D28BB09" w:rsidR="00865611" w:rsidRPr="001A69F2" w:rsidRDefault="009F6CA9" w:rsidP="00865611">
            <w:pPr>
              <w:jc w:val="both"/>
              <w:rPr>
                <w:rFonts w:ascii="Arial Narrow" w:hAnsi="Arial Narrow" w:cs="Arial"/>
                <w:sz w:val="20"/>
                <w:szCs w:val="20"/>
              </w:rPr>
            </w:pPr>
            <w:r w:rsidRPr="001A69F2">
              <w:rPr>
                <w:rFonts w:ascii="Arial Narrow" w:hAnsi="Arial Narrow"/>
                <w:sz w:val="20"/>
                <w:szCs w:val="20"/>
              </w:rPr>
              <w:t>De acuerdo con el</w:t>
            </w:r>
            <w:r w:rsidR="00865611" w:rsidRPr="001A69F2">
              <w:rPr>
                <w:rFonts w:ascii="Arial Narrow" w:hAnsi="Arial Narrow"/>
                <w:sz w:val="20"/>
                <w:szCs w:val="20"/>
              </w:rPr>
              <w:t xml:space="preserve"> análisis realizado al Plan de Desarrollo Municipal 2019-2021 de la Entidad Municipal, se identificó que no se integró el esquema de vinculación del Sistema de Planeación Democrática, Se fijaron programas, objetivos, estrategias y líneas de acción de forma clara y concreta, sin embargo; no se encuentra plasmada la alineación con los objetivos del Plan Nacional de Desarrollo y el Plan Estatal de Desarrollo, en función de sus prioridades.</w:t>
            </w:r>
          </w:p>
        </w:tc>
        <w:tc>
          <w:tcPr>
            <w:tcW w:w="1417" w:type="dxa"/>
            <w:vAlign w:val="center"/>
          </w:tcPr>
          <w:p w14:paraId="6F9E6FE2" w14:textId="77777777" w:rsidR="00865611" w:rsidRPr="001A69F2" w:rsidRDefault="00865611" w:rsidP="00865611">
            <w:pPr>
              <w:jc w:val="center"/>
              <w:rPr>
                <w:rFonts w:ascii="Arial Narrow" w:hAnsi="Arial Narrow" w:cs="Arial"/>
                <w:sz w:val="20"/>
                <w:szCs w:val="20"/>
              </w:rPr>
            </w:pPr>
            <w:r w:rsidRPr="001A69F2">
              <w:rPr>
                <w:rFonts w:ascii="Arial Narrow" w:hAnsi="Arial Narrow"/>
                <w:sz w:val="20"/>
                <w:szCs w:val="20"/>
              </w:rPr>
              <w:t>1,067.4</w:t>
            </w:r>
          </w:p>
        </w:tc>
      </w:tr>
      <w:tr w:rsidR="00865611" w:rsidRPr="001A69F2" w14:paraId="2B6126DC" w14:textId="77777777" w:rsidTr="00865611">
        <w:tc>
          <w:tcPr>
            <w:tcW w:w="567" w:type="dxa"/>
            <w:vAlign w:val="center"/>
          </w:tcPr>
          <w:p w14:paraId="58C51930" w14:textId="77777777" w:rsidR="00865611" w:rsidRPr="001A69F2" w:rsidRDefault="00865611" w:rsidP="00865611">
            <w:pPr>
              <w:jc w:val="center"/>
              <w:rPr>
                <w:rFonts w:ascii="Arial Narrow" w:hAnsi="Arial Narrow" w:cs="Arial"/>
                <w:sz w:val="20"/>
                <w:szCs w:val="20"/>
              </w:rPr>
            </w:pPr>
            <w:bookmarkStart w:id="4" w:name="_Hlk118971245"/>
            <w:r>
              <w:rPr>
                <w:rFonts w:ascii="Arial Narrow" w:hAnsi="Arial Narrow" w:cs="Arial"/>
                <w:sz w:val="20"/>
                <w:szCs w:val="20"/>
              </w:rPr>
              <w:t>2</w:t>
            </w:r>
          </w:p>
        </w:tc>
        <w:tc>
          <w:tcPr>
            <w:tcW w:w="6803" w:type="dxa"/>
            <w:vAlign w:val="center"/>
          </w:tcPr>
          <w:p w14:paraId="1C642A65" w14:textId="77777777" w:rsidR="00865611" w:rsidRPr="001A69F2" w:rsidRDefault="00865611" w:rsidP="00865611">
            <w:pPr>
              <w:jc w:val="both"/>
              <w:rPr>
                <w:rFonts w:ascii="Arial Narrow" w:hAnsi="Arial Narrow" w:cs="Arial"/>
                <w:sz w:val="20"/>
                <w:szCs w:val="20"/>
              </w:rPr>
            </w:pPr>
            <w:r w:rsidRPr="001A69F2">
              <w:rPr>
                <w:rFonts w:ascii="Arial Narrow" w:hAnsi="Arial Narrow" w:cs="Arial"/>
                <w:sz w:val="20"/>
                <w:szCs w:val="20"/>
              </w:rPr>
              <w:t>Los bienes inmuebles no presentaron una conciliación físico-contable.</w:t>
            </w:r>
          </w:p>
        </w:tc>
        <w:tc>
          <w:tcPr>
            <w:tcW w:w="1417" w:type="dxa"/>
            <w:vAlign w:val="center"/>
          </w:tcPr>
          <w:p w14:paraId="49BB2401" w14:textId="77777777" w:rsidR="00865611" w:rsidRPr="001A69F2" w:rsidRDefault="00865611" w:rsidP="00865611">
            <w:pPr>
              <w:jc w:val="center"/>
              <w:rPr>
                <w:rFonts w:ascii="Arial Narrow" w:hAnsi="Arial Narrow" w:cs="Arial"/>
                <w:sz w:val="20"/>
                <w:szCs w:val="20"/>
              </w:rPr>
            </w:pPr>
            <w:r w:rsidRPr="001A69F2">
              <w:rPr>
                <w:rFonts w:ascii="Arial Narrow" w:hAnsi="Arial Narrow"/>
                <w:sz w:val="20"/>
                <w:szCs w:val="20"/>
              </w:rPr>
              <w:t>1,067.4</w:t>
            </w:r>
          </w:p>
        </w:tc>
      </w:tr>
      <w:bookmarkEnd w:id="4"/>
      <w:tr w:rsidR="00865611" w:rsidRPr="001A69F2" w14:paraId="0CA83409" w14:textId="77777777" w:rsidTr="00865611">
        <w:tc>
          <w:tcPr>
            <w:tcW w:w="567" w:type="dxa"/>
            <w:vAlign w:val="center"/>
          </w:tcPr>
          <w:p w14:paraId="491CA05C"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3</w:t>
            </w:r>
          </w:p>
        </w:tc>
        <w:tc>
          <w:tcPr>
            <w:tcW w:w="6803" w:type="dxa"/>
            <w:vAlign w:val="center"/>
          </w:tcPr>
          <w:p w14:paraId="6A40CC7A" w14:textId="77777777" w:rsidR="00865611" w:rsidRPr="001A69F2" w:rsidRDefault="00865611" w:rsidP="00865611">
            <w:pPr>
              <w:jc w:val="both"/>
              <w:rPr>
                <w:rFonts w:ascii="Arial Narrow" w:hAnsi="Arial Narrow" w:cs="Arial"/>
                <w:sz w:val="20"/>
                <w:szCs w:val="20"/>
              </w:rPr>
            </w:pPr>
            <w:r w:rsidRPr="001A69F2">
              <w:rPr>
                <w:rFonts w:ascii="Arial Narrow" w:hAnsi="Arial Narrow"/>
                <w:sz w:val="20"/>
                <w:szCs w:val="20"/>
              </w:rPr>
              <w:t>Los movimientos de las altas y bajas contables y administrativas en los bienes muebles e inmuebles difieren.</w:t>
            </w:r>
          </w:p>
        </w:tc>
        <w:tc>
          <w:tcPr>
            <w:tcW w:w="1417" w:type="dxa"/>
            <w:vAlign w:val="center"/>
          </w:tcPr>
          <w:p w14:paraId="52F1431B" w14:textId="77777777" w:rsidR="00865611" w:rsidRPr="001A69F2" w:rsidRDefault="00865611" w:rsidP="00865611">
            <w:pPr>
              <w:jc w:val="center"/>
              <w:rPr>
                <w:rFonts w:ascii="Arial Narrow" w:hAnsi="Arial Narrow"/>
                <w:sz w:val="20"/>
                <w:szCs w:val="20"/>
              </w:rPr>
            </w:pPr>
            <w:bookmarkStart w:id="5" w:name="_Hlk118966256"/>
            <w:r w:rsidRPr="001A69F2">
              <w:rPr>
                <w:rFonts w:ascii="Arial Narrow" w:hAnsi="Arial Narrow"/>
                <w:sz w:val="20"/>
                <w:szCs w:val="20"/>
              </w:rPr>
              <w:t>31,867.5</w:t>
            </w:r>
            <w:bookmarkEnd w:id="5"/>
          </w:p>
        </w:tc>
      </w:tr>
      <w:tr w:rsidR="00865611" w:rsidRPr="001A69F2" w14:paraId="2393DCDD" w14:textId="77777777" w:rsidTr="00865611">
        <w:tc>
          <w:tcPr>
            <w:tcW w:w="567" w:type="dxa"/>
            <w:vAlign w:val="center"/>
          </w:tcPr>
          <w:p w14:paraId="2BE0ECDA"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4</w:t>
            </w:r>
          </w:p>
        </w:tc>
        <w:tc>
          <w:tcPr>
            <w:tcW w:w="6803" w:type="dxa"/>
            <w:vAlign w:val="center"/>
          </w:tcPr>
          <w:p w14:paraId="6EEB27C8" w14:textId="77777777" w:rsidR="00865611" w:rsidRPr="001A69F2" w:rsidRDefault="00865611" w:rsidP="00865611">
            <w:pPr>
              <w:jc w:val="both"/>
              <w:rPr>
                <w:rFonts w:ascii="Arial Narrow" w:hAnsi="Arial Narrow"/>
                <w:sz w:val="20"/>
                <w:szCs w:val="20"/>
              </w:rPr>
            </w:pPr>
            <w:r w:rsidRPr="001A69F2">
              <w:rPr>
                <w:rFonts w:ascii="Arial Narrow" w:hAnsi="Arial Narrow"/>
                <w:sz w:val="20"/>
                <w:szCs w:val="20"/>
              </w:rPr>
              <w:t>Las Dependencias Generales presentaron un inadecuado control entre el egreso ejercido y el cumplimiento de metas.</w:t>
            </w:r>
          </w:p>
        </w:tc>
        <w:tc>
          <w:tcPr>
            <w:tcW w:w="1417" w:type="dxa"/>
            <w:vAlign w:val="center"/>
          </w:tcPr>
          <w:p w14:paraId="4E621386" w14:textId="77777777" w:rsidR="00865611" w:rsidRPr="001A69F2" w:rsidRDefault="00865611" w:rsidP="00865611">
            <w:pPr>
              <w:jc w:val="center"/>
              <w:rPr>
                <w:rFonts w:ascii="Arial Narrow" w:hAnsi="Arial Narrow"/>
                <w:sz w:val="20"/>
                <w:szCs w:val="20"/>
              </w:rPr>
            </w:pPr>
            <w:r w:rsidRPr="001A69F2">
              <w:rPr>
                <w:rFonts w:ascii="Arial Narrow" w:hAnsi="Arial Narrow"/>
                <w:sz w:val="20"/>
                <w:szCs w:val="20"/>
              </w:rPr>
              <w:t>0.0</w:t>
            </w:r>
          </w:p>
        </w:tc>
      </w:tr>
      <w:tr w:rsidR="00B644AB" w:rsidRPr="001A69F2" w14:paraId="48AE73A2" w14:textId="77777777" w:rsidTr="00865611">
        <w:tc>
          <w:tcPr>
            <w:tcW w:w="567" w:type="dxa"/>
            <w:vAlign w:val="center"/>
          </w:tcPr>
          <w:p w14:paraId="7CE82907" w14:textId="77777777" w:rsidR="00B644AB" w:rsidRDefault="00B644AB" w:rsidP="00865611">
            <w:pPr>
              <w:jc w:val="center"/>
              <w:rPr>
                <w:rFonts w:ascii="Arial Narrow" w:hAnsi="Arial Narrow" w:cs="Arial"/>
                <w:sz w:val="20"/>
                <w:szCs w:val="20"/>
              </w:rPr>
            </w:pPr>
          </w:p>
        </w:tc>
        <w:tc>
          <w:tcPr>
            <w:tcW w:w="6803" w:type="dxa"/>
            <w:vAlign w:val="center"/>
          </w:tcPr>
          <w:p w14:paraId="717AE77A" w14:textId="77777777" w:rsidR="00B644AB" w:rsidRPr="001A69F2" w:rsidRDefault="00B644AB" w:rsidP="00865611">
            <w:pPr>
              <w:jc w:val="both"/>
              <w:rPr>
                <w:rFonts w:ascii="Arial Narrow" w:hAnsi="Arial Narrow"/>
                <w:sz w:val="20"/>
                <w:szCs w:val="20"/>
              </w:rPr>
            </w:pPr>
          </w:p>
        </w:tc>
        <w:tc>
          <w:tcPr>
            <w:tcW w:w="1417" w:type="dxa"/>
            <w:vAlign w:val="center"/>
          </w:tcPr>
          <w:p w14:paraId="130F2FEE" w14:textId="77777777" w:rsidR="00B644AB" w:rsidRPr="001A69F2" w:rsidRDefault="00B644AB" w:rsidP="00865611">
            <w:pPr>
              <w:jc w:val="center"/>
              <w:rPr>
                <w:rFonts w:ascii="Arial Narrow" w:hAnsi="Arial Narrow"/>
                <w:sz w:val="20"/>
                <w:szCs w:val="20"/>
              </w:rPr>
            </w:pPr>
          </w:p>
        </w:tc>
      </w:tr>
      <w:tr w:rsidR="00865611" w:rsidRPr="001A69F2" w14:paraId="1BA37551" w14:textId="77777777" w:rsidTr="00865611">
        <w:tc>
          <w:tcPr>
            <w:tcW w:w="567" w:type="dxa"/>
            <w:vAlign w:val="center"/>
          </w:tcPr>
          <w:p w14:paraId="7A8CD450"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5</w:t>
            </w:r>
          </w:p>
        </w:tc>
        <w:tc>
          <w:tcPr>
            <w:tcW w:w="6803" w:type="dxa"/>
            <w:vAlign w:val="center"/>
          </w:tcPr>
          <w:p w14:paraId="07B9EC97" w14:textId="77777777" w:rsidR="00865611" w:rsidRPr="001A69F2" w:rsidRDefault="00865611" w:rsidP="00865611">
            <w:pPr>
              <w:jc w:val="both"/>
              <w:rPr>
                <w:rFonts w:ascii="Arial Narrow" w:hAnsi="Arial Narrow"/>
                <w:sz w:val="20"/>
                <w:szCs w:val="20"/>
              </w:rPr>
            </w:pPr>
            <w:r w:rsidRPr="001A69F2">
              <w:rPr>
                <w:rFonts w:ascii="Arial Narrow" w:hAnsi="Arial Narrow"/>
                <w:sz w:val="20"/>
                <w:szCs w:val="20"/>
              </w:rPr>
              <w:t>La Entidad Municipal presentó un ingreso recaudado menor al egreso ejercido por 2,476.8 miles de pesos, con un cumplimiento de metas del 62.8 por ciento; asimismo, se identificó que algunos programas no ejecutaron sus metas con base a lo planeado.</w:t>
            </w:r>
          </w:p>
        </w:tc>
        <w:tc>
          <w:tcPr>
            <w:tcW w:w="1417" w:type="dxa"/>
            <w:vAlign w:val="center"/>
          </w:tcPr>
          <w:p w14:paraId="02B60326" w14:textId="77777777" w:rsidR="00865611" w:rsidRPr="001A69F2" w:rsidRDefault="00865611" w:rsidP="00865611">
            <w:pPr>
              <w:jc w:val="center"/>
              <w:rPr>
                <w:rFonts w:ascii="Arial Narrow" w:hAnsi="Arial Narrow"/>
                <w:sz w:val="20"/>
                <w:szCs w:val="20"/>
              </w:rPr>
            </w:pPr>
            <w:r w:rsidRPr="001A69F2">
              <w:rPr>
                <w:rFonts w:ascii="Arial Narrow" w:hAnsi="Arial Narrow"/>
                <w:sz w:val="20"/>
                <w:szCs w:val="20"/>
              </w:rPr>
              <w:t>0.0</w:t>
            </w:r>
          </w:p>
        </w:tc>
      </w:tr>
      <w:tr w:rsidR="00865611" w:rsidRPr="001A69F2" w14:paraId="3AD07C99" w14:textId="77777777" w:rsidTr="00865611">
        <w:tc>
          <w:tcPr>
            <w:tcW w:w="567" w:type="dxa"/>
            <w:vAlign w:val="center"/>
          </w:tcPr>
          <w:p w14:paraId="68D853DB"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6</w:t>
            </w:r>
          </w:p>
        </w:tc>
        <w:tc>
          <w:tcPr>
            <w:tcW w:w="6803" w:type="dxa"/>
            <w:vAlign w:val="center"/>
          </w:tcPr>
          <w:p w14:paraId="4E15E893" w14:textId="77777777" w:rsidR="00865611" w:rsidRPr="001A69F2" w:rsidRDefault="00865611" w:rsidP="00865611">
            <w:pPr>
              <w:jc w:val="both"/>
              <w:rPr>
                <w:rFonts w:ascii="Arial Narrow" w:hAnsi="Arial Narrow"/>
                <w:sz w:val="20"/>
                <w:szCs w:val="20"/>
              </w:rPr>
            </w:pPr>
            <w:r w:rsidRPr="001A69F2">
              <w:rPr>
                <w:rFonts w:ascii="Arial Narrow" w:hAnsi="Arial Narrow"/>
                <w:sz w:val="20"/>
                <w:szCs w:val="20"/>
              </w:rPr>
              <w:t>En materia de servicios personales, la Entidad Municipal rebasó el 2.0 por ciento establecido para la asignación de recursos aprobados en su Presupuesto de Egresos, al tener un 21.0 por ciento aplicado.</w:t>
            </w:r>
          </w:p>
        </w:tc>
        <w:tc>
          <w:tcPr>
            <w:tcW w:w="1417" w:type="dxa"/>
            <w:vAlign w:val="center"/>
          </w:tcPr>
          <w:p w14:paraId="39883E72" w14:textId="77777777" w:rsidR="00865611" w:rsidRPr="001A69F2" w:rsidRDefault="00865611" w:rsidP="00865611">
            <w:pPr>
              <w:jc w:val="center"/>
              <w:rPr>
                <w:rFonts w:ascii="Arial Narrow" w:hAnsi="Arial Narrow"/>
                <w:sz w:val="20"/>
                <w:szCs w:val="20"/>
              </w:rPr>
            </w:pPr>
            <w:r w:rsidRPr="001A69F2">
              <w:rPr>
                <w:rFonts w:ascii="Arial Narrow" w:hAnsi="Arial Narrow"/>
                <w:sz w:val="20"/>
                <w:szCs w:val="20"/>
              </w:rPr>
              <w:t>0.0</w:t>
            </w:r>
          </w:p>
        </w:tc>
      </w:tr>
      <w:tr w:rsidR="00865611" w:rsidRPr="001A69F2" w14:paraId="6DE681CB" w14:textId="77777777" w:rsidTr="00865611">
        <w:tc>
          <w:tcPr>
            <w:tcW w:w="567" w:type="dxa"/>
            <w:vAlign w:val="center"/>
          </w:tcPr>
          <w:p w14:paraId="6B48C39C"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7</w:t>
            </w:r>
          </w:p>
        </w:tc>
        <w:tc>
          <w:tcPr>
            <w:tcW w:w="6803" w:type="dxa"/>
            <w:vAlign w:val="center"/>
          </w:tcPr>
          <w:p w14:paraId="61852331" w14:textId="77777777" w:rsidR="00865611" w:rsidRPr="001A69F2" w:rsidRDefault="00865611" w:rsidP="00865611">
            <w:pPr>
              <w:jc w:val="both"/>
              <w:rPr>
                <w:rFonts w:ascii="Arial Narrow" w:hAnsi="Arial Narrow"/>
                <w:sz w:val="20"/>
                <w:szCs w:val="20"/>
              </w:rPr>
            </w:pPr>
            <w:r w:rsidRPr="001A69F2">
              <w:rPr>
                <w:rFonts w:ascii="Arial Narrow" w:hAnsi="Arial Narrow"/>
                <w:sz w:val="20"/>
                <w:szCs w:val="20"/>
              </w:rPr>
              <w:t>De la verificación al concepto de ADEFAS, se identificó el pago por un importe de 7,870.7 miles de pesos, que representa el 6.4 por ciento de los ingresos totales.</w:t>
            </w:r>
          </w:p>
        </w:tc>
        <w:tc>
          <w:tcPr>
            <w:tcW w:w="1417" w:type="dxa"/>
            <w:vAlign w:val="center"/>
          </w:tcPr>
          <w:p w14:paraId="4BA401D1" w14:textId="77777777" w:rsidR="00865611" w:rsidRPr="001A69F2" w:rsidRDefault="00865611" w:rsidP="00865611">
            <w:pPr>
              <w:jc w:val="center"/>
              <w:rPr>
                <w:rFonts w:ascii="Arial Narrow" w:hAnsi="Arial Narrow"/>
                <w:sz w:val="20"/>
                <w:szCs w:val="20"/>
              </w:rPr>
            </w:pPr>
            <w:r w:rsidRPr="001A69F2">
              <w:rPr>
                <w:rFonts w:ascii="Arial Narrow" w:hAnsi="Arial Narrow"/>
                <w:sz w:val="20"/>
                <w:szCs w:val="20"/>
              </w:rPr>
              <w:t>0.0</w:t>
            </w:r>
          </w:p>
        </w:tc>
      </w:tr>
      <w:tr w:rsidR="00865611" w:rsidRPr="001A69F2" w14:paraId="7AE8FF49" w14:textId="77777777" w:rsidTr="00865611">
        <w:tc>
          <w:tcPr>
            <w:tcW w:w="567" w:type="dxa"/>
            <w:vAlign w:val="center"/>
          </w:tcPr>
          <w:p w14:paraId="3F0E44E7"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8</w:t>
            </w:r>
          </w:p>
        </w:tc>
        <w:tc>
          <w:tcPr>
            <w:tcW w:w="6803" w:type="dxa"/>
            <w:vAlign w:val="center"/>
          </w:tcPr>
          <w:p w14:paraId="21762B03" w14:textId="77777777" w:rsidR="00865611" w:rsidRPr="001A69F2" w:rsidRDefault="00865611" w:rsidP="00865611">
            <w:pPr>
              <w:jc w:val="both"/>
              <w:rPr>
                <w:rFonts w:ascii="Arial Narrow" w:hAnsi="Arial Narrow"/>
                <w:sz w:val="20"/>
                <w:szCs w:val="20"/>
              </w:rPr>
            </w:pPr>
            <w:r w:rsidRPr="001A69F2">
              <w:rPr>
                <w:rFonts w:ascii="Arial Narrow" w:hAnsi="Arial Narrow"/>
                <w:sz w:val="20"/>
                <w:szCs w:val="20"/>
              </w:rPr>
              <w:t>De la consulta a su página de Internet, en el apartado de transparencia, se identificó que la Entidad Municipal publicó 12 puntos de los 26 establecidos en la Guía de revisión para el cumplimiento de la LGCG y los documentos emitidos por el CONAC.</w:t>
            </w:r>
          </w:p>
        </w:tc>
        <w:tc>
          <w:tcPr>
            <w:tcW w:w="1417" w:type="dxa"/>
            <w:vAlign w:val="center"/>
          </w:tcPr>
          <w:p w14:paraId="4D5CC471" w14:textId="77777777" w:rsidR="00865611" w:rsidRPr="001A69F2" w:rsidRDefault="00865611" w:rsidP="00865611">
            <w:pPr>
              <w:jc w:val="center"/>
              <w:rPr>
                <w:rFonts w:ascii="Arial Narrow" w:hAnsi="Arial Narrow"/>
                <w:sz w:val="20"/>
                <w:szCs w:val="20"/>
              </w:rPr>
            </w:pPr>
            <w:r w:rsidRPr="001A69F2">
              <w:rPr>
                <w:rFonts w:ascii="Arial Narrow" w:hAnsi="Arial Narrow"/>
                <w:sz w:val="20"/>
                <w:szCs w:val="20"/>
              </w:rPr>
              <w:t>0.0</w:t>
            </w:r>
          </w:p>
        </w:tc>
      </w:tr>
      <w:tr w:rsidR="00865611" w:rsidRPr="001A69F2" w14:paraId="5572406D" w14:textId="77777777" w:rsidTr="00865611">
        <w:tc>
          <w:tcPr>
            <w:tcW w:w="567" w:type="dxa"/>
            <w:vAlign w:val="center"/>
          </w:tcPr>
          <w:p w14:paraId="5796845C" w14:textId="77777777" w:rsidR="00865611" w:rsidRPr="001A69F2" w:rsidRDefault="00865611" w:rsidP="00865611">
            <w:pPr>
              <w:jc w:val="center"/>
              <w:rPr>
                <w:rFonts w:ascii="Arial Narrow" w:hAnsi="Arial Narrow" w:cs="Arial"/>
                <w:sz w:val="20"/>
                <w:szCs w:val="20"/>
              </w:rPr>
            </w:pPr>
            <w:r>
              <w:rPr>
                <w:rFonts w:ascii="Arial Narrow" w:hAnsi="Arial Narrow" w:cs="Arial"/>
                <w:sz w:val="20"/>
                <w:szCs w:val="20"/>
              </w:rPr>
              <w:t>9</w:t>
            </w:r>
          </w:p>
        </w:tc>
        <w:tc>
          <w:tcPr>
            <w:tcW w:w="6803" w:type="dxa"/>
            <w:vAlign w:val="center"/>
          </w:tcPr>
          <w:p w14:paraId="4460AC8A" w14:textId="77777777" w:rsidR="00865611" w:rsidRPr="001A69F2" w:rsidRDefault="00865611" w:rsidP="00865611">
            <w:pPr>
              <w:jc w:val="both"/>
              <w:rPr>
                <w:rFonts w:ascii="Arial Narrow" w:hAnsi="Arial Narrow"/>
                <w:sz w:val="20"/>
                <w:szCs w:val="20"/>
              </w:rPr>
            </w:pPr>
            <w:r w:rsidRPr="001A69F2">
              <w:rPr>
                <w:rFonts w:ascii="Arial Narrow" w:hAnsi="Arial Narrow"/>
                <w:sz w:val="20"/>
                <w:szCs w:val="20"/>
              </w:rPr>
              <w:t>De la verificación realizada entre lo reportado el primer y segundo semestre en el CFDI y lo publicado en IPOMEX, se identificó que de la muestra de 16 servidores públicos de mandos medios y superiores no se publicó su información en el portal de IPOMEX.</w:t>
            </w:r>
          </w:p>
        </w:tc>
        <w:tc>
          <w:tcPr>
            <w:tcW w:w="1417" w:type="dxa"/>
            <w:vAlign w:val="center"/>
          </w:tcPr>
          <w:p w14:paraId="4BC81248" w14:textId="77777777" w:rsidR="00865611" w:rsidRPr="001A69F2" w:rsidRDefault="00865611" w:rsidP="00865611">
            <w:pPr>
              <w:jc w:val="center"/>
              <w:rPr>
                <w:rFonts w:ascii="Arial Narrow" w:hAnsi="Arial Narrow"/>
                <w:sz w:val="20"/>
                <w:szCs w:val="20"/>
              </w:rPr>
            </w:pPr>
            <w:r w:rsidRPr="001A69F2">
              <w:rPr>
                <w:rFonts w:ascii="Arial Narrow" w:hAnsi="Arial Narrow"/>
                <w:sz w:val="20"/>
                <w:szCs w:val="20"/>
              </w:rPr>
              <w:t>0.0</w:t>
            </w:r>
          </w:p>
        </w:tc>
      </w:tr>
    </w:tbl>
    <w:p w14:paraId="060537B2" w14:textId="22E67A75" w:rsidR="00420B15" w:rsidRPr="00466AB9" w:rsidRDefault="00466AB9" w:rsidP="00466AB9">
      <w:pPr>
        <w:spacing w:after="0" w:line="240" w:lineRule="auto"/>
        <w:jc w:val="both"/>
        <w:rPr>
          <w:rFonts w:ascii="Arial" w:hAnsi="Arial" w:cs="Arial"/>
          <w:color w:val="000000" w:themeColor="text1"/>
          <w:sz w:val="16"/>
          <w:szCs w:val="16"/>
          <w:shd w:val="clear" w:color="auto" w:fill="FFFFFF"/>
        </w:rPr>
      </w:pPr>
      <w:r w:rsidRPr="00466AB9">
        <w:rPr>
          <w:rFonts w:ascii="Arial" w:hAnsi="Arial" w:cs="Arial"/>
          <w:color w:val="000000" w:themeColor="text1"/>
          <w:sz w:val="16"/>
          <w:szCs w:val="16"/>
          <w:shd w:val="clear" w:color="auto" w:fill="FFFFFF"/>
        </w:rPr>
        <w:t>Fuente: Elaboración propia con información proporcionada por del</w:t>
      </w:r>
      <w:r w:rsidRPr="00466AB9">
        <w:rPr>
          <w:sz w:val="16"/>
          <w:szCs w:val="16"/>
        </w:rPr>
        <w:t xml:space="preserve"> </w:t>
      </w:r>
      <w:r w:rsidRPr="00466AB9">
        <w:rPr>
          <w:rFonts w:ascii="Arial" w:hAnsi="Arial" w:cs="Arial"/>
          <w:color w:val="000000" w:themeColor="text1"/>
          <w:sz w:val="16"/>
          <w:szCs w:val="16"/>
          <w:shd w:val="clear" w:color="auto" w:fill="FFFFFF"/>
        </w:rPr>
        <w:t>Informe de Resultados Ejercicio Fiscal 2020. Revisión de la Cuenta Municipal. Libro 20 Timilpan-Tonatico.</w:t>
      </w:r>
    </w:p>
    <w:p w14:paraId="3AEF207D" w14:textId="77777777" w:rsidR="007661C3" w:rsidRDefault="007661C3" w:rsidP="00420B15">
      <w:pPr>
        <w:spacing w:after="0" w:line="360" w:lineRule="auto"/>
        <w:jc w:val="both"/>
        <w:rPr>
          <w:rFonts w:ascii="Arial" w:hAnsi="Arial" w:cs="Arial"/>
          <w:color w:val="000000" w:themeColor="text1"/>
          <w:sz w:val="24"/>
          <w:szCs w:val="24"/>
          <w:shd w:val="clear" w:color="auto" w:fill="FFFFFF"/>
        </w:rPr>
      </w:pPr>
    </w:p>
    <w:p w14:paraId="6DFBFC13" w14:textId="4603BDEB" w:rsidR="00B3224F" w:rsidRDefault="00B3224F" w:rsidP="00420B15">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En virtud de que existen </w:t>
      </w:r>
      <w:r w:rsidR="00B13F37">
        <w:rPr>
          <w:rFonts w:ascii="Arial" w:hAnsi="Arial" w:cs="Arial"/>
          <w:color w:val="000000" w:themeColor="text1"/>
          <w:sz w:val="24"/>
          <w:szCs w:val="24"/>
          <w:shd w:val="clear" w:color="auto" w:fill="FFFFFF"/>
        </w:rPr>
        <w:t xml:space="preserve">deficiencias en el manejo de la hacienda pública municipal y </w:t>
      </w:r>
      <w:r w:rsidR="00964E8C">
        <w:rPr>
          <w:rFonts w:ascii="Arial" w:hAnsi="Arial" w:cs="Arial"/>
          <w:color w:val="000000" w:themeColor="text1"/>
          <w:sz w:val="24"/>
          <w:szCs w:val="24"/>
          <w:shd w:val="clear" w:color="auto" w:fill="FFFFFF"/>
        </w:rPr>
        <w:t xml:space="preserve">en </w:t>
      </w:r>
      <w:r w:rsidR="00B13F37">
        <w:rPr>
          <w:rFonts w:ascii="Arial" w:hAnsi="Arial" w:cs="Arial"/>
          <w:color w:val="000000" w:themeColor="text1"/>
          <w:sz w:val="24"/>
          <w:szCs w:val="24"/>
          <w:shd w:val="clear" w:color="auto" w:fill="FFFFFF"/>
        </w:rPr>
        <w:t xml:space="preserve">el cumplimiento de </w:t>
      </w:r>
      <w:r w:rsidR="00542E73">
        <w:rPr>
          <w:rFonts w:ascii="Arial" w:hAnsi="Arial" w:cs="Arial"/>
          <w:color w:val="000000" w:themeColor="text1"/>
          <w:sz w:val="24"/>
          <w:szCs w:val="24"/>
          <w:shd w:val="clear" w:color="auto" w:fill="FFFFFF"/>
        </w:rPr>
        <w:t>los programas, metas y objetivos</w:t>
      </w:r>
      <w:r w:rsidR="00B13F37">
        <w:rPr>
          <w:rFonts w:ascii="Arial" w:hAnsi="Arial" w:cs="Arial"/>
          <w:color w:val="000000" w:themeColor="text1"/>
          <w:sz w:val="24"/>
          <w:szCs w:val="24"/>
          <w:shd w:val="clear" w:color="auto" w:fill="FFFFFF"/>
        </w:rPr>
        <w:t xml:space="preserve"> institucionales, resulta de vital importancia que la actual administración del municipio de Timilpan, en estricto apego a </w:t>
      </w:r>
      <w:r w:rsidR="00B644AB">
        <w:rPr>
          <w:rFonts w:ascii="Arial" w:hAnsi="Arial" w:cs="Arial"/>
          <w:color w:val="000000" w:themeColor="text1"/>
          <w:sz w:val="24"/>
          <w:szCs w:val="24"/>
          <w:shd w:val="clear" w:color="auto" w:fill="FFFFFF"/>
        </w:rPr>
        <w:t>sus</w:t>
      </w:r>
      <w:r w:rsidR="00B13F37">
        <w:rPr>
          <w:rFonts w:ascii="Arial" w:hAnsi="Arial" w:cs="Arial"/>
          <w:color w:val="000000" w:themeColor="text1"/>
          <w:sz w:val="24"/>
          <w:szCs w:val="24"/>
          <w:shd w:val="clear" w:color="auto" w:fill="FFFFFF"/>
        </w:rPr>
        <w:t xml:space="preserve"> obligaciones de transparencia y rendición de cuentas, atienda las observaciones señaladas en </w:t>
      </w:r>
      <w:r w:rsidR="00466AB9">
        <w:rPr>
          <w:rFonts w:ascii="Arial" w:hAnsi="Arial" w:cs="Arial"/>
          <w:color w:val="000000" w:themeColor="text1"/>
          <w:sz w:val="24"/>
          <w:szCs w:val="24"/>
          <w:shd w:val="clear" w:color="auto" w:fill="FFFFFF"/>
        </w:rPr>
        <w:t>el Informe de la</w:t>
      </w:r>
      <w:r w:rsidR="00B13F37">
        <w:rPr>
          <w:rFonts w:ascii="Arial" w:hAnsi="Arial" w:cs="Arial"/>
          <w:color w:val="000000" w:themeColor="text1"/>
          <w:sz w:val="24"/>
          <w:szCs w:val="24"/>
          <w:shd w:val="clear" w:color="auto" w:fill="FFFFFF"/>
        </w:rPr>
        <w:t xml:space="preserve"> Cuenta Pública Municipal del ejercicio fiscal 2020, elaborad</w:t>
      </w:r>
      <w:r w:rsidR="00466AB9">
        <w:rPr>
          <w:rFonts w:ascii="Arial" w:hAnsi="Arial" w:cs="Arial"/>
          <w:color w:val="000000" w:themeColor="text1"/>
          <w:sz w:val="24"/>
          <w:szCs w:val="24"/>
          <w:shd w:val="clear" w:color="auto" w:fill="FFFFFF"/>
        </w:rPr>
        <w:t>o</w:t>
      </w:r>
      <w:r w:rsidR="00B13F37">
        <w:rPr>
          <w:rFonts w:ascii="Arial" w:hAnsi="Arial" w:cs="Arial"/>
          <w:color w:val="000000" w:themeColor="text1"/>
          <w:sz w:val="24"/>
          <w:szCs w:val="24"/>
          <w:shd w:val="clear" w:color="auto" w:fill="FFFFFF"/>
        </w:rPr>
        <w:t xml:space="preserve"> por el Órgano Superior de Fiscalización del Estado de México</w:t>
      </w:r>
      <w:r w:rsidR="00B644AB">
        <w:rPr>
          <w:rFonts w:ascii="Arial" w:hAnsi="Arial" w:cs="Arial"/>
          <w:color w:val="000000" w:themeColor="text1"/>
          <w:sz w:val="24"/>
          <w:szCs w:val="24"/>
          <w:shd w:val="clear" w:color="auto" w:fill="FFFFFF"/>
        </w:rPr>
        <w:t xml:space="preserve">, de conformidad con lo establecido por la Ley de Fiscalización Superior del Estado de </w:t>
      </w:r>
      <w:r w:rsidR="005542AB">
        <w:rPr>
          <w:rFonts w:ascii="Arial" w:hAnsi="Arial" w:cs="Arial"/>
          <w:color w:val="000000" w:themeColor="text1"/>
          <w:sz w:val="24"/>
          <w:szCs w:val="24"/>
          <w:shd w:val="clear" w:color="auto" w:fill="FFFFFF"/>
        </w:rPr>
        <w:t>México, la Ley de Responsabilidades Administrativas del Estado de México y demás normatividad aplicable.</w:t>
      </w:r>
    </w:p>
    <w:p w14:paraId="6F141897" w14:textId="08E40331" w:rsidR="00420B15" w:rsidRDefault="00420B15" w:rsidP="00420B15">
      <w:pPr>
        <w:spacing w:after="0" w:line="360" w:lineRule="auto"/>
        <w:jc w:val="both"/>
        <w:rPr>
          <w:rFonts w:ascii="Arial" w:hAnsi="Arial" w:cs="Arial"/>
          <w:color w:val="000000" w:themeColor="text1"/>
          <w:sz w:val="24"/>
          <w:szCs w:val="24"/>
          <w:shd w:val="clear" w:color="auto" w:fill="FFFFFF"/>
        </w:rPr>
      </w:pPr>
    </w:p>
    <w:p w14:paraId="31E0DCE7" w14:textId="6AD4ACEA" w:rsidR="006A4B25" w:rsidRPr="006A4B25" w:rsidRDefault="00087F15" w:rsidP="006A4B25">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Asimismo, </w:t>
      </w:r>
      <w:r w:rsidR="00964E8C">
        <w:rPr>
          <w:rFonts w:ascii="Arial" w:hAnsi="Arial" w:cs="Arial"/>
          <w:color w:val="000000" w:themeColor="text1"/>
          <w:sz w:val="24"/>
          <w:szCs w:val="24"/>
          <w:shd w:val="clear" w:color="auto" w:fill="FFFFFF"/>
        </w:rPr>
        <w:t xml:space="preserve">resulta necesario que </w:t>
      </w:r>
      <w:r w:rsidR="00542E73">
        <w:rPr>
          <w:rFonts w:ascii="Arial" w:hAnsi="Arial" w:cs="Arial"/>
          <w:color w:val="000000" w:themeColor="text1"/>
          <w:sz w:val="24"/>
          <w:szCs w:val="24"/>
          <w:shd w:val="clear" w:color="auto" w:fill="FFFFFF"/>
        </w:rPr>
        <w:t>se dé</w:t>
      </w:r>
      <w:r>
        <w:rPr>
          <w:rFonts w:ascii="Arial" w:hAnsi="Arial" w:cs="Arial"/>
          <w:color w:val="000000" w:themeColor="text1"/>
          <w:sz w:val="24"/>
          <w:szCs w:val="24"/>
          <w:shd w:val="clear" w:color="auto" w:fill="FFFFFF"/>
        </w:rPr>
        <w:t xml:space="preserve"> cumplimiento del artículo noveno del </w:t>
      </w:r>
      <w:r w:rsidR="006A4B25">
        <w:rPr>
          <w:rFonts w:ascii="Arial" w:hAnsi="Arial" w:cs="Arial"/>
          <w:color w:val="000000" w:themeColor="text1"/>
          <w:sz w:val="24"/>
          <w:szCs w:val="24"/>
          <w:shd w:val="clear" w:color="auto" w:fill="FFFFFF"/>
        </w:rPr>
        <w:t>D</w:t>
      </w:r>
      <w:r>
        <w:rPr>
          <w:rFonts w:ascii="Arial" w:hAnsi="Arial" w:cs="Arial"/>
          <w:color w:val="000000" w:themeColor="text1"/>
          <w:sz w:val="24"/>
          <w:szCs w:val="24"/>
          <w:shd w:val="clear" w:color="auto" w:fill="FFFFFF"/>
        </w:rPr>
        <w:t>ecreto</w:t>
      </w:r>
      <w:r w:rsidR="006A4B25">
        <w:rPr>
          <w:rFonts w:ascii="Arial" w:hAnsi="Arial" w:cs="Arial"/>
          <w:color w:val="000000" w:themeColor="text1"/>
          <w:sz w:val="24"/>
          <w:szCs w:val="24"/>
          <w:shd w:val="clear" w:color="auto" w:fill="FFFFFF"/>
        </w:rPr>
        <w:t xml:space="preserve"> 49 p</w:t>
      </w:r>
      <w:r w:rsidR="006A4B25" w:rsidRPr="006A4B25">
        <w:rPr>
          <w:rFonts w:ascii="Arial" w:hAnsi="Arial" w:cs="Arial"/>
          <w:color w:val="000000" w:themeColor="text1"/>
          <w:sz w:val="24"/>
          <w:szCs w:val="24"/>
          <w:shd w:val="clear" w:color="auto" w:fill="FFFFFF"/>
        </w:rPr>
        <w:t>or el que se aprueba la cuenta pública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006A4B25">
        <w:rPr>
          <w:rStyle w:val="Refdenotaalpie"/>
          <w:rFonts w:ascii="Arial" w:hAnsi="Arial" w:cs="Arial"/>
          <w:color w:val="000000" w:themeColor="text1"/>
          <w:sz w:val="24"/>
          <w:szCs w:val="24"/>
          <w:shd w:val="clear" w:color="auto" w:fill="FFFFFF"/>
        </w:rPr>
        <w:footnoteReference w:id="4"/>
      </w:r>
      <w:r w:rsidR="00A96E56">
        <w:rPr>
          <w:rFonts w:ascii="Arial" w:hAnsi="Arial" w:cs="Arial"/>
          <w:color w:val="000000" w:themeColor="text1"/>
          <w:sz w:val="24"/>
          <w:szCs w:val="24"/>
          <w:shd w:val="clear" w:color="auto" w:fill="FFFFFF"/>
        </w:rPr>
        <w:t xml:space="preserve">, publicado </w:t>
      </w:r>
      <w:r w:rsidR="00820768">
        <w:rPr>
          <w:rFonts w:ascii="Arial" w:hAnsi="Arial" w:cs="Arial"/>
          <w:color w:val="000000" w:themeColor="text1"/>
          <w:sz w:val="24"/>
          <w:szCs w:val="24"/>
          <w:shd w:val="clear" w:color="auto" w:fill="FFFFFF"/>
        </w:rPr>
        <w:t xml:space="preserve">el 8 de abril del 2022 en el Periódico Oficial Gaceta de Gobierno, </w:t>
      </w:r>
      <w:r w:rsidR="00542E73">
        <w:rPr>
          <w:rFonts w:ascii="Arial" w:hAnsi="Arial" w:cs="Arial"/>
          <w:color w:val="000000" w:themeColor="text1"/>
          <w:sz w:val="24"/>
          <w:szCs w:val="24"/>
          <w:shd w:val="clear" w:color="auto" w:fill="FFFFFF"/>
        </w:rPr>
        <w:t xml:space="preserve">que </w:t>
      </w:r>
      <w:r w:rsidR="00A96E56">
        <w:rPr>
          <w:rFonts w:ascii="Arial" w:hAnsi="Arial" w:cs="Arial"/>
          <w:color w:val="000000" w:themeColor="text1"/>
          <w:sz w:val="24"/>
          <w:szCs w:val="24"/>
          <w:shd w:val="clear" w:color="auto" w:fill="FFFFFF"/>
        </w:rPr>
        <w:t>menciona lo siguiente:</w:t>
      </w:r>
    </w:p>
    <w:p w14:paraId="2D2DFA19" w14:textId="12DFABA9" w:rsidR="00087F15" w:rsidRDefault="00087F15" w:rsidP="00420B15">
      <w:pPr>
        <w:spacing w:after="0" w:line="360" w:lineRule="auto"/>
        <w:jc w:val="both"/>
        <w:rPr>
          <w:rFonts w:ascii="Arial" w:hAnsi="Arial" w:cs="Arial"/>
          <w:color w:val="000000" w:themeColor="text1"/>
          <w:sz w:val="24"/>
          <w:szCs w:val="24"/>
          <w:shd w:val="clear" w:color="auto" w:fill="FFFFFF"/>
        </w:rPr>
      </w:pPr>
    </w:p>
    <w:p w14:paraId="29C93C47" w14:textId="2844AD69" w:rsidR="00A96E56" w:rsidRPr="00820768" w:rsidRDefault="00820768" w:rsidP="00820768">
      <w:pPr>
        <w:spacing w:after="0" w:line="240" w:lineRule="auto"/>
        <w:ind w:left="567" w:right="567"/>
        <w:jc w:val="both"/>
        <w:rPr>
          <w:rFonts w:ascii="Arial" w:hAnsi="Arial" w:cs="Arial"/>
          <w:b/>
          <w:bCs/>
          <w:i/>
          <w:iCs/>
          <w:color w:val="000000" w:themeColor="text1"/>
          <w:sz w:val="20"/>
          <w:szCs w:val="20"/>
          <w:shd w:val="clear" w:color="auto" w:fill="FFFFFF"/>
        </w:rPr>
      </w:pPr>
      <w:r w:rsidRPr="00820768">
        <w:rPr>
          <w:rFonts w:ascii="Arial" w:hAnsi="Arial" w:cs="Arial"/>
          <w:i/>
          <w:iCs/>
          <w:color w:val="000000" w:themeColor="text1"/>
          <w:sz w:val="20"/>
          <w:szCs w:val="20"/>
          <w:shd w:val="clear" w:color="auto" w:fill="FFFFFF"/>
        </w:rPr>
        <w:t xml:space="preserve">ARTÍCULO NOVENO.- Con la finalidad de dar seguimiento en la evolución de las acciones llevadas a cabo respecto a 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w:t>
      </w:r>
      <w:r w:rsidRPr="00820768">
        <w:rPr>
          <w:rFonts w:ascii="Arial" w:hAnsi="Arial" w:cs="Arial"/>
          <w:b/>
          <w:bCs/>
          <w:i/>
          <w:iCs/>
          <w:color w:val="000000" w:themeColor="text1"/>
          <w:sz w:val="20"/>
          <w:szCs w:val="20"/>
          <w:shd w:val="clear" w:color="auto" w:fill="FFFFFF"/>
        </w:rPr>
        <w:t xml:space="preserve">a partir de la entrada en vigor del presente Decreto, el Órgano Superior de Fiscalización del Estado de México deberá enviar a la Comisión de Vigilancia del Órgano Superior de Fiscalización informes trimestrales del avance de la </w:t>
      </w:r>
      <w:proofErr w:type="spellStart"/>
      <w:r w:rsidRPr="00820768">
        <w:rPr>
          <w:rFonts w:ascii="Arial" w:hAnsi="Arial" w:cs="Arial"/>
          <w:b/>
          <w:bCs/>
          <w:i/>
          <w:iCs/>
          <w:color w:val="000000" w:themeColor="text1"/>
          <w:sz w:val="20"/>
          <w:szCs w:val="20"/>
          <w:shd w:val="clear" w:color="auto" w:fill="FFFFFF"/>
        </w:rPr>
        <w:t>solventación</w:t>
      </w:r>
      <w:proofErr w:type="spellEnd"/>
      <w:r w:rsidRPr="00820768">
        <w:rPr>
          <w:rFonts w:ascii="Arial" w:hAnsi="Arial" w:cs="Arial"/>
          <w:b/>
          <w:bCs/>
          <w:i/>
          <w:iCs/>
          <w:color w:val="000000" w:themeColor="text1"/>
          <w:sz w:val="20"/>
          <w:szCs w:val="20"/>
          <w:shd w:val="clear" w:color="auto" w:fill="FFFFFF"/>
        </w:rPr>
        <w:t xml:space="preserve">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2020.</w:t>
      </w:r>
      <w:r>
        <w:rPr>
          <w:rFonts w:ascii="Arial" w:hAnsi="Arial" w:cs="Arial"/>
          <w:b/>
          <w:bCs/>
          <w:i/>
          <w:iCs/>
          <w:color w:val="000000" w:themeColor="text1"/>
          <w:sz w:val="20"/>
          <w:szCs w:val="20"/>
          <w:shd w:val="clear" w:color="auto" w:fill="FFFFFF"/>
        </w:rPr>
        <w:t xml:space="preserve"> </w:t>
      </w:r>
      <w:r>
        <w:rPr>
          <w:rFonts w:ascii="Arial" w:hAnsi="Arial" w:cs="Arial"/>
          <w:b/>
          <w:bCs/>
          <w:color w:val="000000" w:themeColor="text1"/>
          <w:sz w:val="20"/>
          <w:szCs w:val="20"/>
          <w:shd w:val="clear" w:color="auto" w:fill="FFFFFF"/>
        </w:rPr>
        <w:t>(</w:t>
      </w:r>
      <w:r w:rsidRPr="00820768">
        <w:rPr>
          <w:rFonts w:ascii="Arial" w:hAnsi="Arial" w:cs="Arial"/>
          <w:b/>
          <w:bCs/>
          <w:color w:val="000000" w:themeColor="text1"/>
          <w:sz w:val="20"/>
          <w:szCs w:val="20"/>
          <w:shd w:val="clear" w:color="auto" w:fill="FFFFFF"/>
        </w:rPr>
        <w:t>Énfasis añadido).</w:t>
      </w:r>
    </w:p>
    <w:p w14:paraId="0E579946" w14:textId="77777777" w:rsidR="00A96E56" w:rsidRDefault="00A96E56" w:rsidP="00420B15">
      <w:pPr>
        <w:spacing w:after="0" w:line="360" w:lineRule="auto"/>
        <w:jc w:val="both"/>
        <w:rPr>
          <w:rFonts w:ascii="Arial" w:hAnsi="Arial" w:cs="Arial"/>
          <w:color w:val="000000" w:themeColor="text1"/>
          <w:sz w:val="24"/>
          <w:szCs w:val="24"/>
          <w:shd w:val="clear" w:color="auto" w:fill="FFFFFF"/>
        </w:rPr>
      </w:pPr>
    </w:p>
    <w:p w14:paraId="59255B77" w14:textId="7147F1D4" w:rsidR="00420B15" w:rsidRDefault="00820768" w:rsidP="00420B15">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w:t>
      </w:r>
      <w:r w:rsidR="00420B15">
        <w:rPr>
          <w:rFonts w:ascii="Arial" w:hAnsi="Arial" w:cs="Arial"/>
          <w:color w:val="000000" w:themeColor="text1"/>
          <w:sz w:val="24"/>
          <w:szCs w:val="24"/>
          <w:shd w:val="clear" w:color="auto" w:fill="FFFFFF"/>
        </w:rPr>
        <w:t>as Legisladoras integrantes del Grupo Parlamentario del Partido Verde Ecologista de México, reconocemos que las nulas</w:t>
      </w:r>
      <w:r w:rsidR="00466AB9">
        <w:rPr>
          <w:rFonts w:ascii="Arial" w:hAnsi="Arial" w:cs="Arial"/>
          <w:color w:val="000000" w:themeColor="text1"/>
          <w:sz w:val="24"/>
          <w:szCs w:val="24"/>
          <w:shd w:val="clear" w:color="auto" w:fill="FFFFFF"/>
        </w:rPr>
        <w:t xml:space="preserve">, </w:t>
      </w:r>
      <w:r w:rsidR="00420B15">
        <w:rPr>
          <w:rFonts w:ascii="Arial" w:hAnsi="Arial" w:cs="Arial"/>
          <w:color w:val="000000" w:themeColor="text1"/>
          <w:sz w:val="24"/>
          <w:szCs w:val="24"/>
          <w:shd w:val="clear" w:color="auto" w:fill="FFFFFF"/>
        </w:rPr>
        <w:t>malas</w:t>
      </w:r>
      <w:r w:rsidR="00466AB9">
        <w:rPr>
          <w:rFonts w:ascii="Arial" w:hAnsi="Arial" w:cs="Arial"/>
          <w:color w:val="000000" w:themeColor="text1"/>
          <w:sz w:val="24"/>
          <w:szCs w:val="24"/>
          <w:shd w:val="clear" w:color="auto" w:fill="FFFFFF"/>
        </w:rPr>
        <w:t xml:space="preserve"> o deficientes</w:t>
      </w:r>
      <w:r w:rsidR="00420B15">
        <w:rPr>
          <w:rFonts w:ascii="Arial" w:hAnsi="Arial" w:cs="Arial"/>
          <w:color w:val="000000" w:themeColor="text1"/>
          <w:sz w:val="24"/>
          <w:szCs w:val="24"/>
          <w:shd w:val="clear" w:color="auto" w:fill="FFFFFF"/>
        </w:rPr>
        <w:t xml:space="preserve"> prácticas administrativas y financieras de los gobiernos locales, son en detrimento de la población mexiquense, quienes </w:t>
      </w:r>
      <w:r w:rsidR="00466AB9">
        <w:rPr>
          <w:rFonts w:ascii="Arial" w:hAnsi="Arial" w:cs="Arial"/>
          <w:color w:val="000000" w:themeColor="text1"/>
          <w:sz w:val="24"/>
          <w:szCs w:val="24"/>
          <w:shd w:val="clear" w:color="auto" w:fill="FFFFFF"/>
        </w:rPr>
        <w:t xml:space="preserve">al final </w:t>
      </w:r>
      <w:r w:rsidR="00420B15">
        <w:rPr>
          <w:rFonts w:ascii="Arial" w:hAnsi="Arial" w:cs="Arial"/>
          <w:color w:val="000000" w:themeColor="text1"/>
          <w:sz w:val="24"/>
          <w:szCs w:val="24"/>
          <w:shd w:val="clear" w:color="auto" w:fill="FFFFFF"/>
        </w:rPr>
        <w:t>padece</w:t>
      </w:r>
      <w:r w:rsidR="005542AB">
        <w:rPr>
          <w:rFonts w:ascii="Arial" w:hAnsi="Arial" w:cs="Arial"/>
          <w:color w:val="000000" w:themeColor="text1"/>
          <w:sz w:val="24"/>
          <w:szCs w:val="24"/>
          <w:shd w:val="clear" w:color="auto" w:fill="FFFFFF"/>
        </w:rPr>
        <w:t xml:space="preserve">mos </w:t>
      </w:r>
      <w:r w:rsidR="00420B15">
        <w:rPr>
          <w:rFonts w:ascii="Arial" w:hAnsi="Arial" w:cs="Arial"/>
          <w:color w:val="000000" w:themeColor="text1"/>
          <w:sz w:val="24"/>
          <w:szCs w:val="24"/>
          <w:shd w:val="clear" w:color="auto" w:fill="FFFFFF"/>
        </w:rPr>
        <w:t>de la ausencia de los bienes y servicios públicos</w:t>
      </w:r>
      <w:r w:rsidR="00466AB9">
        <w:rPr>
          <w:rFonts w:ascii="Arial" w:hAnsi="Arial" w:cs="Arial"/>
          <w:color w:val="000000" w:themeColor="text1"/>
          <w:sz w:val="24"/>
          <w:szCs w:val="24"/>
          <w:shd w:val="clear" w:color="auto" w:fill="FFFFFF"/>
        </w:rPr>
        <w:t xml:space="preserve">. </w:t>
      </w:r>
    </w:p>
    <w:p w14:paraId="3CEC87DF" w14:textId="77777777" w:rsidR="00420B15" w:rsidRDefault="00420B15" w:rsidP="00420B15">
      <w:pPr>
        <w:spacing w:after="0" w:line="360" w:lineRule="auto"/>
        <w:jc w:val="both"/>
        <w:rPr>
          <w:rFonts w:ascii="Arial" w:hAnsi="Arial" w:cs="Arial"/>
          <w:color w:val="000000" w:themeColor="text1"/>
          <w:sz w:val="24"/>
          <w:szCs w:val="24"/>
          <w:shd w:val="clear" w:color="auto" w:fill="FFFFFF"/>
        </w:rPr>
      </w:pPr>
    </w:p>
    <w:p w14:paraId="5B2BAA98" w14:textId="224B473F" w:rsidR="00865611" w:rsidRDefault="00466AB9" w:rsidP="00420B15">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Así pues, tenemos a bien a presentar la siguiente </w:t>
      </w:r>
      <w:r w:rsidR="00420B15">
        <w:rPr>
          <w:rFonts w:ascii="Arial" w:hAnsi="Arial" w:cs="Arial"/>
          <w:color w:val="000000" w:themeColor="text1"/>
          <w:sz w:val="24"/>
          <w:szCs w:val="24"/>
          <w:shd w:val="clear" w:color="auto" w:fill="FFFFFF"/>
        </w:rPr>
        <w:t>proposición con punto de acuerdo</w:t>
      </w:r>
      <w:r>
        <w:rPr>
          <w:rFonts w:ascii="Arial" w:hAnsi="Arial" w:cs="Arial"/>
          <w:color w:val="000000" w:themeColor="text1"/>
          <w:sz w:val="24"/>
          <w:szCs w:val="24"/>
          <w:shd w:val="clear" w:color="auto" w:fill="FFFFFF"/>
        </w:rPr>
        <w:t>, con la finalidad de</w:t>
      </w:r>
      <w:r w:rsidR="00420B15">
        <w:rPr>
          <w:rFonts w:ascii="Arial" w:hAnsi="Arial" w:cs="Arial"/>
          <w:color w:val="000000" w:themeColor="text1"/>
          <w:sz w:val="24"/>
          <w:szCs w:val="24"/>
          <w:shd w:val="clear" w:color="auto" w:fill="FFFFFF"/>
        </w:rPr>
        <w:t xml:space="preserve"> dar </w:t>
      </w:r>
      <w:proofErr w:type="spellStart"/>
      <w:r w:rsidR="00420B15">
        <w:rPr>
          <w:rFonts w:ascii="Arial" w:hAnsi="Arial" w:cs="Arial"/>
          <w:color w:val="000000" w:themeColor="text1"/>
          <w:sz w:val="24"/>
          <w:szCs w:val="24"/>
          <w:shd w:val="clear" w:color="auto" w:fill="FFFFFF"/>
        </w:rPr>
        <w:t>cumplimento</w:t>
      </w:r>
      <w:proofErr w:type="spellEnd"/>
      <w:r w:rsidR="00420B15">
        <w:rPr>
          <w:rFonts w:ascii="Arial" w:hAnsi="Arial" w:cs="Arial"/>
          <w:color w:val="000000" w:themeColor="text1"/>
          <w:sz w:val="24"/>
          <w:szCs w:val="24"/>
          <w:shd w:val="clear" w:color="auto" w:fill="FFFFFF"/>
        </w:rPr>
        <w:t xml:space="preserve"> al mandato constitucional, en el cual se establece el deber del Estado </w:t>
      </w:r>
      <w:r w:rsidR="005542AB">
        <w:rPr>
          <w:rFonts w:ascii="Arial" w:hAnsi="Arial" w:cs="Arial"/>
          <w:color w:val="000000" w:themeColor="text1"/>
          <w:sz w:val="24"/>
          <w:szCs w:val="24"/>
          <w:shd w:val="clear" w:color="auto" w:fill="FFFFFF"/>
        </w:rPr>
        <w:t>de</w:t>
      </w:r>
      <w:r w:rsidR="00420B15">
        <w:rPr>
          <w:rFonts w:ascii="Arial" w:hAnsi="Arial" w:cs="Arial"/>
          <w:color w:val="000000" w:themeColor="text1"/>
          <w:sz w:val="24"/>
          <w:szCs w:val="24"/>
          <w:shd w:val="clear" w:color="auto" w:fill="FFFFFF"/>
        </w:rPr>
        <w:t xml:space="preserve"> velar por la estabilidad de las finanzas públicas en cada uno de los niveles de gobierno, destacando la esfera municipal. </w:t>
      </w:r>
    </w:p>
    <w:p w14:paraId="695AA07D" w14:textId="77777777" w:rsidR="00865611" w:rsidRDefault="00865611" w:rsidP="00420B15">
      <w:pPr>
        <w:spacing w:after="0" w:line="360" w:lineRule="auto"/>
        <w:jc w:val="both"/>
        <w:rPr>
          <w:rFonts w:ascii="Arial" w:hAnsi="Arial" w:cs="Arial"/>
          <w:color w:val="000000" w:themeColor="text1"/>
          <w:sz w:val="24"/>
          <w:szCs w:val="24"/>
          <w:shd w:val="clear" w:color="auto" w:fill="FFFFFF"/>
        </w:rPr>
      </w:pPr>
    </w:p>
    <w:p w14:paraId="6DFB4048" w14:textId="426F7E52" w:rsidR="00677115" w:rsidRPr="00677115" w:rsidRDefault="00F52721" w:rsidP="00420B15">
      <w:pPr>
        <w:spacing w:line="360" w:lineRule="auto"/>
        <w:jc w:val="both"/>
        <w:rPr>
          <w:rFonts w:ascii="Arial" w:hAnsi="Arial" w:cs="Arial"/>
          <w:b/>
          <w:bCs/>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31705B">
        <w:rPr>
          <w:rFonts w:ascii="Arial" w:hAnsi="Arial" w:cs="Arial"/>
          <w:sz w:val="24"/>
          <w:szCs w:val="24"/>
        </w:rPr>
        <w:t xml:space="preserve"> </w:t>
      </w:r>
      <w:bookmarkStart w:id="6" w:name="_Hlk112613879"/>
      <w:r w:rsidR="00C76519">
        <w:rPr>
          <w:rFonts w:ascii="Arial" w:hAnsi="Arial" w:cs="Arial"/>
          <w:b/>
          <w:bCs/>
          <w:sz w:val="24"/>
          <w:szCs w:val="24"/>
        </w:rPr>
        <w:t>P</w:t>
      </w:r>
      <w:r w:rsidR="00677115">
        <w:rPr>
          <w:rFonts w:ascii="Arial" w:hAnsi="Arial" w:cs="Arial"/>
          <w:b/>
          <w:bCs/>
          <w:sz w:val="24"/>
          <w:szCs w:val="24"/>
        </w:rPr>
        <w:t>ROPOSICIÓN CON P</w:t>
      </w:r>
      <w:r w:rsidR="00C76519">
        <w:rPr>
          <w:rFonts w:ascii="Arial" w:hAnsi="Arial" w:cs="Arial"/>
          <w:b/>
          <w:bCs/>
          <w:sz w:val="24"/>
          <w:szCs w:val="24"/>
        </w:rPr>
        <w:t xml:space="preserve">UNTO DE </w:t>
      </w:r>
      <w:r w:rsidR="00677115">
        <w:rPr>
          <w:rFonts w:ascii="Arial" w:hAnsi="Arial" w:cs="Arial"/>
          <w:b/>
          <w:bCs/>
          <w:sz w:val="24"/>
          <w:szCs w:val="24"/>
        </w:rPr>
        <w:t xml:space="preserve">ACUERDO DE URGENTE Y OBVIA RESOLUCIÓN POR EL QUE SE EXHORTA AL </w:t>
      </w:r>
      <w:r w:rsidR="00677115" w:rsidRPr="00677115">
        <w:rPr>
          <w:rFonts w:ascii="Arial" w:hAnsi="Arial" w:cs="Arial"/>
          <w:b/>
          <w:bCs/>
          <w:sz w:val="24"/>
          <w:szCs w:val="24"/>
        </w:rPr>
        <w:t xml:space="preserve">MUNICIPIO DE TIMILPAN </w:t>
      </w:r>
      <w:r w:rsidR="00677115">
        <w:rPr>
          <w:rFonts w:ascii="Arial" w:hAnsi="Arial" w:cs="Arial"/>
          <w:b/>
          <w:bCs/>
          <w:sz w:val="24"/>
          <w:szCs w:val="24"/>
        </w:rPr>
        <w:t xml:space="preserve">PARA QUE </w:t>
      </w:r>
      <w:r w:rsidR="00677115" w:rsidRPr="00677115">
        <w:rPr>
          <w:rFonts w:ascii="Arial" w:hAnsi="Arial" w:cs="Arial"/>
          <w:b/>
          <w:bCs/>
          <w:sz w:val="24"/>
          <w:szCs w:val="24"/>
        </w:rPr>
        <w:t>AT</w:t>
      </w:r>
      <w:r w:rsidR="00677115">
        <w:rPr>
          <w:rFonts w:ascii="Arial" w:hAnsi="Arial" w:cs="Arial"/>
          <w:b/>
          <w:bCs/>
          <w:sz w:val="24"/>
          <w:szCs w:val="24"/>
        </w:rPr>
        <w:t>IENDA</w:t>
      </w:r>
      <w:r w:rsidR="00677115" w:rsidRPr="00677115">
        <w:rPr>
          <w:rFonts w:ascii="Arial" w:hAnsi="Arial" w:cs="Arial"/>
          <w:b/>
          <w:bCs/>
          <w:sz w:val="24"/>
          <w:szCs w:val="24"/>
        </w:rPr>
        <w:t xml:space="preserve"> LAS OBSERVACIONES REALIZADAS POR EL ÓRGANO SUPERIOR DE FISCALIZACIÓN DEL ESTADO DE MÉXICO, CONTENIDAS EN EL INFORME DE RESULTADOS DE LA CUENTA PÚBLICA 2020.</w:t>
      </w:r>
    </w:p>
    <w:p w14:paraId="266570E9" w14:textId="5ADE081C" w:rsidR="003A6147" w:rsidRPr="000E5BF7" w:rsidRDefault="003A6147" w:rsidP="00677115">
      <w:pPr>
        <w:spacing w:after="0" w:line="360" w:lineRule="auto"/>
        <w:jc w:val="both"/>
        <w:rPr>
          <w:rFonts w:ascii="Arial" w:eastAsia="Calibri" w:hAnsi="Arial" w:cs="Arial"/>
          <w:bCs/>
          <w:color w:val="000000" w:themeColor="text1"/>
          <w:sz w:val="24"/>
          <w:szCs w:val="24"/>
        </w:rPr>
      </w:pPr>
    </w:p>
    <w:bookmarkEnd w:id="6"/>
    <w:p w14:paraId="7702D61E" w14:textId="77777777" w:rsidR="00F52721" w:rsidRPr="000E5BF7" w:rsidRDefault="00F52721" w:rsidP="00677115">
      <w:pPr>
        <w:spacing w:after="0" w:line="360" w:lineRule="auto"/>
        <w:jc w:val="both"/>
        <w:rPr>
          <w:rFonts w:ascii="Arial" w:eastAsia="Calibri" w:hAnsi="Arial" w:cs="Arial"/>
          <w:bCs/>
          <w:color w:val="000000" w:themeColor="text1"/>
          <w:sz w:val="24"/>
          <w:szCs w:val="24"/>
        </w:rPr>
      </w:pPr>
    </w:p>
    <w:p w14:paraId="091679FF" w14:textId="062CD5E1" w:rsidR="00F16FD0"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BC5D7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BC5D7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BC5D7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86B446D" w14:textId="77777777" w:rsidR="00370574" w:rsidRDefault="00370574" w:rsidP="00BC5D71">
      <w:pPr>
        <w:spacing w:after="0" w:line="360" w:lineRule="auto"/>
        <w:jc w:val="center"/>
        <w:rPr>
          <w:rFonts w:ascii="Arial" w:eastAsia="Calibri" w:hAnsi="Arial" w:cs="Arial"/>
          <w:color w:val="000000" w:themeColor="text1"/>
          <w:sz w:val="24"/>
          <w:szCs w:val="24"/>
        </w:rPr>
      </w:pPr>
    </w:p>
    <w:p w14:paraId="32219E76" w14:textId="2D848328" w:rsidR="00F16FD0" w:rsidRDefault="00F16FD0"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D15038">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D15038">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D15038">
      <w:pPr>
        <w:spacing w:after="0" w:line="360" w:lineRule="auto"/>
        <w:jc w:val="both"/>
        <w:rPr>
          <w:rFonts w:ascii="Arial" w:hAnsi="Arial" w:cs="Arial"/>
          <w:b/>
          <w:sz w:val="24"/>
          <w:szCs w:val="24"/>
        </w:rPr>
      </w:pPr>
      <w:r w:rsidRPr="00FE53C8">
        <w:rPr>
          <w:rFonts w:ascii="Arial" w:hAnsi="Arial" w:cs="Arial"/>
          <w:b/>
          <w:sz w:val="24"/>
          <w:szCs w:val="24"/>
        </w:rPr>
        <w:t>DECRETA:</w:t>
      </w:r>
    </w:p>
    <w:p w14:paraId="241CE4D4" w14:textId="57E3A7C8" w:rsidR="00D15038" w:rsidRDefault="00954161" w:rsidP="00503A21">
      <w:pPr>
        <w:spacing w:after="0" w:line="360" w:lineRule="auto"/>
        <w:jc w:val="both"/>
        <w:rPr>
          <w:rFonts w:ascii="Arial" w:hAnsi="Arial" w:cs="Arial"/>
          <w:bCs/>
          <w:sz w:val="24"/>
          <w:szCs w:val="24"/>
        </w:rPr>
      </w:pPr>
      <w:r w:rsidRPr="00954161">
        <w:rPr>
          <w:rFonts w:ascii="Arial" w:hAnsi="Arial" w:cs="Arial"/>
          <w:bCs/>
          <w:sz w:val="24"/>
          <w:szCs w:val="24"/>
        </w:rPr>
        <w:cr/>
      </w:r>
      <w:r w:rsidR="00555AFF">
        <w:rPr>
          <w:rFonts w:ascii="Arial" w:hAnsi="Arial" w:cs="Arial"/>
          <w:b/>
          <w:sz w:val="24"/>
          <w:szCs w:val="24"/>
        </w:rPr>
        <w:t>PRIMERO</w:t>
      </w:r>
      <w:r w:rsidR="00A4595B" w:rsidRPr="00A4595B">
        <w:rPr>
          <w:rFonts w:ascii="Arial" w:hAnsi="Arial" w:cs="Arial"/>
          <w:b/>
          <w:sz w:val="24"/>
          <w:szCs w:val="24"/>
        </w:rPr>
        <w:t>.</w:t>
      </w:r>
      <w:r w:rsidR="00A4595B">
        <w:rPr>
          <w:rFonts w:ascii="Arial" w:hAnsi="Arial" w:cs="Arial"/>
          <w:bCs/>
          <w:sz w:val="24"/>
          <w:szCs w:val="24"/>
        </w:rPr>
        <w:t xml:space="preserve"> </w:t>
      </w:r>
      <w:r w:rsidR="009C2D71">
        <w:rPr>
          <w:rFonts w:ascii="Arial" w:hAnsi="Arial" w:cs="Arial"/>
          <w:bCs/>
          <w:sz w:val="24"/>
          <w:szCs w:val="24"/>
        </w:rPr>
        <w:t>L</w:t>
      </w:r>
      <w:r w:rsidR="009C2D71" w:rsidRPr="009C2D71">
        <w:rPr>
          <w:rFonts w:ascii="Arial" w:hAnsi="Arial" w:cs="Arial"/>
          <w:bCs/>
          <w:sz w:val="24"/>
          <w:szCs w:val="24"/>
        </w:rPr>
        <w:t>a H. LXI Legislatura del Estado Libre y Soberano de México exhorta al Municipio de Timilpan</w:t>
      </w:r>
      <w:r w:rsidR="007F30B1">
        <w:rPr>
          <w:rFonts w:ascii="Arial" w:hAnsi="Arial" w:cs="Arial"/>
          <w:bCs/>
          <w:sz w:val="24"/>
          <w:szCs w:val="24"/>
        </w:rPr>
        <w:t>, en absoluto respeto a su autonomía,</w:t>
      </w:r>
      <w:r w:rsidR="009C2D71" w:rsidRPr="009C2D71">
        <w:rPr>
          <w:rFonts w:ascii="Arial" w:hAnsi="Arial" w:cs="Arial"/>
          <w:bCs/>
          <w:sz w:val="24"/>
          <w:szCs w:val="24"/>
        </w:rPr>
        <w:t xml:space="preserve"> </w:t>
      </w:r>
      <w:r w:rsidR="007F30B1">
        <w:rPr>
          <w:rFonts w:ascii="Arial" w:hAnsi="Arial" w:cs="Arial"/>
          <w:bCs/>
          <w:sz w:val="24"/>
          <w:szCs w:val="24"/>
        </w:rPr>
        <w:t xml:space="preserve">a </w:t>
      </w:r>
      <w:r w:rsidR="009C2D71" w:rsidRPr="009C2D71">
        <w:rPr>
          <w:rFonts w:ascii="Arial" w:hAnsi="Arial" w:cs="Arial"/>
          <w:bCs/>
          <w:sz w:val="24"/>
          <w:szCs w:val="24"/>
        </w:rPr>
        <w:t>atender las observaciones realizadas por el Órgano Superior de Fiscalización del Estado de México</w:t>
      </w:r>
      <w:r w:rsidR="007F30B1">
        <w:rPr>
          <w:rFonts w:ascii="Arial" w:hAnsi="Arial" w:cs="Arial"/>
          <w:bCs/>
          <w:sz w:val="24"/>
          <w:szCs w:val="24"/>
        </w:rPr>
        <w:t xml:space="preserve"> </w:t>
      </w:r>
      <w:r w:rsidR="009C2D71" w:rsidRPr="009C2D71">
        <w:rPr>
          <w:rFonts w:ascii="Arial" w:hAnsi="Arial" w:cs="Arial"/>
          <w:bCs/>
          <w:sz w:val="24"/>
          <w:szCs w:val="24"/>
        </w:rPr>
        <w:t>en el Informe de Resultados de la Cuenta Pública 2020.</w:t>
      </w:r>
    </w:p>
    <w:p w14:paraId="3B55BD14" w14:textId="63437A29" w:rsidR="009C2D71" w:rsidRDefault="009C2D71" w:rsidP="00503A21">
      <w:pPr>
        <w:spacing w:after="0" w:line="360" w:lineRule="auto"/>
        <w:jc w:val="both"/>
        <w:rPr>
          <w:rFonts w:ascii="Arial" w:hAnsi="Arial" w:cs="Arial"/>
          <w:bCs/>
          <w:sz w:val="24"/>
          <w:szCs w:val="24"/>
        </w:rPr>
      </w:pPr>
    </w:p>
    <w:p w14:paraId="0B02A9FD" w14:textId="6FB995BD" w:rsidR="00C72C52" w:rsidRDefault="009C2D71" w:rsidP="00D15038">
      <w:pPr>
        <w:spacing w:after="0" w:line="360" w:lineRule="auto"/>
        <w:jc w:val="both"/>
        <w:rPr>
          <w:rFonts w:ascii="Arial" w:hAnsi="Arial" w:cs="Arial"/>
          <w:bCs/>
          <w:sz w:val="24"/>
          <w:szCs w:val="24"/>
        </w:rPr>
      </w:pPr>
      <w:r w:rsidRPr="009C2D71">
        <w:rPr>
          <w:rFonts w:ascii="Arial" w:hAnsi="Arial" w:cs="Arial"/>
          <w:b/>
          <w:sz w:val="24"/>
          <w:szCs w:val="24"/>
        </w:rPr>
        <w:t>SEGUNDO.</w:t>
      </w:r>
      <w:r w:rsidRPr="009C2D71">
        <w:rPr>
          <w:rFonts w:ascii="Arial" w:hAnsi="Arial" w:cs="Arial"/>
          <w:bCs/>
          <w:sz w:val="24"/>
          <w:szCs w:val="24"/>
        </w:rPr>
        <w:t xml:space="preserve"> </w:t>
      </w:r>
      <w:r w:rsidR="00B13F37" w:rsidRPr="00B13F37">
        <w:rPr>
          <w:rFonts w:ascii="Arial" w:hAnsi="Arial" w:cs="Arial"/>
          <w:bCs/>
          <w:sz w:val="24"/>
          <w:szCs w:val="24"/>
        </w:rPr>
        <w:t>La H. LXI Legislatura del Estado Libre y Soberano de México exhorta respetuosamente al Órgano Superior de Fiscalización del Estado de México, para que, informe a esta soberanía en qué etapa del proceso de aclaración de las observaciones realizadas en el Informe de Resultados de la Fiscalización de las Cuenta Pública del ejercicio fiscal 2020, se encuentra actualmente el municipio</w:t>
      </w:r>
      <w:r w:rsidR="00B13F37">
        <w:rPr>
          <w:rFonts w:ascii="Arial" w:hAnsi="Arial" w:cs="Arial"/>
          <w:bCs/>
          <w:sz w:val="24"/>
          <w:szCs w:val="24"/>
        </w:rPr>
        <w:t xml:space="preserve"> </w:t>
      </w:r>
      <w:r w:rsidR="00B13F37" w:rsidRPr="00B13F37">
        <w:rPr>
          <w:rFonts w:ascii="Arial" w:hAnsi="Arial" w:cs="Arial"/>
          <w:bCs/>
          <w:sz w:val="24"/>
          <w:szCs w:val="24"/>
        </w:rPr>
        <w:t>de</w:t>
      </w:r>
      <w:r w:rsidR="00B13F37">
        <w:rPr>
          <w:rFonts w:ascii="Arial" w:hAnsi="Arial" w:cs="Arial"/>
          <w:bCs/>
          <w:sz w:val="24"/>
          <w:szCs w:val="24"/>
        </w:rPr>
        <w:t xml:space="preserve"> </w:t>
      </w:r>
      <w:r w:rsidR="00B13F37" w:rsidRPr="00B13F37">
        <w:rPr>
          <w:rFonts w:ascii="Arial" w:hAnsi="Arial" w:cs="Arial"/>
          <w:bCs/>
          <w:sz w:val="24"/>
          <w:szCs w:val="24"/>
        </w:rPr>
        <w:t>Timilpan.</w:t>
      </w:r>
    </w:p>
    <w:p w14:paraId="3DB27716" w14:textId="77777777" w:rsidR="00B13F37" w:rsidRPr="00954161" w:rsidRDefault="00B13F37" w:rsidP="00D15038">
      <w:pPr>
        <w:spacing w:after="0" w:line="360" w:lineRule="auto"/>
        <w:jc w:val="both"/>
        <w:rPr>
          <w:rFonts w:ascii="Arial" w:hAnsi="Arial" w:cs="Arial"/>
          <w:bCs/>
          <w:sz w:val="24"/>
          <w:szCs w:val="24"/>
        </w:rPr>
      </w:pPr>
    </w:p>
    <w:p w14:paraId="38DB7226" w14:textId="333EEFEC" w:rsidR="005721E4" w:rsidRPr="002440BD" w:rsidRDefault="005721E4" w:rsidP="00D15038">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D15038">
      <w:pPr>
        <w:spacing w:after="0" w:line="360" w:lineRule="auto"/>
        <w:jc w:val="center"/>
        <w:rPr>
          <w:rFonts w:ascii="Arial" w:hAnsi="Arial" w:cs="Arial"/>
          <w:b/>
          <w:sz w:val="24"/>
          <w:szCs w:val="24"/>
        </w:rPr>
      </w:pPr>
    </w:p>
    <w:p w14:paraId="5A08668F" w14:textId="721BEC27" w:rsidR="00F05438" w:rsidRPr="00F05438" w:rsidRDefault="00405E98" w:rsidP="00D15038">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D15038">
      <w:pPr>
        <w:spacing w:after="0" w:line="360" w:lineRule="auto"/>
        <w:jc w:val="both"/>
        <w:rPr>
          <w:rFonts w:ascii="Arial" w:hAnsi="Arial" w:cs="Arial"/>
          <w:b/>
          <w:sz w:val="24"/>
          <w:szCs w:val="24"/>
        </w:rPr>
      </w:pPr>
    </w:p>
    <w:p w14:paraId="5CC02A1C" w14:textId="764C7D2F" w:rsidR="00AE34BB" w:rsidRPr="006E59B3" w:rsidRDefault="00405E98" w:rsidP="00D15038">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 xml:space="preserve">El presente decreto entrará en vigor el día siguiente al de su publicación en el </w:t>
      </w:r>
      <w:bookmarkStart w:id="7" w:name="_Hlk118965763"/>
      <w:r w:rsidR="00F05438" w:rsidRPr="00F05438">
        <w:rPr>
          <w:rFonts w:ascii="Arial" w:hAnsi="Arial" w:cs="Arial"/>
          <w:bCs/>
          <w:sz w:val="24"/>
          <w:szCs w:val="24"/>
        </w:rPr>
        <w:t>Periódico Oficial “Gaceta del Gobierno” del Estado de México</w:t>
      </w:r>
      <w:bookmarkEnd w:id="7"/>
      <w:r w:rsidR="00F05438" w:rsidRPr="00F05438">
        <w:rPr>
          <w:rFonts w:ascii="Arial" w:hAnsi="Arial" w:cs="Arial"/>
          <w:bCs/>
          <w:sz w:val="24"/>
          <w:szCs w:val="24"/>
        </w:rPr>
        <w:t>.</w:t>
      </w:r>
    </w:p>
    <w:p w14:paraId="0DBEF4F8" w14:textId="77777777" w:rsidR="007132E5" w:rsidRDefault="007132E5" w:rsidP="00D15038">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D15038">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D15038">
      <w:pPr>
        <w:spacing w:after="0" w:line="360" w:lineRule="auto"/>
        <w:jc w:val="both"/>
        <w:rPr>
          <w:rFonts w:ascii="Arial" w:eastAsia="Times New Roman" w:hAnsi="Arial" w:cs="Arial"/>
          <w:color w:val="000000" w:themeColor="text1"/>
          <w:sz w:val="24"/>
          <w:szCs w:val="24"/>
        </w:rPr>
      </w:pPr>
    </w:p>
    <w:p w14:paraId="16055023" w14:textId="68B707D6" w:rsidR="002B649E" w:rsidRPr="005C346E" w:rsidRDefault="00FE3FF8" w:rsidP="00D15038">
      <w:pPr>
        <w:spacing w:after="0" w:line="360" w:lineRule="auto"/>
        <w:jc w:val="both"/>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w:t>
      </w:r>
      <w:proofErr w:type="spellStart"/>
      <w:r w:rsidRPr="00E246B3">
        <w:rPr>
          <w:rFonts w:ascii="Arial" w:eastAsia="Times New Roman" w:hAnsi="Arial" w:cs="Arial"/>
          <w:color w:val="000000" w:themeColor="text1"/>
          <w:sz w:val="24"/>
          <w:szCs w:val="24"/>
        </w:rPr>
        <w:t>de</w:t>
      </w:r>
      <w:proofErr w:type="spellEnd"/>
      <w:r w:rsidRPr="00E246B3">
        <w:rPr>
          <w:rFonts w:ascii="Arial" w:eastAsia="Times New Roman" w:hAnsi="Arial" w:cs="Arial"/>
          <w:color w:val="000000" w:themeColor="text1"/>
          <w:sz w:val="24"/>
          <w:szCs w:val="24"/>
        </w:rPr>
        <w:t xml:space="preserv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sectPr w:rsidR="002B649E" w:rsidRPr="005C346E" w:rsidSect="00650B64">
      <w:headerReference w:type="default" r:id="rId14"/>
      <w:footerReference w:type="default" r:id="rId15"/>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58A0A" w14:textId="77777777" w:rsidR="00D22047" w:rsidRDefault="00D22047" w:rsidP="0006666F">
      <w:pPr>
        <w:spacing w:after="0" w:line="240" w:lineRule="auto"/>
      </w:pPr>
      <w:r>
        <w:separator/>
      </w:r>
    </w:p>
  </w:endnote>
  <w:endnote w:type="continuationSeparator" w:id="0">
    <w:p w14:paraId="0EA89EB3" w14:textId="77777777" w:rsidR="00D22047" w:rsidRDefault="00D22047"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D43E" w14:textId="77777777" w:rsidR="007B5550" w:rsidRDefault="007B555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879AFD4" w:rsidR="00310C55" w:rsidRPr="0072404E" w:rsidRDefault="0039436C"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57727" behindDoc="0" locked="0" layoutInCell="1" allowOverlap="1" wp14:anchorId="3A85C9A9" wp14:editId="1DFC7A3A">
              <wp:simplePos x="0" y="0"/>
              <wp:positionH relativeFrom="column">
                <wp:posOffset>3632966</wp:posOffset>
              </wp:positionH>
              <wp:positionV relativeFrom="margin">
                <wp:posOffset>7902029</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3A85C9A9" id="_x0000_t202" coordsize="21600,21600" o:spt="202" path="m,l,21600r21600,l21600,xe">
              <v:stroke joinstyle="miter"/>
              <v:path gradientshapeok="t" o:connecttype="rect"/>
            </v:shapetype>
            <v:shape id="Cuadro de texto 19" o:spid="_x0000_s1028" type="#_x0000_t202" style="position:absolute;margin-left:286.05pt;margin-top:622.2pt;width:182.1pt;height:22.3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F1u8Q5AAAAA0BAAAPAAAAZHJzL2Rvd25yZXYueG1sTI/BbsIwDIbvk/YO&#10;kSftNlJKYaU0RagSmjRtBxiX3dwmtBWJ0zUBuj39wmk72v+n35/z9Wg0u6jBdZYETCcRMEW1lR01&#10;Ag4f26cUmPNIErUlJeBbOVgX93c5ZtJeaacue9+wUEIuQwGt933GuatbZdBNbK8oZEc7GPRhHBou&#10;B7yGcqN5HEULbrCjcKHFXpWtqk/7sxHwWm7fcVfFJv3R5cvbcdN/HT7nQjw+jJsVMK9G/wfDTT+o&#10;QxGcKnsm6ZgWMH+OpwENQZwkCbCALGeLGbDqtkqXEfAi5/+/KH4BAAD//wMAUEsBAi0AFAAGAAgA&#10;AAAhALaDOJL+AAAA4QEAABMAAAAAAAAAAAAAAAAAAAAAAFtDb250ZW50X1R5cGVzXS54bWxQSwEC&#10;LQAUAAYACAAAACEAOP0h/9YAAACUAQAACwAAAAAAAAAAAAAAAAAvAQAAX3JlbHMvLnJlbHNQSwEC&#10;LQAUAAYACAAAACEAK1XE2hoCAAAzBAAADgAAAAAAAAAAAAAAAAAuAgAAZHJzL2Uyb0RvYy54bWxQ&#10;SwECLQAUAAYACAAAACEARdbvEOQAAAANAQAADwAAAAAAAAAAAAAAAAB0BAAAZHJzL2Rvd25yZXYu&#10;eG1sUEsFBgAAAAAEAAQA8wAAAIUFAAAAAA==&#10;" filled="f" stroked="f" strokeweight=".5pt">
              <v:textbo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78D794AC">
          <wp:simplePos x="0" y="0"/>
          <wp:positionH relativeFrom="margin">
            <wp:align>center</wp:align>
          </wp:positionH>
          <wp:positionV relativeFrom="paragraph">
            <wp:posOffset>3175</wp:posOffset>
          </wp:positionV>
          <wp:extent cx="630000" cy="630000"/>
          <wp:effectExtent l="0" t="0" r="0" b="0"/>
          <wp:wrapSquare wrapText="bothSides"/>
          <wp:docPr id="17" name="Imagen 1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C16606A"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817E65D"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C0672" w14:textId="77777777" w:rsidR="007B5550" w:rsidRDefault="007B555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2E43C" w14:textId="77777777" w:rsidR="00D22047" w:rsidRDefault="00D22047" w:rsidP="0006666F">
      <w:pPr>
        <w:spacing w:after="0" w:line="240" w:lineRule="auto"/>
      </w:pPr>
      <w:r>
        <w:separator/>
      </w:r>
    </w:p>
  </w:footnote>
  <w:footnote w:type="continuationSeparator" w:id="0">
    <w:p w14:paraId="4D54334C" w14:textId="77777777" w:rsidR="00D22047" w:rsidRDefault="00D22047" w:rsidP="0006666F">
      <w:pPr>
        <w:spacing w:after="0" w:line="240" w:lineRule="auto"/>
      </w:pPr>
      <w:r>
        <w:continuationSeparator/>
      </w:r>
    </w:p>
  </w:footnote>
  <w:footnote w:id="1">
    <w:p w14:paraId="193E7277" w14:textId="78A15FEA" w:rsidR="00B52823" w:rsidRPr="00542E73" w:rsidRDefault="00B52823" w:rsidP="00542E73">
      <w:pPr>
        <w:pStyle w:val="Textonotapie"/>
        <w:jc w:val="both"/>
        <w:rPr>
          <w:rFonts w:ascii="Arial" w:hAnsi="Arial" w:cs="Arial"/>
          <w:sz w:val="16"/>
          <w:szCs w:val="16"/>
        </w:rPr>
      </w:pPr>
      <w:r w:rsidRPr="00542E73">
        <w:rPr>
          <w:rStyle w:val="Refdenotaalpie"/>
          <w:rFonts w:ascii="Arial" w:hAnsi="Arial" w:cs="Arial"/>
          <w:sz w:val="16"/>
          <w:szCs w:val="16"/>
        </w:rPr>
        <w:footnoteRef/>
      </w:r>
      <w:r w:rsidRPr="00542E73">
        <w:rPr>
          <w:rFonts w:ascii="Arial" w:hAnsi="Arial" w:cs="Arial"/>
          <w:sz w:val="16"/>
          <w:szCs w:val="16"/>
        </w:rPr>
        <w:t xml:space="preserve"> </w:t>
      </w:r>
      <w:r w:rsidR="00A7594E" w:rsidRPr="00542E73">
        <w:rPr>
          <w:rFonts w:ascii="Arial" w:hAnsi="Arial" w:cs="Arial"/>
          <w:sz w:val="16"/>
          <w:szCs w:val="16"/>
        </w:rPr>
        <w:t xml:space="preserve">Alva, Andrés. </w:t>
      </w:r>
      <w:r w:rsidRPr="00542E73">
        <w:rPr>
          <w:rFonts w:ascii="Arial" w:hAnsi="Arial" w:cs="Arial"/>
          <w:i/>
          <w:iCs/>
          <w:sz w:val="16"/>
          <w:szCs w:val="16"/>
        </w:rPr>
        <w:t>Diagnóstico de las Contralorías Municipales</w:t>
      </w:r>
      <w:r w:rsidR="00A7594E" w:rsidRPr="00542E73">
        <w:rPr>
          <w:rFonts w:ascii="Arial" w:hAnsi="Arial" w:cs="Arial"/>
          <w:i/>
          <w:iCs/>
          <w:sz w:val="16"/>
          <w:szCs w:val="16"/>
        </w:rPr>
        <w:t xml:space="preserve"> Mexiquenses para Adoptar y Adaptar el Sistema Estatal y Municipal Anticorrupción</w:t>
      </w:r>
      <w:r w:rsidRPr="00542E73">
        <w:rPr>
          <w:rFonts w:ascii="Arial" w:hAnsi="Arial" w:cs="Arial"/>
          <w:i/>
          <w:iCs/>
          <w:sz w:val="16"/>
          <w:szCs w:val="16"/>
        </w:rPr>
        <w:t>.</w:t>
      </w:r>
      <w:r w:rsidR="00A7594E" w:rsidRPr="00542E73">
        <w:rPr>
          <w:rFonts w:ascii="Arial" w:hAnsi="Arial" w:cs="Arial"/>
          <w:i/>
          <w:iCs/>
          <w:sz w:val="16"/>
          <w:szCs w:val="16"/>
        </w:rPr>
        <w:t xml:space="preserve"> Sugerencias para su implementación 2017.</w:t>
      </w:r>
      <w:r w:rsidRPr="00542E73">
        <w:rPr>
          <w:rFonts w:ascii="Arial" w:hAnsi="Arial" w:cs="Arial"/>
          <w:sz w:val="16"/>
          <w:szCs w:val="16"/>
        </w:rPr>
        <w:t xml:space="preserve"> </w:t>
      </w:r>
      <w:r w:rsidR="00A7594E" w:rsidRPr="00542E73">
        <w:rPr>
          <w:rFonts w:ascii="Arial" w:hAnsi="Arial" w:cs="Arial"/>
          <w:sz w:val="16"/>
          <w:szCs w:val="16"/>
        </w:rPr>
        <w:t xml:space="preserve">Colección Hacendaria. Instituto Hacendario del Estado de México. (2018) </w:t>
      </w:r>
      <w:r w:rsidRPr="00542E73">
        <w:rPr>
          <w:rFonts w:ascii="Arial" w:hAnsi="Arial" w:cs="Arial"/>
          <w:sz w:val="16"/>
          <w:szCs w:val="16"/>
        </w:rPr>
        <w:t xml:space="preserve">Véase en: </w:t>
      </w:r>
      <w:hyperlink r:id="rId1" w:history="1">
        <w:r w:rsidRPr="00542E73">
          <w:rPr>
            <w:rStyle w:val="Hipervnculo"/>
            <w:rFonts w:ascii="Arial" w:hAnsi="Arial" w:cs="Arial"/>
            <w:sz w:val="16"/>
            <w:szCs w:val="16"/>
          </w:rPr>
          <w:t>https://ihaem.edomex.gob.mx/sites/ihaem.edomex.gob.mx/files/files/2019/Publicaciones/Diagnostico%20de%20las%20Contralorias%20Wef%20Ce-%20203-09-16-18.pdf</w:t>
        </w:r>
      </w:hyperlink>
    </w:p>
  </w:footnote>
  <w:footnote w:id="2">
    <w:p w14:paraId="13146085" w14:textId="4DC1E957" w:rsidR="00542E73" w:rsidRDefault="00542E73" w:rsidP="00542E73">
      <w:pPr>
        <w:pStyle w:val="Textonotapie"/>
        <w:jc w:val="both"/>
      </w:pPr>
      <w:r w:rsidRPr="00542E73">
        <w:rPr>
          <w:rStyle w:val="Refdenotaalpie"/>
          <w:rFonts w:ascii="Arial" w:hAnsi="Arial" w:cs="Arial"/>
          <w:sz w:val="16"/>
          <w:szCs w:val="16"/>
        </w:rPr>
        <w:footnoteRef/>
      </w:r>
      <w:r w:rsidRPr="00542E73">
        <w:rPr>
          <w:rFonts w:ascii="Arial" w:hAnsi="Arial" w:cs="Arial"/>
          <w:sz w:val="16"/>
          <w:szCs w:val="16"/>
        </w:rPr>
        <w:t xml:space="preserve"> Secretaría de Transparencia y Rendición de Cuentas del Gobierno de Guanajuato. </w:t>
      </w:r>
      <w:r w:rsidRPr="00542E73">
        <w:rPr>
          <w:rFonts w:ascii="Arial" w:hAnsi="Arial" w:cs="Arial"/>
          <w:i/>
          <w:iCs/>
          <w:sz w:val="16"/>
          <w:szCs w:val="16"/>
        </w:rPr>
        <w:t xml:space="preserve">Manual Básico 2016 de Auditoría Gubernamental para las contralorías municipales. </w:t>
      </w:r>
      <w:r w:rsidRPr="00542E73">
        <w:rPr>
          <w:rFonts w:ascii="Arial" w:hAnsi="Arial" w:cs="Arial"/>
          <w:sz w:val="16"/>
          <w:szCs w:val="16"/>
        </w:rPr>
        <w:t xml:space="preserve">Véase en: </w:t>
      </w:r>
      <w:hyperlink r:id="rId2" w:history="1">
        <w:r w:rsidRPr="00542E73">
          <w:rPr>
            <w:rStyle w:val="Hipervnculo"/>
            <w:rFonts w:ascii="Arial" w:hAnsi="Arial" w:cs="Arial"/>
            <w:sz w:val="16"/>
            <w:szCs w:val="16"/>
          </w:rPr>
          <w:t>https://alianzacontralores.strc.guanajuato.gob.mx/wp-content/uploads/2021/11/Manual-Baasico-de-Auditoriia-071116.pdf</w:t>
        </w:r>
      </w:hyperlink>
    </w:p>
  </w:footnote>
  <w:footnote w:id="3">
    <w:p w14:paraId="3AD1E10B" w14:textId="4C74CC15" w:rsidR="00207995" w:rsidRPr="00207995" w:rsidRDefault="00207995" w:rsidP="00207995">
      <w:pPr>
        <w:pStyle w:val="Textonotapie"/>
        <w:jc w:val="both"/>
        <w:rPr>
          <w:rFonts w:ascii="Arial" w:hAnsi="Arial" w:cs="Arial"/>
          <w:sz w:val="16"/>
          <w:szCs w:val="16"/>
        </w:rPr>
      </w:pPr>
      <w:r w:rsidRPr="00207995">
        <w:rPr>
          <w:rStyle w:val="Refdenotaalpie"/>
          <w:rFonts w:ascii="Arial" w:hAnsi="Arial" w:cs="Arial"/>
          <w:sz w:val="16"/>
          <w:szCs w:val="16"/>
        </w:rPr>
        <w:footnoteRef/>
      </w:r>
      <w:r w:rsidRPr="00207995">
        <w:rPr>
          <w:rFonts w:ascii="Arial" w:hAnsi="Arial" w:cs="Arial"/>
          <w:sz w:val="16"/>
          <w:szCs w:val="16"/>
        </w:rPr>
        <w:t xml:space="preserve"> Órgano Superior de Fiscalización del Estado de México (OSFEM). </w:t>
      </w:r>
      <w:r w:rsidRPr="00207995">
        <w:rPr>
          <w:rFonts w:ascii="Arial" w:hAnsi="Arial" w:cs="Arial"/>
          <w:i/>
          <w:iCs/>
          <w:sz w:val="16"/>
          <w:szCs w:val="16"/>
        </w:rPr>
        <w:t xml:space="preserve">Informe de Resultados. Ejercicio Fiscal 2020. Revisión de la Cuenta Pública Municipal. Libro 20. Timilpan-Tonatico. </w:t>
      </w:r>
      <w:r w:rsidRPr="00207995">
        <w:rPr>
          <w:rFonts w:ascii="Arial" w:hAnsi="Arial" w:cs="Arial"/>
          <w:sz w:val="16"/>
          <w:szCs w:val="16"/>
        </w:rPr>
        <w:t xml:space="preserve">Véase en: </w:t>
      </w:r>
      <w:hyperlink r:id="rId3" w:history="1">
        <w:r w:rsidRPr="00207995">
          <w:rPr>
            <w:rStyle w:val="Hipervnculo"/>
            <w:rFonts w:ascii="Arial" w:hAnsi="Arial" w:cs="Arial"/>
            <w:sz w:val="16"/>
            <w:szCs w:val="16"/>
          </w:rPr>
          <w:t>https://www.osfem.gob.mx/informes/resultados/2020/Municipal/PDF/Libro20.pdf</w:t>
        </w:r>
      </w:hyperlink>
    </w:p>
  </w:footnote>
  <w:footnote w:id="4">
    <w:p w14:paraId="4CFB4942" w14:textId="67F21EA4" w:rsidR="006A4B25" w:rsidRPr="00820768" w:rsidRDefault="006A4B25" w:rsidP="00820768">
      <w:pPr>
        <w:pStyle w:val="Textonotapie"/>
        <w:jc w:val="both"/>
        <w:rPr>
          <w:rFonts w:ascii="Arial" w:hAnsi="Arial" w:cs="Arial"/>
        </w:rPr>
      </w:pPr>
      <w:r w:rsidRPr="00820768">
        <w:rPr>
          <w:rStyle w:val="Refdenotaalpie"/>
          <w:rFonts w:ascii="Arial" w:hAnsi="Arial" w:cs="Arial"/>
          <w:sz w:val="16"/>
          <w:szCs w:val="16"/>
        </w:rPr>
        <w:footnoteRef/>
      </w:r>
      <w:r w:rsidRPr="00820768">
        <w:rPr>
          <w:rFonts w:ascii="Arial" w:hAnsi="Arial" w:cs="Arial"/>
          <w:sz w:val="16"/>
          <w:szCs w:val="16"/>
        </w:rPr>
        <w:t xml:space="preserve"> </w:t>
      </w:r>
      <w:r w:rsidR="00820768" w:rsidRPr="00820768">
        <w:rPr>
          <w:rFonts w:ascii="Arial" w:hAnsi="Arial" w:cs="Arial"/>
          <w:sz w:val="16"/>
          <w:szCs w:val="16"/>
        </w:rPr>
        <w:t>Decreto 49 por el que se aprueba la cuenta pública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00820768">
        <w:rPr>
          <w:rFonts w:ascii="Arial" w:hAnsi="Arial" w:cs="Arial"/>
          <w:sz w:val="16"/>
          <w:szCs w:val="16"/>
        </w:rPr>
        <w:t xml:space="preserve"> </w:t>
      </w:r>
      <w:r w:rsidR="00820768" w:rsidRPr="00820768">
        <w:rPr>
          <w:rFonts w:ascii="Arial" w:hAnsi="Arial" w:cs="Arial"/>
          <w:sz w:val="16"/>
          <w:szCs w:val="16"/>
        </w:rPr>
        <w:t xml:space="preserve">Periódico Oficial “Gaceta del Gobierno” del Estado de México </w:t>
      </w:r>
      <w:r w:rsidR="00820768">
        <w:rPr>
          <w:rFonts w:ascii="Arial" w:hAnsi="Arial" w:cs="Arial"/>
          <w:sz w:val="16"/>
          <w:szCs w:val="16"/>
        </w:rPr>
        <w:t xml:space="preserve">8 de abril de 2022. </w:t>
      </w:r>
      <w:r w:rsidR="00820768" w:rsidRPr="00820768">
        <w:rPr>
          <w:rFonts w:ascii="Arial" w:hAnsi="Arial" w:cs="Arial"/>
          <w:sz w:val="16"/>
          <w:szCs w:val="16"/>
        </w:rPr>
        <w:t xml:space="preserve"> </w:t>
      </w:r>
      <w:r w:rsidRPr="00820768">
        <w:rPr>
          <w:rFonts w:ascii="Arial" w:hAnsi="Arial" w:cs="Arial"/>
          <w:sz w:val="16"/>
          <w:szCs w:val="16"/>
        </w:rPr>
        <w:t xml:space="preserve">Véase en: </w:t>
      </w:r>
      <w:hyperlink r:id="rId4" w:history="1">
        <w:r w:rsidRPr="00820768">
          <w:rPr>
            <w:rStyle w:val="Hipervnculo"/>
            <w:rFonts w:ascii="Arial" w:hAnsi="Arial" w:cs="Arial"/>
            <w:sz w:val="16"/>
            <w:szCs w:val="16"/>
          </w:rPr>
          <w:t>https://legislacion.edomex.gob.mx/sites/legislacion.edomex.gob.mx/files/files/pdf/gct/2022/abril/abr082/abr082j.pdf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4A25F" w14:textId="77777777" w:rsidR="007B5550" w:rsidRDefault="007B555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 xml:space="preserve">2022. Año del </w:t>
                    </w:r>
                    <w:proofErr w:type="spellStart"/>
                    <w:r w:rsidRPr="00D53799">
                      <w:rPr>
                        <w:rFonts w:ascii="Arial" w:hAnsi="Arial" w:cs="Arial"/>
                        <w:color w:val="920000"/>
                        <w:sz w:val="16"/>
                      </w:rPr>
                      <w:t>Quincentenario</w:t>
                    </w:r>
                    <w:proofErr w:type="spellEnd"/>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F36BA" w14:textId="77777777" w:rsidR="007B5550" w:rsidRDefault="007B555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3853D135" w:rsidR="0006401A" w:rsidRPr="00503A21" w:rsidRDefault="00503A21" w:rsidP="0006401A">
    <w:pPr>
      <w:pStyle w:val="Encabezado"/>
      <w:jc w:val="both"/>
      <w:rPr>
        <w:rFonts w:ascii="Arial" w:hAnsi="Arial" w:cs="Arial"/>
        <w:sz w:val="20"/>
        <w:szCs w:val="20"/>
      </w:rPr>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181B9FC6" wp14:editId="028DC19D">
          <wp:simplePos x="0" y="0"/>
          <wp:positionH relativeFrom="margin">
            <wp:align>left</wp:align>
          </wp:positionH>
          <wp:positionV relativeFrom="paragraph">
            <wp:posOffset>-41749</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8480" behindDoc="0" locked="0" layoutInCell="1" allowOverlap="1" wp14:anchorId="39656228" wp14:editId="4ECDB6FF">
          <wp:simplePos x="0" y="0"/>
          <wp:positionH relativeFrom="margin">
            <wp:align>right</wp:align>
          </wp:positionH>
          <wp:positionV relativeFrom="paragraph">
            <wp:posOffset>-6306</wp:posOffset>
          </wp:positionV>
          <wp:extent cx="1840865" cy="359410"/>
          <wp:effectExtent l="0" t="0" r="6985" b="2540"/>
          <wp:wrapTopAndBottom/>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A62"/>
    <w:rsid w:val="00070D9B"/>
    <w:rsid w:val="00071014"/>
    <w:rsid w:val="000714BF"/>
    <w:rsid w:val="00071801"/>
    <w:rsid w:val="000718B2"/>
    <w:rsid w:val="00071F01"/>
    <w:rsid w:val="0007242F"/>
    <w:rsid w:val="00072C3F"/>
    <w:rsid w:val="00073F79"/>
    <w:rsid w:val="000753CE"/>
    <w:rsid w:val="00075561"/>
    <w:rsid w:val="00075FBE"/>
    <w:rsid w:val="00084D38"/>
    <w:rsid w:val="00085016"/>
    <w:rsid w:val="00085454"/>
    <w:rsid w:val="00085503"/>
    <w:rsid w:val="0008621B"/>
    <w:rsid w:val="00086CCF"/>
    <w:rsid w:val="00087232"/>
    <w:rsid w:val="00087D43"/>
    <w:rsid w:val="00087EE2"/>
    <w:rsid w:val="00087F15"/>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B1E"/>
    <w:rsid w:val="000D7A6D"/>
    <w:rsid w:val="000E531C"/>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8D7"/>
    <w:rsid w:val="001C3D68"/>
    <w:rsid w:val="001C500C"/>
    <w:rsid w:val="001C7724"/>
    <w:rsid w:val="001C7F03"/>
    <w:rsid w:val="001D1BB4"/>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A7D"/>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07995"/>
    <w:rsid w:val="00211F78"/>
    <w:rsid w:val="002123A3"/>
    <w:rsid w:val="00212A2E"/>
    <w:rsid w:val="00212D04"/>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3249"/>
    <w:rsid w:val="00256583"/>
    <w:rsid w:val="00256B78"/>
    <w:rsid w:val="00257340"/>
    <w:rsid w:val="00257779"/>
    <w:rsid w:val="00260735"/>
    <w:rsid w:val="00260CF8"/>
    <w:rsid w:val="002632A3"/>
    <w:rsid w:val="002704BA"/>
    <w:rsid w:val="0027051D"/>
    <w:rsid w:val="002712FC"/>
    <w:rsid w:val="00271CB9"/>
    <w:rsid w:val="00271F1F"/>
    <w:rsid w:val="00272150"/>
    <w:rsid w:val="00272EA8"/>
    <w:rsid w:val="002734F9"/>
    <w:rsid w:val="00273F1E"/>
    <w:rsid w:val="0027597B"/>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B6C52"/>
    <w:rsid w:val="002C0D3A"/>
    <w:rsid w:val="002C1A62"/>
    <w:rsid w:val="002C4624"/>
    <w:rsid w:val="002C46F4"/>
    <w:rsid w:val="002C4A60"/>
    <w:rsid w:val="002C52DA"/>
    <w:rsid w:val="002C7696"/>
    <w:rsid w:val="002D0418"/>
    <w:rsid w:val="002D05E1"/>
    <w:rsid w:val="002D1AE2"/>
    <w:rsid w:val="002D28E0"/>
    <w:rsid w:val="002D36E4"/>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2336"/>
    <w:rsid w:val="00302B58"/>
    <w:rsid w:val="003031BA"/>
    <w:rsid w:val="00303531"/>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80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4A09"/>
    <w:rsid w:val="003657DA"/>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36C"/>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2886"/>
    <w:rsid w:val="003B4E22"/>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726"/>
    <w:rsid w:val="00414E63"/>
    <w:rsid w:val="00420B15"/>
    <w:rsid w:val="00421662"/>
    <w:rsid w:val="0042320E"/>
    <w:rsid w:val="00423A68"/>
    <w:rsid w:val="00423E08"/>
    <w:rsid w:val="0042440F"/>
    <w:rsid w:val="00425F97"/>
    <w:rsid w:val="0042611E"/>
    <w:rsid w:val="0042636F"/>
    <w:rsid w:val="004268F2"/>
    <w:rsid w:val="004273A3"/>
    <w:rsid w:val="00430AF7"/>
    <w:rsid w:val="004354F0"/>
    <w:rsid w:val="00435C56"/>
    <w:rsid w:val="0043613B"/>
    <w:rsid w:val="0043727A"/>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57D62"/>
    <w:rsid w:val="004603A9"/>
    <w:rsid w:val="00460528"/>
    <w:rsid w:val="00460C95"/>
    <w:rsid w:val="00461A28"/>
    <w:rsid w:val="0046224C"/>
    <w:rsid w:val="004623EA"/>
    <w:rsid w:val="00463E89"/>
    <w:rsid w:val="004645BE"/>
    <w:rsid w:val="00465095"/>
    <w:rsid w:val="00465458"/>
    <w:rsid w:val="00466AB9"/>
    <w:rsid w:val="0046735F"/>
    <w:rsid w:val="004676F5"/>
    <w:rsid w:val="00470167"/>
    <w:rsid w:val="00472CCB"/>
    <w:rsid w:val="004740E1"/>
    <w:rsid w:val="00474561"/>
    <w:rsid w:val="00476D19"/>
    <w:rsid w:val="00477F76"/>
    <w:rsid w:val="00487297"/>
    <w:rsid w:val="0048765E"/>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3A21"/>
    <w:rsid w:val="00504D28"/>
    <w:rsid w:val="00505002"/>
    <w:rsid w:val="005056F4"/>
    <w:rsid w:val="00505A7D"/>
    <w:rsid w:val="005067D4"/>
    <w:rsid w:val="00506F2A"/>
    <w:rsid w:val="005071C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2E43"/>
    <w:rsid w:val="00535BAE"/>
    <w:rsid w:val="005363DB"/>
    <w:rsid w:val="0053711C"/>
    <w:rsid w:val="0053748D"/>
    <w:rsid w:val="00540221"/>
    <w:rsid w:val="00541363"/>
    <w:rsid w:val="00541402"/>
    <w:rsid w:val="005424F1"/>
    <w:rsid w:val="00542E73"/>
    <w:rsid w:val="00543B1D"/>
    <w:rsid w:val="00543DF8"/>
    <w:rsid w:val="005444D3"/>
    <w:rsid w:val="00544829"/>
    <w:rsid w:val="0054529C"/>
    <w:rsid w:val="00545AB2"/>
    <w:rsid w:val="00546270"/>
    <w:rsid w:val="00546A9B"/>
    <w:rsid w:val="00547220"/>
    <w:rsid w:val="00547A09"/>
    <w:rsid w:val="0055077E"/>
    <w:rsid w:val="0055394E"/>
    <w:rsid w:val="005541C8"/>
    <w:rsid w:val="005542AB"/>
    <w:rsid w:val="0055569B"/>
    <w:rsid w:val="00555AFF"/>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24F2"/>
    <w:rsid w:val="00573894"/>
    <w:rsid w:val="00574631"/>
    <w:rsid w:val="00575C81"/>
    <w:rsid w:val="00576029"/>
    <w:rsid w:val="00580AC0"/>
    <w:rsid w:val="005818A5"/>
    <w:rsid w:val="00582139"/>
    <w:rsid w:val="00582811"/>
    <w:rsid w:val="00583CC5"/>
    <w:rsid w:val="005842D5"/>
    <w:rsid w:val="005843B3"/>
    <w:rsid w:val="0058453A"/>
    <w:rsid w:val="00584936"/>
    <w:rsid w:val="005853A1"/>
    <w:rsid w:val="005856B8"/>
    <w:rsid w:val="00586F8E"/>
    <w:rsid w:val="00590451"/>
    <w:rsid w:val="0059045F"/>
    <w:rsid w:val="005919DD"/>
    <w:rsid w:val="00592E8E"/>
    <w:rsid w:val="0059301A"/>
    <w:rsid w:val="005938C5"/>
    <w:rsid w:val="00594F1F"/>
    <w:rsid w:val="005961BF"/>
    <w:rsid w:val="00596CD9"/>
    <w:rsid w:val="00596D62"/>
    <w:rsid w:val="005976A4"/>
    <w:rsid w:val="005A08D8"/>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1D9"/>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115"/>
    <w:rsid w:val="006774D9"/>
    <w:rsid w:val="006776AD"/>
    <w:rsid w:val="006779E1"/>
    <w:rsid w:val="00677B49"/>
    <w:rsid w:val="0068079E"/>
    <w:rsid w:val="00682B99"/>
    <w:rsid w:val="00682D66"/>
    <w:rsid w:val="0068665B"/>
    <w:rsid w:val="00686D78"/>
    <w:rsid w:val="00693778"/>
    <w:rsid w:val="00693A5C"/>
    <w:rsid w:val="00694539"/>
    <w:rsid w:val="006958FD"/>
    <w:rsid w:val="0069602F"/>
    <w:rsid w:val="00696341"/>
    <w:rsid w:val="006973FE"/>
    <w:rsid w:val="006974D8"/>
    <w:rsid w:val="006A4B25"/>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1C3"/>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6DBB"/>
    <w:rsid w:val="00797DDA"/>
    <w:rsid w:val="007A2BC2"/>
    <w:rsid w:val="007A3C95"/>
    <w:rsid w:val="007A6576"/>
    <w:rsid w:val="007B0DE8"/>
    <w:rsid w:val="007B4B0D"/>
    <w:rsid w:val="007B5550"/>
    <w:rsid w:val="007B7840"/>
    <w:rsid w:val="007B7BFB"/>
    <w:rsid w:val="007C1940"/>
    <w:rsid w:val="007C2BD2"/>
    <w:rsid w:val="007C3C3D"/>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30B1"/>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0768"/>
    <w:rsid w:val="008237E8"/>
    <w:rsid w:val="0082488F"/>
    <w:rsid w:val="00825AB3"/>
    <w:rsid w:val="00826C84"/>
    <w:rsid w:val="00833B40"/>
    <w:rsid w:val="008347F4"/>
    <w:rsid w:val="00835ACD"/>
    <w:rsid w:val="008371E2"/>
    <w:rsid w:val="00843ECE"/>
    <w:rsid w:val="00847104"/>
    <w:rsid w:val="00850E6F"/>
    <w:rsid w:val="008534E1"/>
    <w:rsid w:val="00854F82"/>
    <w:rsid w:val="00856368"/>
    <w:rsid w:val="00857057"/>
    <w:rsid w:val="00861D60"/>
    <w:rsid w:val="0086221E"/>
    <w:rsid w:val="00862CE0"/>
    <w:rsid w:val="00862F98"/>
    <w:rsid w:val="00862FA7"/>
    <w:rsid w:val="0086511B"/>
    <w:rsid w:val="00865611"/>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4E8C"/>
    <w:rsid w:val="009651B5"/>
    <w:rsid w:val="00965231"/>
    <w:rsid w:val="0096722E"/>
    <w:rsid w:val="00970CAA"/>
    <w:rsid w:val="00971146"/>
    <w:rsid w:val="00973A25"/>
    <w:rsid w:val="009747E9"/>
    <w:rsid w:val="00975206"/>
    <w:rsid w:val="00975FDA"/>
    <w:rsid w:val="009778FF"/>
    <w:rsid w:val="00982528"/>
    <w:rsid w:val="00982D6F"/>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2D71"/>
    <w:rsid w:val="009C458F"/>
    <w:rsid w:val="009C4AA1"/>
    <w:rsid w:val="009C7319"/>
    <w:rsid w:val="009C792A"/>
    <w:rsid w:val="009C7C2E"/>
    <w:rsid w:val="009D020B"/>
    <w:rsid w:val="009D264D"/>
    <w:rsid w:val="009D27C8"/>
    <w:rsid w:val="009D2F7B"/>
    <w:rsid w:val="009D3DCD"/>
    <w:rsid w:val="009D3F87"/>
    <w:rsid w:val="009D452C"/>
    <w:rsid w:val="009D4767"/>
    <w:rsid w:val="009D5B53"/>
    <w:rsid w:val="009E12BA"/>
    <w:rsid w:val="009E1461"/>
    <w:rsid w:val="009E318A"/>
    <w:rsid w:val="009E41BE"/>
    <w:rsid w:val="009E4AA2"/>
    <w:rsid w:val="009E6088"/>
    <w:rsid w:val="009E7B50"/>
    <w:rsid w:val="009F05A9"/>
    <w:rsid w:val="009F1B15"/>
    <w:rsid w:val="009F362A"/>
    <w:rsid w:val="009F3D88"/>
    <w:rsid w:val="009F474F"/>
    <w:rsid w:val="009F64A6"/>
    <w:rsid w:val="009F6A52"/>
    <w:rsid w:val="009F6CA9"/>
    <w:rsid w:val="00A0035B"/>
    <w:rsid w:val="00A0116D"/>
    <w:rsid w:val="00A0178A"/>
    <w:rsid w:val="00A0338B"/>
    <w:rsid w:val="00A03C0F"/>
    <w:rsid w:val="00A044BD"/>
    <w:rsid w:val="00A05278"/>
    <w:rsid w:val="00A0587E"/>
    <w:rsid w:val="00A05BAF"/>
    <w:rsid w:val="00A05CC8"/>
    <w:rsid w:val="00A067F3"/>
    <w:rsid w:val="00A10FC2"/>
    <w:rsid w:val="00A13458"/>
    <w:rsid w:val="00A1383B"/>
    <w:rsid w:val="00A14A48"/>
    <w:rsid w:val="00A14BBA"/>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DCD"/>
    <w:rsid w:val="00A313EB"/>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57B0A"/>
    <w:rsid w:val="00A61B8A"/>
    <w:rsid w:val="00A62015"/>
    <w:rsid w:val="00A6257A"/>
    <w:rsid w:val="00A63E18"/>
    <w:rsid w:val="00A64B82"/>
    <w:rsid w:val="00A657F8"/>
    <w:rsid w:val="00A67BAD"/>
    <w:rsid w:val="00A7594E"/>
    <w:rsid w:val="00A77FBB"/>
    <w:rsid w:val="00A8013C"/>
    <w:rsid w:val="00A813D5"/>
    <w:rsid w:val="00A83079"/>
    <w:rsid w:val="00A833F8"/>
    <w:rsid w:val="00A839D5"/>
    <w:rsid w:val="00A8444F"/>
    <w:rsid w:val="00A85F30"/>
    <w:rsid w:val="00A860A8"/>
    <w:rsid w:val="00A90B4C"/>
    <w:rsid w:val="00A918D1"/>
    <w:rsid w:val="00A92B06"/>
    <w:rsid w:val="00A94926"/>
    <w:rsid w:val="00A95087"/>
    <w:rsid w:val="00A96A94"/>
    <w:rsid w:val="00A96D48"/>
    <w:rsid w:val="00A96E56"/>
    <w:rsid w:val="00AA0889"/>
    <w:rsid w:val="00AA21FE"/>
    <w:rsid w:val="00AA2DD3"/>
    <w:rsid w:val="00AA3BBC"/>
    <w:rsid w:val="00AA51AB"/>
    <w:rsid w:val="00AA69E1"/>
    <w:rsid w:val="00AA6FCC"/>
    <w:rsid w:val="00AB0A25"/>
    <w:rsid w:val="00AB183C"/>
    <w:rsid w:val="00AB3D78"/>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323C"/>
    <w:rsid w:val="00AF4D46"/>
    <w:rsid w:val="00AF5A73"/>
    <w:rsid w:val="00AF6EED"/>
    <w:rsid w:val="00AF78BB"/>
    <w:rsid w:val="00B0007B"/>
    <w:rsid w:val="00B01889"/>
    <w:rsid w:val="00B01C38"/>
    <w:rsid w:val="00B02D51"/>
    <w:rsid w:val="00B03D54"/>
    <w:rsid w:val="00B053A8"/>
    <w:rsid w:val="00B05F47"/>
    <w:rsid w:val="00B0645E"/>
    <w:rsid w:val="00B074D8"/>
    <w:rsid w:val="00B07817"/>
    <w:rsid w:val="00B07A22"/>
    <w:rsid w:val="00B11605"/>
    <w:rsid w:val="00B13F37"/>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30D61"/>
    <w:rsid w:val="00B312F0"/>
    <w:rsid w:val="00B3224F"/>
    <w:rsid w:val="00B3308C"/>
    <w:rsid w:val="00B33217"/>
    <w:rsid w:val="00B33B7B"/>
    <w:rsid w:val="00B33D73"/>
    <w:rsid w:val="00B3591C"/>
    <w:rsid w:val="00B35B09"/>
    <w:rsid w:val="00B406BC"/>
    <w:rsid w:val="00B4100D"/>
    <w:rsid w:val="00B42D4F"/>
    <w:rsid w:val="00B4311F"/>
    <w:rsid w:val="00B439BE"/>
    <w:rsid w:val="00B46B49"/>
    <w:rsid w:val="00B470CA"/>
    <w:rsid w:val="00B472F1"/>
    <w:rsid w:val="00B47735"/>
    <w:rsid w:val="00B500D8"/>
    <w:rsid w:val="00B518E2"/>
    <w:rsid w:val="00B52823"/>
    <w:rsid w:val="00B53A90"/>
    <w:rsid w:val="00B54A42"/>
    <w:rsid w:val="00B56A6D"/>
    <w:rsid w:val="00B56BFD"/>
    <w:rsid w:val="00B62B3A"/>
    <w:rsid w:val="00B644AB"/>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9773F"/>
    <w:rsid w:val="00BA1C71"/>
    <w:rsid w:val="00BA3176"/>
    <w:rsid w:val="00BA55A4"/>
    <w:rsid w:val="00BA61E8"/>
    <w:rsid w:val="00BA66C4"/>
    <w:rsid w:val="00BB0236"/>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3551"/>
    <w:rsid w:val="00C55248"/>
    <w:rsid w:val="00C56475"/>
    <w:rsid w:val="00C56935"/>
    <w:rsid w:val="00C56E0A"/>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19"/>
    <w:rsid w:val="00C76533"/>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54FF"/>
    <w:rsid w:val="00CE7807"/>
    <w:rsid w:val="00CE7F6E"/>
    <w:rsid w:val="00CF0680"/>
    <w:rsid w:val="00CF0C29"/>
    <w:rsid w:val="00CF1281"/>
    <w:rsid w:val="00CF14B1"/>
    <w:rsid w:val="00CF2E63"/>
    <w:rsid w:val="00CF3574"/>
    <w:rsid w:val="00CF3601"/>
    <w:rsid w:val="00CF4536"/>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038"/>
    <w:rsid w:val="00D153CB"/>
    <w:rsid w:val="00D16F4F"/>
    <w:rsid w:val="00D2047E"/>
    <w:rsid w:val="00D22010"/>
    <w:rsid w:val="00D22047"/>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2B5"/>
    <w:rsid w:val="00DB2330"/>
    <w:rsid w:val="00DB255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15E4"/>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5C2"/>
    <w:rsid w:val="00E93AA0"/>
    <w:rsid w:val="00E976FD"/>
    <w:rsid w:val="00EA09A6"/>
    <w:rsid w:val="00EA1B4E"/>
    <w:rsid w:val="00EA2B58"/>
    <w:rsid w:val="00EA35C8"/>
    <w:rsid w:val="00EA502E"/>
    <w:rsid w:val="00EA5573"/>
    <w:rsid w:val="00EB0C5D"/>
    <w:rsid w:val="00EB1034"/>
    <w:rsid w:val="00EB31E4"/>
    <w:rsid w:val="00EB3F1B"/>
    <w:rsid w:val="00EB4C6C"/>
    <w:rsid w:val="00EB56EA"/>
    <w:rsid w:val="00EB5805"/>
    <w:rsid w:val="00EB77F4"/>
    <w:rsid w:val="00EC07BF"/>
    <w:rsid w:val="00EC4987"/>
    <w:rsid w:val="00EC6761"/>
    <w:rsid w:val="00EC7D0C"/>
    <w:rsid w:val="00ED0074"/>
    <w:rsid w:val="00ED05B3"/>
    <w:rsid w:val="00ED09B8"/>
    <w:rsid w:val="00ED0B7F"/>
    <w:rsid w:val="00ED0D9A"/>
    <w:rsid w:val="00ED29B9"/>
    <w:rsid w:val="00ED2D23"/>
    <w:rsid w:val="00ED45B8"/>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1F3C"/>
    <w:rsid w:val="00F227D2"/>
    <w:rsid w:val="00F2356D"/>
    <w:rsid w:val="00F24BF9"/>
    <w:rsid w:val="00F2503D"/>
    <w:rsid w:val="00F2611F"/>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9F1"/>
    <w:rsid w:val="00F74CE3"/>
    <w:rsid w:val="00F76CDD"/>
    <w:rsid w:val="00F80739"/>
    <w:rsid w:val="00F808B2"/>
    <w:rsid w:val="00F81826"/>
    <w:rsid w:val="00F81C46"/>
    <w:rsid w:val="00F82A1A"/>
    <w:rsid w:val="00F8323D"/>
    <w:rsid w:val="00F83AD8"/>
    <w:rsid w:val="00F83D36"/>
    <w:rsid w:val="00F84470"/>
    <w:rsid w:val="00F9011F"/>
    <w:rsid w:val="00F901E2"/>
    <w:rsid w:val="00F914F7"/>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5B76"/>
    <w:rsid w:val="00FC5D93"/>
    <w:rsid w:val="00FC6105"/>
    <w:rsid w:val="00FC7399"/>
    <w:rsid w:val="00FC7BF1"/>
    <w:rsid w:val="00FC7FAE"/>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osfem.gob.mx/informes/resultados/2020/Municipal/PDF/Libro20.pdf" TargetMode="External"/><Relationship Id="rId2" Type="http://schemas.openxmlformats.org/officeDocument/2006/relationships/hyperlink" Target="https://alianzacontralores.strc.guanajuato.gob.mx/wp-content/uploads/2021/11/Manual-Baasico-de-Auditoriia-071116.pdf" TargetMode="External"/><Relationship Id="rId1" Type="http://schemas.openxmlformats.org/officeDocument/2006/relationships/hyperlink" Target="https://ihaem.edomex.gob.mx/sites/ihaem.edomex.gob.mx/files/files/2019/Publicaciones/Diagnostico%20de%20las%20Contralorias%20Wef%20Ce-%20203-09-16-18.pdf" TargetMode="External"/><Relationship Id="rId4" Type="http://schemas.openxmlformats.org/officeDocument/2006/relationships/hyperlink" Target="https://legislacion.edomex.gob.mx/sites/legislacion.edomex.gob.mx/files/files/pdf/gct/2022/abril/abr082/abr082j.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A27C1-C209-40C4-997E-864DF0C6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2347</Words>
  <Characters>12913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2022-11-14T16:29:00Z</dcterms:created>
  <dcterms:modified xsi:type="dcterms:W3CDTF">2022-11-14T16:29:00Z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