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A7A" w:rsidRDefault="00B34A7A" w:rsidP="00B34A7A">
      <w:pPr>
        <w:pStyle w:val="Encabezado"/>
        <w:jc w:val="center"/>
        <w:rPr>
          <w:b/>
          <w:color w:val="96174A"/>
          <w:sz w:val="16"/>
        </w:rPr>
      </w:pPr>
      <w:bookmarkStart w:id="0" w:name="_GoBack"/>
      <w:bookmarkEnd w:id="0"/>
      <w:r w:rsidRPr="006418D1">
        <w:rPr>
          <w:b/>
          <w:color w:val="96174A"/>
          <w:sz w:val="16"/>
        </w:rPr>
        <w:t xml:space="preserve">DIP. </w:t>
      </w:r>
      <w:r>
        <w:rPr>
          <w:b/>
          <w:color w:val="96174A"/>
          <w:sz w:val="16"/>
        </w:rPr>
        <w:t>ANAÍS MIRIAM BURGOS HERNÁNDEZ</w:t>
      </w:r>
    </w:p>
    <w:p w:rsidR="00B34A7A" w:rsidRDefault="00B34A7A" w:rsidP="00B34A7A">
      <w:pPr>
        <w:spacing w:after="0"/>
        <w:jc w:val="right"/>
        <w:rPr>
          <w:rFonts w:ascii="Arial" w:eastAsia="Arial" w:hAnsi="Arial" w:cs="Arial"/>
          <w:sz w:val="24"/>
          <w:szCs w:val="24"/>
        </w:rPr>
      </w:pPr>
    </w:p>
    <w:p w:rsidR="00B34A7A" w:rsidRDefault="00B34A7A" w:rsidP="00B34A7A">
      <w:pPr>
        <w:spacing w:after="674"/>
        <w:jc w:val="right"/>
        <w:rPr>
          <w:sz w:val="24"/>
          <w:szCs w:val="24"/>
        </w:rPr>
      </w:pPr>
      <w:bookmarkStart w:id="1" w:name="_30j0zll" w:colFirst="0" w:colLast="0"/>
      <w:bookmarkEnd w:id="1"/>
      <w:r>
        <w:rPr>
          <w:rFonts w:ascii="Arial" w:eastAsia="Arial" w:hAnsi="Arial" w:cs="Arial"/>
          <w:sz w:val="24"/>
          <w:szCs w:val="24"/>
        </w:rPr>
        <w:t>Ciudad de Toluca, Estado México</w:t>
      </w:r>
      <w:r w:rsidR="00695C66">
        <w:rPr>
          <w:rFonts w:ascii="Arial" w:eastAsia="Arial" w:hAnsi="Arial" w:cs="Arial"/>
          <w:sz w:val="24"/>
          <w:szCs w:val="24"/>
        </w:rPr>
        <w:t xml:space="preserve"> 24</w:t>
      </w:r>
      <w:r>
        <w:rPr>
          <w:rFonts w:ascii="Arial" w:eastAsia="Arial" w:hAnsi="Arial" w:cs="Arial"/>
          <w:sz w:val="24"/>
          <w:szCs w:val="24"/>
        </w:rPr>
        <w:t xml:space="preserve"> de noviembre del 2022.</w:t>
      </w:r>
    </w:p>
    <w:p w:rsidR="00B34A7A" w:rsidRDefault="00B34A7A" w:rsidP="00B34A7A">
      <w:pPr>
        <w:spacing w:after="22" w:line="276" w:lineRule="auto"/>
        <w:ind w:left="-5"/>
        <w:rPr>
          <w:rFonts w:ascii="Arial" w:eastAsia="Arial" w:hAnsi="Arial" w:cs="Arial"/>
          <w:b/>
          <w:sz w:val="24"/>
          <w:szCs w:val="24"/>
        </w:rPr>
      </w:pPr>
      <w:bookmarkStart w:id="2" w:name="_gjdgxs" w:colFirst="0" w:colLast="0"/>
      <w:bookmarkEnd w:id="2"/>
      <w:r>
        <w:rPr>
          <w:rFonts w:ascii="Arial" w:eastAsia="Arial" w:hAnsi="Arial" w:cs="Arial"/>
          <w:b/>
          <w:sz w:val="24"/>
          <w:szCs w:val="24"/>
        </w:rPr>
        <w:t>DIPUTADO ENRIQUE EDGARDO JACOB ROCHA.</w:t>
      </w:r>
    </w:p>
    <w:p w:rsidR="00B34A7A" w:rsidRDefault="00B34A7A" w:rsidP="00B34A7A">
      <w:pPr>
        <w:spacing w:after="22" w:line="276" w:lineRule="auto"/>
        <w:ind w:left="-5"/>
        <w:rPr>
          <w:rFonts w:ascii="Arial" w:eastAsia="Arial" w:hAnsi="Arial" w:cs="Arial"/>
          <w:b/>
          <w:sz w:val="24"/>
          <w:szCs w:val="24"/>
        </w:rPr>
      </w:pPr>
      <w:r>
        <w:rPr>
          <w:rFonts w:ascii="Arial" w:eastAsia="Arial" w:hAnsi="Arial" w:cs="Arial"/>
          <w:b/>
          <w:sz w:val="24"/>
          <w:szCs w:val="24"/>
        </w:rPr>
        <w:t xml:space="preserve">PRESIDENTE DE LA DIRECTIVA DE LA H.  “LXI” </w:t>
      </w:r>
    </w:p>
    <w:p w:rsidR="00B34A7A" w:rsidRDefault="00B34A7A" w:rsidP="00B34A7A">
      <w:pPr>
        <w:spacing w:after="22" w:line="276" w:lineRule="auto"/>
        <w:ind w:left="-5"/>
        <w:rPr>
          <w:rFonts w:ascii="Arial" w:eastAsia="Arial" w:hAnsi="Arial" w:cs="Arial"/>
          <w:sz w:val="24"/>
          <w:szCs w:val="24"/>
        </w:rPr>
      </w:pPr>
      <w:r>
        <w:rPr>
          <w:rFonts w:ascii="Arial" w:eastAsia="Arial" w:hAnsi="Arial" w:cs="Arial"/>
          <w:b/>
          <w:sz w:val="24"/>
          <w:szCs w:val="24"/>
        </w:rPr>
        <w:t>LEGISLATURA DEL ESTADO DE MÉXICO.</w:t>
      </w:r>
    </w:p>
    <w:p w:rsidR="00B34A7A" w:rsidRDefault="00B34A7A" w:rsidP="00B34A7A">
      <w:pPr>
        <w:spacing w:after="536" w:line="276" w:lineRule="auto"/>
        <w:ind w:right="15"/>
        <w:rPr>
          <w:sz w:val="24"/>
          <w:szCs w:val="24"/>
        </w:rPr>
      </w:pPr>
      <w:r>
        <w:rPr>
          <w:rFonts w:ascii="Arial" w:eastAsia="Arial" w:hAnsi="Arial" w:cs="Arial"/>
          <w:b/>
          <w:sz w:val="24"/>
          <w:szCs w:val="24"/>
        </w:rPr>
        <w:t>P R E S E N T E.</w:t>
      </w:r>
    </w:p>
    <w:p w:rsidR="00B34A7A" w:rsidRPr="00EE7844" w:rsidRDefault="00B34A7A" w:rsidP="00B34A7A">
      <w:pPr>
        <w:spacing w:after="0" w:line="360" w:lineRule="auto"/>
        <w:jc w:val="both"/>
        <w:rPr>
          <w:rFonts w:ascii="Arial" w:eastAsia="Arial" w:hAnsi="Arial" w:cs="Arial"/>
          <w:b/>
          <w:sz w:val="24"/>
          <w:szCs w:val="24"/>
        </w:rPr>
      </w:pPr>
      <w:r>
        <w:rPr>
          <w:rFonts w:ascii="Arial" w:eastAsia="Arial" w:hAnsi="Arial" w:cs="Arial"/>
          <w:b/>
          <w:sz w:val="24"/>
          <w:szCs w:val="24"/>
        </w:rPr>
        <w:t xml:space="preserve">Diputada Anaís Miriam Burgos Hernández, </w:t>
      </w:r>
      <w:r>
        <w:rPr>
          <w:rFonts w:ascii="Arial" w:hAnsi="Arial" w:cs="Arial"/>
          <w:sz w:val="24"/>
          <w:szCs w:val="24"/>
        </w:rPr>
        <w:t xml:space="preserve">integrante </w:t>
      </w:r>
      <w:r w:rsidRPr="00027676">
        <w:rPr>
          <w:rFonts w:ascii="Arial" w:hAnsi="Arial" w:cs="Arial"/>
          <w:sz w:val="24"/>
          <w:szCs w:val="24"/>
        </w:rPr>
        <w:t xml:space="preserve">del Grupo Parlamentario de </w:t>
      </w:r>
      <w:r>
        <w:rPr>
          <w:rFonts w:ascii="Arial" w:hAnsi="Arial" w:cs="Arial"/>
          <w:sz w:val="24"/>
          <w:szCs w:val="24"/>
        </w:rPr>
        <w:t>m</w:t>
      </w:r>
      <w:r w:rsidRPr="00027676">
        <w:rPr>
          <w:rFonts w:ascii="Arial" w:hAnsi="Arial" w:cs="Arial"/>
          <w:sz w:val="24"/>
          <w:szCs w:val="24"/>
        </w:rPr>
        <w:t>orena en la LX</w:t>
      </w:r>
      <w:r>
        <w:rPr>
          <w:rFonts w:ascii="Arial" w:hAnsi="Arial" w:cs="Arial"/>
          <w:sz w:val="24"/>
          <w:szCs w:val="24"/>
        </w:rPr>
        <w:t>I</w:t>
      </w:r>
      <w:r w:rsidRPr="00027676">
        <w:rPr>
          <w:rFonts w:ascii="Arial" w:hAnsi="Arial" w:cs="Arial"/>
          <w:sz w:val="24"/>
          <w:szCs w:val="24"/>
        </w:rPr>
        <w:t xml:space="preserve"> Legislatura del Congreso Local, con fundamento en lo dispuesto en los artículos 5</w:t>
      </w:r>
      <w:r>
        <w:rPr>
          <w:rFonts w:ascii="Arial" w:hAnsi="Arial" w:cs="Arial"/>
          <w:sz w:val="24"/>
          <w:szCs w:val="24"/>
        </w:rPr>
        <w:t>5,</w:t>
      </w:r>
      <w:r w:rsidRPr="00027676">
        <w:rPr>
          <w:rFonts w:ascii="Arial" w:hAnsi="Arial" w:cs="Arial"/>
          <w:sz w:val="24"/>
          <w:szCs w:val="24"/>
        </w:rPr>
        <w:t xml:space="preserve"> 57 y</w:t>
      </w:r>
      <w:r w:rsidR="00AE0C44">
        <w:rPr>
          <w:rFonts w:ascii="Arial" w:hAnsi="Arial" w:cs="Arial"/>
          <w:sz w:val="24"/>
          <w:szCs w:val="24"/>
        </w:rPr>
        <w:t xml:space="preserve"> </w:t>
      </w:r>
      <w:r w:rsidRPr="00027676">
        <w:rPr>
          <w:rFonts w:ascii="Arial" w:hAnsi="Arial" w:cs="Arial"/>
          <w:sz w:val="24"/>
          <w:szCs w:val="24"/>
        </w:rPr>
        <w:t>de la Constitución Política del Estado Libre y Soberano de México;</w:t>
      </w:r>
      <w:r w:rsidR="00AE0C44">
        <w:rPr>
          <w:rFonts w:ascii="Arial" w:hAnsi="Arial" w:cs="Arial"/>
          <w:sz w:val="24"/>
          <w:szCs w:val="24"/>
        </w:rPr>
        <w:t xml:space="preserve"> </w:t>
      </w:r>
      <w:r>
        <w:rPr>
          <w:rFonts w:ascii="Arial" w:hAnsi="Arial" w:cs="Arial"/>
          <w:sz w:val="24"/>
          <w:szCs w:val="24"/>
        </w:rPr>
        <w:t xml:space="preserve">83 </w:t>
      </w:r>
      <w:r w:rsidRPr="00027676">
        <w:rPr>
          <w:rFonts w:ascii="Arial" w:hAnsi="Arial" w:cs="Arial"/>
          <w:sz w:val="24"/>
          <w:szCs w:val="24"/>
        </w:rPr>
        <w:t>de la Ley Orgánica del Poder Legislativo</w:t>
      </w:r>
      <w:r>
        <w:rPr>
          <w:rFonts w:ascii="Arial" w:hAnsi="Arial" w:cs="Arial"/>
          <w:sz w:val="24"/>
          <w:szCs w:val="24"/>
        </w:rPr>
        <w:t xml:space="preserve"> del Estado Libre y Soberano de México</w:t>
      </w:r>
      <w:r w:rsidRPr="00027676">
        <w:rPr>
          <w:rFonts w:ascii="Arial" w:hAnsi="Arial" w:cs="Arial"/>
          <w:sz w:val="24"/>
          <w:szCs w:val="24"/>
        </w:rPr>
        <w:t xml:space="preserve">, </w:t>
      </w:r>
      <w:r w:rsidR="00AE0C44">
        <w:rPr>
          <w:rFonts w:ascii="Arial" w:hAnsi="Arial" w:cs="Arial"/>
          <w:sz w:val="24"/>
          <w:szCs w:val="24"/>
        </w:rPr>
        <w:t xml:space="preserve">y </w:t>
      </w:r>
      <w:r>
        <w:rPr>
          <w:rFonts w:ascii="Arial" w:hAnsi="Arial" w:cs="Arial"/>
          <w:sz w:val="24"/>
          <w:szCs w:val="24"/>
        </w:rPr>
        <w:t>74</w:t>
      </w:r>
      <w:r w:rsidRPr="00027676">
        <w:rPr>
          <w:rFonts w:ascii="Arial" w:hAnsi="Arial" w:cs="Arial"/>
          <w:sz w:val="24"/>
          <w:szCs w:val="24"/>
        </w:rPr>
        <w:t xml:space="preserve"> del Reglamento del Poder Legislativo</w:t>
      </w:r>
      <w:r>
        <w:rPr>
          <w:rFonts w:ascii="Arial" w:hAnsi="Arial" w:cs="Arial"/>
          <w:sz w:val="24"/>
          <w:szCs w:val="24"/>
        </w:rPr>
        <w:t xml:space="preserve"> del Estado de México, someto</w:t>
      </w:r>
      <w:r w:rsidRPr="00027676">
        <w:rPr>
          <w:rFonts w:ascii="Arial" w:hAnsi="Arial" w:cs="Arial"/>
          <w:sz w:val="24"/>
          <w:szCs w:val="24"/>
        </w:rPr>
        <w:t xml:space="preserve"> a la consideración de este órgano legislativo</w:t>
      </w:r>
      <w:r>
        <w:rPr>
          <w:rFonts w:ascii="Arial" w:eastAsia="Arial" w:hAnsi="Arial" w:cs="Arial"/>
          <w:sz w:val="24"/>
          <w:szCs w:val="24"/>
        </w:rPr>
        <w:t xml:space="preserve">, propuesta con </w:t>
      </w:r>
      <w:r w:rsidRPr="00695C66">
        <w:rPr>
          <w:rFonts w:ascii="Arial" w:eastAsia="Arial" w:hAnsi="Arial" w:cs="Arial"/>
          <w:b/>
          <w:sz w:val="24"/>
          <w:szCs w:val="24"/>
        </w:rPr>
        <w:t>Punto de Acuerdo de Urgente y Obvia resolución por el que</w:t>
      </w:r>
      <w:r>
        <w:rPr>
          <w:rFonts w:ascii="Arial" w:eastAsia="Arial" w:hAnsi="Arial" w:cs="Arial"/>
          <w:sz w:val="24"/>
          <w:szCs w:val="24"/>
        </w:rPr>
        <w:t xml:space="preserve"> </w:t>
      </w:r>
      <w:r>
        <w:rPr>
          <w:rFonts w:ascii="Arial" w:eastAsia="Arial" w:hAnsi="Arial" w:cs="Arial"/>
          <w:b/>
          <w:sz w:val="24"/>
          <w:szCs w:val="24"/>
        </w:rPr>
        <w:t xml:space="preserve">se </w:t>
      </w:r>
      <w:bookmarkStart w:id="3" w:name="_Hlk118976385"/>
      <w:r w:rsidR="00695C66">
        <w:rPr>
          <w:rFonts w:ascii="Arial" w:eastAsia="Arial" w:hAnsi="Arial" w:cs="Arial"/>
          <w:b/>
          <w:sz w:val="24"/>
          <w:szCs w:val="24"/>
        </w:rPr>
        <w:t>e</w:t>
      </w:r>
      <w:r w:rsidR="00A320E8">
        <w:rPr>
          <w:rFonts w:ascii="Arial" w:eastAsia="Arial" w:hAnsi="Arial" w:cs="Arial"/>
          <w:b/>
          <w:sz w:val="24"/>
          <w:szCs w:val="24"/>
        </w:rPr>
        <w:t>xhorta</w:t>
      </w:r>
      <w:r w:rsidR="00A320E8" w:rsidRPr="00EC5315">
        <w:rPr>
          <w:rFonts w:ascii="Arial" w:eastAsia="Arial" w:hAnsi="Arial" w:cs="Arial"/>
          <w:b/>
          <w:sz w:val="24"/>
          <w:szCs w:val="24"/>
        </w:rPr>
        <w:t xml:space="preserve"> respetuosamente a</w:t>
      </w:r>
      <w:r w:rsidR="00A320E8">
        <w:rPr>
          <w:rFonts w:ascii="Arial" w:eastAsia="Arial" w:hAnsi="Arial" w:cs="Arial"/>
          <w:b/>
          <w:sz w:val="24"/>
          <w:szCs w:val="24"/>
        </w:rPr>
        <w:t xml:space="preserve"> las personas Titulares de la Procuraduría Federal de Protección al Ambiente (PROFEPA) Delegación Estado de México; de la Secretaría del Medio Ambiente del Estado de México;  de la Dirección General de la Protectora de Bosques del Estado de México (PROBOSQUE); de la Guardia Nacional, y del Ayuntamiento de Amecameca, Estado de México, a que en un marco de colaboración interinstitucional y desde el ámbito de sus respectivas atribuciones, lleven a cabo de manera urgente, las acciones necesarias para combatir y disminuir la tala clandestina en la zona Izta-Popo, en el Estado de México</w:t>
      </w:r>
      <w:r w:rsidR="004E30B3">
        <w:rPr>
          <w:rFonts w:ascii="Arial" w:eastAsia="Arial" w:hAnsi="Arial" w:cs="Arial"/>
          <w:b/>
          <w:sz w:val="24"/>
          <w:szCs w:val="24"/>
        </w:rPr>
        <w:t>, e informen de los resultados a esta Legislatura Estatal.</w:t>
      </w:r>
      <w:bookmarkEnd w:id="3"/>
      <w:r w:rsidR="00C32070">
        <w:rPr>
          <w:rFonts w:ascii="Arial" w:eastAsia="Arial" w:hAnsi="Arial" w:cs="Arial"/>
          <w:b/>
          <w:sz w:val="24"/>
          <w:szCs w:val="24"/>
        </w:rPr>
        <w:t xml:space="preserve"> </w:t>
      </w:r>
      <w:r>
        <w:rPr>
          <w:rFonts w:ascii="Arial" w:eastAsia="Arial" w:hAnsi="Arial" w:cs="Arial"/>
          <w:sz w:val="24"/>
          <w:szCs w:val="24"/>
        </w:rPr>
        <w:t>Lo anterior, de conformidad con la siguiente:</w:t>
      </w:r>
    </w:p>
    <w:p w:rsidR="00B34A7A" w:rsidRDefault="00B34A7A" w:rsidP="00B34A7A">
      <w:pPr>
        <w:spacing w:after="0" w:line="360" w:lineRule="auto"/>
        <w:jc w:val="both"/>
        <w:rPr>
          <w:rFonts w:ascii="robotoregular" w:hAnsi="robotoregular"/>
          <w:color w:val="707F7D"/>
          <w:sz w:val="21"/>
          <w:szCs w:val="21"/>
          <w:shd w:val="clear" w:color="auto" w:fill="FFFFFF"/>
        </w:rPr>
      </w:pPr>
    </w:p>
    <w:p w:rsidR="00B34A7A" w:rsidRDefault="00B34A7A" w:rsidP="00B34A7A">
      <w:pPr>
        <w:spacing w:line="360" w:lineRule="auto"/>
        <w:jc w:val="center"/>
        <w:rPr>
          <w:rFonts w:ascii="Arial" w:eastAsia="Arial" w:hAnsi="Arial" w:cs="Arial"/>
          <w:b/>
          <w:sz w:val="24"/>
          <w:szCs w:val="24"/>
        </w:rPr>
      </w:pPr>
      <w:r>
        <w:rPr>
          <w:rFonts w:ascii="Arial" w:eastAsia="Arial" w:hAnsi="Arial" w:cs="Arial"/>
          <w:b/>
          <w:sz w:val="24"/>
          <w:szCs w:val="24"/>
        </w:rPr>
        <w:t>EXPOSICIÓN DE MOTIVOS</w:t>
      </w:r>
    </w:p>
    <w:p w:rsid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lastRenderedPageBreak/>
        <w:t>En México, la deforestación, se ha convertido en uno de los principales problemas que impacta al medio ambiente, es una práctica reiterativa que se refleja constantemente año con año; siendo el cambio de uso de suelo y la tala ilegal, las principales causas de la misma.</w:t>
      </w:r>
    </w:p>
    <w:p w:rsidR="00C32070" w:rsidRPr="00C32070" w:rsidRDefault="00C32070" w:rsidP="00C32070">
      <w:pPr>
        <w:spacing w:after="0" w:line="360" w:lineRule="auto"/>
        <w:jc w:val="both"/>
        <w:rPr>
          <w:rFonts w:ascii="Arial" w:hAnsi="Arial" w:cs="Arial"/>
          <w:sz w:val="24"/>
          <w:szCs w:val="24"/>
        </w:rPr>
      </w:pPr>
    </w:p>
    <w:p w:rsid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t>La tala ilegal representa 8% de las causas de la deforestación, y de acuerdo a estimaciones de la Procuraduría Federal de Protección al Ambiente (PROFEPA), la producción de madera ilegal representa 30% del volumen anual autorizado en el país. La tala ilegal se asocia a diversos factores tales como: insuficiente capacidad operativa para la correcta aplicación de la legislación forestal y ambiental, problemas de gobernanza y tenencia de la tierra, sobrerregulación y restricciones para incorporarse al aprovechamiento forestal, corrupción, fallas en la aplicación de justicia, ausencia de controles suficientes y adecuados del mercado y, más recientemente, la delincuencia organizada. La tala ilegal e inmoderada, acelera la desaparición de la masa forestal, ocasiona asimismo un sin número de problemas ambientales, y vulnera la biodiversidad de las diferentes zonas, ocasionando con ello, una preocupante degradación del suelo, contravenido entre otros con el equilibrio climático.</w:t>
      </w:r>
    </w:p>
    <w:p w:rsidR="00C32070" w:rsidRPr="00C32070" w:rsidRDefault="00C32070" w:rsidP="00C32070">
      <w:pPr>
        <w:spacing w:after="0" w:line="360" w:lineRule="auto"/>
        <w:jc w:val="both"/>
        <w:rPr>
          <w:rFonts w:ascii="Arial" w:hAnsi="Arial" w:cs="Arial"/>
          <w:sz w:val="24"/>
          <w:szCs w:val="24"/>
        </w:rPr>
      </w:pPr>
    </w:p>
    <w:p w:rsid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t>Datos de la Protectora de Bosques del Estado de México (</w:t>
      </w:r>
      <w:r w:rsidR="00657C67">
        <w:rPr>
          <w:rFonts w:ascii="Arial" w:hAnsi="Arial" w:cs="Arial"/>
          <w:sz w:val="24"/>
          <w:szCs w:val="24"/>
        </w:rPr>
        <w:t>PROBOSQUE</w:t>
      </w:r>
      <w:r w:rsidRPr="00C32070">
        <w:rPr>
          <w:rFonts w:ascii="Arial" w:hAnsi="Arial" w:cs="Arial"/>
          <w:sz w:val="24"/>
          <w:szCs w:val="24"/>
        </w:rPr>
        <w:t xml:space="preserve">) señalan que en la entidad hay cinco zonas críticas por el delito de tala clandestina, zonas que comprenden 18 municipios mexiquenses. </w:t>
      </w:r>
    </w:p>
    <w:p w:rsidR="00C32070" w:rsidRPr="00C32070" w:rsidRDefault="00C32070" w:rsidP="00C32070">
      <w:pPr>
        <w:spacing w:after="0" w:line="360" w:lineRule="auto"/>
        <w:jc w:val="both"/>
        <w:rPr>
          <w:rFonts w:ascii="Arial" w:hAnsi="Arial" w:cs="Arial"/>
          <w:sz w:val="24"/>
          <w:szCs w:val="24"/>
        </w:rPr>
      </w:pPr>
    </w:p>
    <w:p w:rsid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t>1.- La zona del Nevado de Toluca donde se encuentran los municipios de Zinacantepec, Coatepec Harinas, Almoloya de Alquisiras y Sultepec.</w:t>
      </w:r>
    </w:p>
    <w:p w:rsidR="0088714F" w:rsidRPr="00C32070" w:rsidRDefault="0088714F" w:rsidP="00C32070">
      <w:pPr>
        <w:spacing w:after="0" w:line="360" w:lineRule="auto"/>
        <w:jc w:val="both"/>
        <w:rPr>
          <w:rFonts w:ascii="Arial" w:hAnsi="Arial" w:cs="Arial"/>
          <w:sz w:val="24"/>
          <w:szCs w:val="24"/>
        </w:rPr>
      </w:pPr>
    </w:p>
    <w:p w:rsidR="00C32070" w:rsidRP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t xml:space="preserve">2.- La zona del Izta-Popo donde se ubican los municipios de Amecameca, Ozumba y Ecatzingo; </w:t>
      </w:r>
    </w:p>
    <w:p w:rsid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t>3.- La zona de Cubio-Cruces</w:t>
      </w:r>
      <w:r w:rsidR="00657C67">
        <w:rPr>
          <w:rFonts w:ascii="Arial" w:hAnsi="Arial" w:cs="Arial"/>
          <w:sz w:val="24"/>
          <w:szCs w:val="24"/>
        </w:rPr>
        <w:t xml:space="preserve">, </w:t>
      </w:r>
      <w:r w:rsidRPr="00C32070">
        <w:rPr>
          <w:rFonts w:ascii="Arial" w:hAnsi="Arial" w:cs="Arial"/>
          <w:sz w:val="24"/>
          <w:szCs w:val="24"/>
        </w:rPr>
        <w:t>donde aparecen Ocuilan, Xalatlaco, Santiago Tianguistenco, Xonacatlán y Otzolotepec;</w:t>
      </w:r>
    </w:p>
    <w:p w:rsidR="0088714F" w:rsidRPr="00C32070" w:rsidRDefault="0088714F" w:rsidP="00C32070">
      <w:pPr>
        <w:spacing w:after="0" w:line="360" w:lineRule="auto"/>
        <w:jc w:val="both"/>
        <w:rPr>
          <w:rFonts w:ascii="Arial" w:hAnsi="Arial" w:cs="Arial"/>
          <w:sz w:val="24"/>
          <w:szCs w:val="24"/>
        </w:rPr>
      </w:pPr>
    </w:p>
    <w:p w:rsidR="00C32070" w:rsidRDefault="00C32070" w:rsidP="00C32070">
      <w:pPr>
        <w:spacing w:after="0" w:line="360" w:lineRule="auto"/>
        <w:jc w:val="both"/>
        <w:rPr>
          <w:rFonts w:ascii="Arial" w:hAnsi="Arial" w:cs="Arial"/>
          <w:color w:val="333333"/>
          <w:sz w:val="24"/>
          <w:szCs w:val="24"/>
          <w:shd w:val="clear" w:color="auto" w:fill="FFFFFF"/>
        </w:rPr>
      </w:pPr>
      <w:r w:rsidRPr="00C32070">
        <w:rPr>
          <w:rFonts w:ascii="Arial" w:hAnsi="Arial" w:cs="Arial"/>
          <w:sz w:val="24"/>
          <w:szCs w:val="24"/>
        </w:rPr>
        <w:t xml:space="preserve">4.- </w:t>
      </w:r>
      <w:r w:rsidRPr="00C32070">
        <w:rPr>
          <w:rFonts w:ascii="Arial" w:hAnsi="Arial" w:cs="Arial"/>
          <w:color w:val="333333"/>
          <w:sz w:val="24"/>
          <w:szCs w:val="24"/>
          <w:shd w:val="clear" w:color="auto" w:fill="FFFFFF"/>
        </w:rPr>
        <w:t>La Subcuenca Valle de Bravo catalogada como crítica, en la cual se encuentran Temascaltepec y Valle de Bravo;</w:t>
      </w:r>
    </w:p>
    <w:p w:rsidR="0088714F" w:rsidRPr="00C32070" w:rsidRDefault="0088714F" w:rsidP="00C32070">
      <w:pPr>
        <w:spacing w:after="0" w:line="360" w:lineRule="auto"/>
        <w:jc w:val="both"/>
        <w:rPr>
          <w:rFonts w:ascii="Arial" w:hAnsi="Arial" w:cs="Arial"/>
          <w:color w:val="333333"/>
          <w:sz w:val="24"/>
          <w:szCs w:val="24"/>
          <w:shd w:val="clear" w:color="auto" w:fill="FFFFFF"/>
        </w:rPr>
      </w:pPr>
    </w:p>
    <w:p w:rsidR="00C32070" w:rsidRDefault="00C32070" w:rsidP="00C32070">
      <w:pPr>
        <w:spacing w:after="0" w:line="360" w:lineRule="auto"/>
        <w:jc w:val="both"/>
        <w:rPr>
          <w:rFonts w:ascii="Arial" w:hAnsi="Arial" w:cs="Arial"/>
          <w:color w:val="333333"/>
          <w:sz w:val="24"/>
          <w:szCs w:val="24"/>
          <w:shd w:val="clear" w:color="auto" w:fill="FFFFFF"/>
        </w:rPr>
      </w:pPr>
      <w:r w:rsidRPr="00C32070">
        <w:rPr>
          <w:rFonts w:ascii="Arial" w:hAnsi="Arial" w:cs="Arial"/>
          <w:color w:val="333333"/>
          <w:sz w:val="24"/>
          <w:szCs w:val="24"/>
          <w:shd w:val="clear" w:color="auto" w:fill="FFFFFF"/>
        </w:rPr>
        <w:t>5.- La zona de Temascalcingo, San Felipe del Progreso, Donato Guerra y Villa de Allende, zona denominada Reserva de la Biósfera de la Mariposa Monarca. </w:t>
      </w:r>
    </w:p>
    <w:p w:rsidR="00C32070" w:rsidRPr="00C32070" w:rsidRDefault="00C32070" w:rsidP="00C32070">
      <w:pPr>
        <w:spacing w:after="0" w:line="360" w:lineRule="auto"/>
        <w:jc w:val="both"/>
        <w:rPr>
          <w:rFonts w:ascii="Arial" w:hAnsi="Arial" w:cs="Arial"/>
          <w:color w:val="333333"/>
          <w:sz w:val="24"/>
          <w:szCs w:val="24"/>
          <w:shd w:val="clear" w:color="auto" w:fill="FFFFFF"/>
        </w:rPr>
      </w:pPr>
    </w:p>
    <w:p w:rsidR="00C32070" w:rsidRPr="00C32070" w:rsidRDefault="00C32070" w:rsidP="00C32070">
      <w:pPr>
        <w:spacing w:after="0" w:line="360" w:lineRule="auto"/>
        <w:jc w:val="both"/>
        <w:rPr>
          <w:rFonts w:ascii="Arial" w:hAnsi="Arial" w:cs="Arial"/>
          <w:sz w:val="24"/>
          <w:szCs w:val="24"/>
          <w:shd w:val="clear" w:color="auto" w:fill="FFFFFF"/>
        </w:rPr>
      </w:pPr>
      <w:r w:rsidRPr="00C32070">
        <w:rPr>
          <w:rFonts w:ascii="Arial" w:hAnsi="Arial" w:cs="Arial"/>
          <w:sz w:val="24"/>
          <w:szCs w:val="24"/>
          <w:shd w:val="clear" w:color="auto" w:fill="FFFFFF"/>
        </w:rPr>
        <w:t>En el Estado de México, la tala ilegal de árboles es un delito cotidiano que se comete con alto índice de impunidad en muchos municipios, a pesar de que está castigado por nuestro Código Penal con penas que van de los 12 a 20 años (por cierto, se aumentaron estas penas hace tres años).</w:t>
      </w:r>
    </w:p>
    <w:p w:rsidR="00C32070" w:rsidRPr="00C32070" w:rsidRDefault="00C32070" w:rsidP="00C32070">
      <w:pPr>
        <w:spacing w:after="0" w:line="360" w:lineRule="auto"/>
        <w:jc w:val="both"/>
        <w:rPr>
          <w:rFonts w:ascii="Arial" w:hAnsi="Arial" w:cs="Arial"/>
          <w:color w:val="333333"/>
          <w:sz w:val="24"/>
          <w:szCs w:val="24"/>
          <w:shd w:val="clear" w:color="auto" w:fill="FFFFFF"/>
        </w:rPr>
      </w:pPr>
    </w:p>
    <w:p w:rsidR="00C32070" w:rsidRPr="00C32070" w:rsidRDefault="00C32070" w:rsidP="00C32070">
      <w:pPr>
        <w:spacing w:after="0" w:line="360" w:lineRule="auto"/>
        <w:jc w:val="both"/>
        <w:rPr>
          <w:rFonts w:ascii="Arial" w:hAnsi="Arial" w:cs="Arial"/>
          <w:sz w:val="24"/>
          <w:szCs w:val="24"/>
        </w:rPr>
      </w:pPr>
      <w:r w:rsidRPr="00C32070">
        <w:rPr>
          <w:rFonts w:ascii="Arial" w:hAnsi="Arial" w:cs="Arial"/>
          <w:sz w:val="24"/>
          <w:szCs w:val="24"/>
          <w:shd w:val="clear" w:color="auto" w:fill="FFFFFF"/>
        </w:rPr>
        <w:t xml:space="preserve">Y es en la región Izta-Popo donde su servidora tiene la representación popular  en donde la tala ilegal se ha convertido en un grave problema para los bosques de Amecameca, Atlautla, Ozumba y del Parque Nacional Izta-Popo, siendo esta una de las áreas protegidas más antiguas de México, incluye los municipios de Texcoco, Ixtapaluca, </w:t>
      </w:r>
      <w:r w:rsidRPr="00C32070">
        <w:rPr>
          <w:rFonts w:ascii="Arial" w:hAnsi="Arial" w:cs="Arial"/>
          <w:sz w:val="24"/>
          <w:szCs w:val="24"/>
        </w:rPr>
        <w:t xml:space="preserve">Chalco, Tlalmanalco, Amecameca, Atlautla, Ecatzingo y Ozumba, ésta región es invaluable por los servicios ambientales que proporciona, especialmente la provisión de agua que abastecen de agua a los habitantes de Valle de México, Puebla-Tlaxcala y Morelos, la región más poblada del país. En estos municipios todos saben del saqueo, de los aserraderos clandestinos, de las enormes áreas verdes que han clareado por el derribo de árboles, pero es un tema del que nadie quiere hablar. “Pero estamos decididos, ya tenemos nombres y apellidos, matrículas de vehículos que utilizan los grupos armados para talar en los lugares más recónditos de los bosques de Ozumba, Atlautla y Amecameca” acusan los comuneros de la región. </w:t>
      </w:r>
    </w:p>
    <w:p w:rsidR="00C32070" w:rsidRPr="00C32070" w:rsidRDefault="00C32070" w:rsidP="00C32070">
      <w:pPr>
        <w:spacing w:after="0" w:line="360" w:lineRule="auto"/>
        <w:jc w:val="both"/>
        <w:rPr>
          <w:rFonts w:ascii="Arial" w:hAnsi="Arial" w:cs="Arial"/>
          <w:sz w:val="24"/>
          <w:szCs w:val="24"/>
        </w:rPr>
      </w:pPr>
    </w:p>
    <w:p w:rsid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t xml:space="preserve">Denuncian integrantes de los Bienes Comunales de Amecameca. “Cuando intentamos detener las camionetas cargadas con los troncos, la violencia que ejercieron contra nosotros fue como una amenaza de muerte; para otros, un mensaje de que la tala del bosque seguirá”, dice Emanuel (nombre ficticio) comunero del ejido de San Juan Thuixitlán, del municipio de Atlautla. “En el bosque del ejido de Ozumba, ubicado en el municipio del mismo nombre, de Atlautla y Amecameca saben cómo operan las talas, como definen a los saqueadores para identificar las zonas de los árboles que son pinos, encinos y oyameles”. </w:t>
      </w:r>
    </w:p>
    <w:p w:rsidR="00C32070" w:rsidRPr="00C32070" w:rsidRDefault="00C32070" w:rsidP="00C32070">
      <w:pPr>
        <w:spacing w:after="0" w:line="360" w:lineRule="auto"/>
        <w:jc w:val="both"/>
        <w:rPr>
          <w:rFonts w:ascii="Arial" w:hAnsi="Arial" w:cs="Arial"/>
          <w:sz w:val="24"/>
          <w:szCs w:val="24"/>
        </w:rPr>
      </w:pPr>
    </w:p>
    <w:p w:rsid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t>Los pobladores han presentado formalmente ante diferentes instancias municipales y estatales las denuncias</w:t>
      </w:r>
      <w:r w:rsidR="00657C67">
        <w:rPr>
          <w:rFonts w:ascii="Arial" w:hAnsi="Arial" w:cs="Arial"/>
          <w:sz w:val="24"/>
          <w:szCs w:val="24"/>
        </w:rPr>
        <w:t xml:space="preserve"> </w:t>
      </w:r>
      <w:r w:rsidRPr="00C32070">
        <w:rPr>
          <w:rFonts w:ascii="Arial" w:hAnsi="Arial" w:cs="Arial"/>
          <w:sz w:val="24"/>
          <w:szCs w:val="24"/>
        </w:rPr>
        <w:t>correspondientes</w:t>
      </w:r>
      <w:r w:rsidR="00657C67">
        <w:rPr>
          <w:rFonts w:ascii="Arial" w:hAnsi="Arial" w:cs="Arial"/>
          <w:sz w:val="24"/>
          <w:szCs w:val="24"/>
        </w:rPr>
        <w:t>,</w:t>
      </w:r>
      <w:r w:rsidRPr="00C32070">
        <w:rPr>
          <w:rFonts w:ascii="Arial" w:hAnsi="Arial" w:cs="Arial"/>
          <w:sz w:val="24"/>
          <w:szCs w:val="24"/>
        </w:rPr>
        <w:t xml:space="preserve"> pero sólo han recibido incumplimiento, los grupos siguen talando los árboles. Los comuneros señalan que los </w:t>
      </w:r>
      <w:r w:rsidR="00657C67" w:rsidRPr="00C32070">
        <w:rPr>
          <w:rFonts w:ascii="Arial" w:hAnsi="Arial" w:cs="Arial"/>
          <w:sz w:val="24"/>
          <w:szCs w:val="24"/>
        </w:rPr>
        <w:t>tala montes</w:t>
      </w:r>
      <w:r w:rsidRPr="00C32070">
        <w:rPr>
          <w:rFonts w:ascii="Arial" w:hAnsi="Arial" w:cs="Arial"/>
          <w:sz w:val="24"/>
          <w:szCs w:val="24"/>
        </w:rPr>
        <w:t>, suben principalmente por las noches en camionetas de tres y media toneladas, en grupos de entre 10 y 15 personas se internan en las veredas y derriban varios árboles que seccionan y montan en sus vehículos en cuestión de horas. Vienen de civiles y (...) agarran parejo desde un oyamel que mide unos tres metros que lo ocupan para la vara de jitomate, como árboles que miden de 20 y 30 metros de alto", dijo uno de los denunciantes que por miedo a represalias prefirió omitir su nombre.  Detallaron que las camionetas cargadas con la madera bajan a primeras horas de la mañana lo que se conoce como tala hormiga por la carretera que conecta paso de Cortés y Amecameca, misteriosamente sin que ninguna autoridad lo impida.</w:t>
      </w:r>
    </w:p>
    <w:p w:rsidR="00C32070" w:rsidRPr="00C32070" w:rsidRDefault="00C32070" w:rsidP="00C32070">
      <w:pPr>
        <w:spacing w:after="0" w:line="360" w:lineRule="auto"/>
        <w:jc w:val="both"/>
        <w:rPr>
          <w:rFonts w:ascii="Arial" w:hAnsi="Arial" w:cs="Arial"/>
          <w:sz w:val="24"/>
          <w:szCs w:val="24"/>
        </w:rPr>
      </w:pPr>
    </w:p>
    <w:p w:rsid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t xml:space="preserve"> Para evitar un enfrentamiento o agresiones </w:t>
      </w:r>
      <w:r w:rsidR="00657C67">
        <w:rPr>
          <w:rFonts w:ascii="Arial" w:hAnsi="Arial" w:cs="Arial"/>
          <w:sz w:val="24"/>
          <w:szCs w:val="24"/>
        </w:rPr>
        <w:t xml:space="preserve">con </w:t>
      </w:r>
      <w:r w:rsidR="00657C67" w:rsidRPr="00C32070">
        <w:rPr>
          <w:rFonts w:ascii="Arial" w:hAnsi="Arial" w:cs="Arial"/>
          <w:sz w:val="24"/>
          <w:szCs w:val="24"/>
        </w:rPr>
        <w:t>tala montes</w:t>
      </w:r>
      <w:r w:rsidRPr="00C32070">
        <w:rPr>
          <w:rFonts w:ascii="Arial" w:hAnsi="Arial" w:cs="Arial"/>
          <w:sz w:val="24"/>
          <w:szCs w:val="24"/>
        </w:rPr>
        <w:t>, los ejidatarios y comuneros prefieren no caminar por las noches en sus terrenos, donde el sonido de las motosierras les anuncia que los delincuentes trabajan para acabar sin piedad con lo poco del bosque que queda.</w:t>
      </w:r>
    </w:p>
    <w:p w:rsidR="00C32070" w:rsidRPr="00C32070" w:rsidRDefault="00C32070" w:rsidP="00C32070">
      <w:pPr>
        <w:spacing w:after="0" w:line="360" w:lineRule="auto"/>
        <w:jc w:val="both"/>
        <w:rPr>
          <w:rFonts w:ascii="Arial" w:hAnsi="Arial" w:cs="Arial"/>
          <w:sz w:val="24"/>
          <w:szCs w:val="24"/>
        </w:rPr>
      </w:pPr>
    </w:p>
    <w:p w:rsid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t xml:space="preserve">Y no solo es ambiental el problema, también económico; 30 millones de pesos en daños patrimoniales en una superficie afectada superior a 500 hectáreas en donde se cortaron de manera ilegal más de 5 mil árboles de las especies oyamel pino y encino, con una edad de entre 30 y 60 años de edad. </w:t>
      </w:r>
    </w:p>
    <w:p w:rsidR="00C32070" w:rsidRPr="00C32070" w:rsidRDefault="00C32070" w:rsidP="00C32070">
      <w:pPr>
        <w:spacing w:after="0" w:line="360" w:lineRule="auto"/>
        <w:jc w:val="both"/>
        <w:rPr>
          <w:rFonts w:ascii="Arial" w:hAnsi="Arial" w:cs="Arial"/>
          <w:sz w:val="24"/>
          <w:szCs w:val="24"/>
        </w:rPr>
      </w:pPr>
    </w:p>
    <w:p w:rsidR="00C32070" w:rsidRDefault="00C32070" w:rsidP="00C32070">
      <w:pPr>
        <w:spacing w:after="0" w:line="360" w:lineRule="auto"/>
        <w:jc w:val="both"/>
        <w:rPr>
          <w:rFonts w:ascii="Arial" w:hAnsi="Arial" w:cs="Arial"/>
          <w:sz w:val="24"/>
          <w:szCs w:val="24"/>
        </w:rPr>
      </w:pPr>
      <w:r w:rsidRPr="00C32070">
        <w:rPr>
          <w:rFonts w:ascii="Arial" w:hAnsi="Arial" w:cs="Arial"/>
          <w:sz w:val="24"/>
          <w:szCs w:val="24"/>
        </w:rPr>
        <w:t>La solución requiere un trabajo coordinado y de hombro con hombro para crear y reforzar todos aquellos mecanismos necesarios para abatir este terrible problema que afecta de manera considerable nuestro medio ambiente.</w:t>
      </w:r>
    </w:p>
    <w:p w:rsidR="00C32070" w:rsidRPr="00C32070" w:rsidRDefault="00C32070" w:rsidP="00C32070">
      <w:pPr>
        <w:spacing w:after="0" w:line="360" w:lineRule="auto"/>
        <w:jc w:val="both"/>
        <w:rPr>
          <w:rFonts w:ascii="Arial" w:hAnsi="Arial" w:cs="Arial"/>
          <w:sz w:val="24"/>
          <w:szCs w:val="24"/>
        </w:rPr>
      </w:pPr>
    </w:p>
    <w:p w:rsidR="00B34A7A" w:rsidRDefault="00C32070" w:rsidP="00C32070">
      <w:pPr>
        <w:spacing w:after="0" w:line="360" w:lineRule="auto"/>
        <w:jc w:val="both"/>
        <w:rPr>
          <w:rFonts w:ascii="Arial" w:hAnsi="Arial" w:cs="Arial"/>
          <w:sz w:val="24"/>
          <w:szCs w:val="24"/>
        </w:rPr>
      </w:pPr>
      <w:r w:rsidRPr="00C32070">
        <w:rPr>
          <w:rFonts w:ascii="Arial" w:hAnsi="Arial" w:cs="Arial"/>
          <w:sz w:val="24"/>
          <w:szCs w:val="24"/>
        </w:rPr>
        <w:t>Por ello este exhorto, con el propósito de trabajar coordinadamente entre las distintas dependencias y ámbitos de gobierno, para combatir este problema que afecta a l medio ambiente, a los comuneros y a las futuras generaciones.</w:t>
      </w:r>
    </w:p>
    <w:p w:rsidR="00C32070" w:rsidRPr="00C32070" w:rsidRDefault="00C32070" w:rsidP="00C32070">
      <w:pPr>
        <w:spacing w:after="0" w:line="360" w:lineRule="auto"/>
        <w:jc w:val="both"/>
        <w:rPr>
          <w:rFonts w:ascii="Arial" w:eastAsia="Arial" w:hAnsi="Arial" w:cs="Arial"/>
          <w:sz w:val="24"/>
          <w:szCs w:val="24"/>
          <w:highlight w:val="white"/>
        </w:rPr>
      </w:pPr>
    </w:p>
    <w:p w:rsidR="00B34A7A" w:rsidRDefault="00B34A7A" w:rsidP="00C32070">
      <w:pPr>
        <w:spacing w:after="0" w:line="360" w:lineRule="auto"/>
        <w:jc w:val="both"/>
        <w:rPr>
          <w:rFonts w:ascii="Arial" w:eastAsia="Arial" w:hAnsi="Arial" w:cs="Arial"/>
          <w:sz w:val="24"/>
          <w:szCs w:val="24"/>
        </w:rPr>
      </w:pPr>
      <w:r w:rsidRPr="004E6F74">
        <w:rPr>
          <w:rFonts w:ascii="Arial" w:eastAsia="Arial" w:hAnsi="Arial" w:cs="Arial"/>
          <w:sz w:val="24"/>
          <w:szCs w:val="24"/>
        </w:rPr>
        <w:t xml:space="preserve">Por lo </w:t>
      </w:r>
      <w:r>
        <w:rPr>
          <w:rFonts w:ascii="Arial" w:eastAsia="Arial" w:hAnsi="Arial" w:cs="Arial"/>
          <w:sz w:val="24"/>
          <w:szCs w:val="24"/>
        </w:rPr>
        <w:t>anteriormente</w:t>
      </w:r>
      <w:r w:rsidRPr="004E6F74">
        <w:rPr>
          <w:rFonts w:ascii="Arial" w:eastAsia="Arial" w:hAnsi="Arial" w:cs="Arial"/>
          <w:sz w:val="24"/>
          <w:szCs w:val="24"/>
        </w:rPr>
        <w:t xml:space="preserve"> expuesto y fundado, se somete a la consideración </w:t>
      </w:r>
      <w:r>
        <w:rPr>
          <w:rFonts w:ascii="Arial" w:eastAsia="Arial" w:hAnsi="Arial" w:cs="Arial"/>
          <w:sz w:val="24"/>
          <w:szCs w:val="24"/>
        </w:rPr>
        <w:t xml:space="preserve">de </w:t>
      </w:r>
      <w:r w:rsidRPr="004E6F74">
        <w:rPr>
          <w:rFonts w:ascii="Arial" w:eastAsia="Arial" w:hAnsi="Arial" w:cs="Arial"/>
          <w:sz w:val="24"/>
          <w:szCs w:val="24"/>
        </w:rPr>
        <w:t>esta Honorable Legislatura, el proyecto de Acuerdo de urgente y obvia resolución adjunto, para que</w:t>
      </w:r>
      <w:r>
        <w:rPr>
          <w:rFonts w:ascii="Arial" w:eastAsia="Arial" w:hAnsi="Arial" w:cs="Arial"/>
          <w:sz w:val="24"/>
          <w:szCs w:val="24"/>
        </w:rPr>
        <w:t>,</w:t>
      </w:r>
      <w:r w:rsidRPr="004E6F74">
        <w:rPr>
          <w:rFonts w:ascii="Arial" w:eastAsia="Arial" w:hAnsi="Arial" w:cs="Arial"/>
          <w:sz w:val="24"/>
          <w:szCs w:val="24"/>
        </w:rPr>
        <w:t xml:space="preserve"> </w:t>
      </w:r>
      <w:r>
        <w:rPr>
          <w:rFonts w:ascii="Arial" w:eastAsia="Arial" w:hAnsi="Arial" w:cs="Arial"/>
          <w:sz w:val="24"/>
          <w:szCs w:val="24"/>
        </w:rPr>
        <w:t>de</w:t>
      </w:r>
      <w:r w:rsidRPr="004E6F74">
        <w:rPr>
          <w:rFonts w:ascii="Arial" w:eastAsia="Arial" w:hAnsi="Arial" w:cs="Arial"/>
          <w:sz w:val="24"/>
          <w:szCs w:val="24"/>
        </w:rPr>
        <w:t xml:space="preserve"> estimarlo procedente, se apruebe en sus términos.</w:t>
      </w:r>
    </w:p>
    <w:p w:rsidR="00B34A7A" w:rsidRDefault="00B34A7A" w:rsidP="00B34A7A">
      <w:pPr>
        <w:spacing w:after="0" w:line="360" w:lineRule="auto"/>
        <w:jc w:val="both"/>
        <w:rPr>
          <w:rFonts w:ascii="Arial" w:eastAsia="Arial" w:hAnsi="Arial" w:cs="Arial"/>
          <w:sz w:val="24"/>
          <w:szCs w:val="24"/>
        </w:rPr>
      </w:pPr>
    </w:p>
    <w:p w:rsidR="00B34A7A" w:rsidRDefault="00B34A7A" w:rsidP="00B34A7A">
      <w:pPr>
        <w:spacing w:after="0" w:line="360" w:lineRule="auto"/>
        <w:jc w:val="both"/>
        <w:rPr>
          <w:rFonts w:ascii="Arial" w:eastAsia="Arial" w:hAnsi="Arial" w:cs="Arial"/>
          <w:sz w:val="24"/>
          <w:szCs w:val="24"/>
        </w:rPr>
      </w:pPr>
    </w:p>
    <w:p w:rsidR="00B34A7A" w:rsidRPr="00FC299A" w:rsidRDefault="00B34A7A" w:rsidP="00B34A7A">
      <w:pPr>
        <w:spacing w:after="0" w:line="360" w:lineRule="auto"/>
        <w:jc w:val="center"/>
        <w:rPr>
          <w:rFonts w:ascii="Arial" w:eastAsia="Arial" w:hAnsi="Arial" w:cs="Arial"/>
          <w:b/>
          <w:sz w:val="24"/>
          <w:szCs w:val="24"/>
        </w:rPr>
      </w:pPr>
      <w:r w:rsidRPr="00FC299A">
        <w:rPr>
          <w:rFonts w:ascii="Arial" w:eastAsia="Arial" w:hAnsi="Arial" w:cs="Arial"/>
          <w:b/>
          <w:sz w:val="24"/>
          <w:szCs w:val="24"/>
        </w:rPr>
        <w:t>A</w:t>
      </w:r>
      <w:r>
        <w:rPr>
          <w:rFonts w:ascii="Arial" w:eastAsia="Arial" w:hAnsi="Arial" w:cs="Arial"/>
          <w:b/>
          <w:sz w:val="24"/>
          <w:szCs w:val="24"/>
        </w:rPr>
        <w:t>T</w:t>
      </w:r>
      <w:r w:rsidRPr="00FC299A">
        <w:rPr>
          <w:rFonts w:ascii="Arial" w:eastAsia="Arial" w:hAnsi="Arial" w:cs="Arial"/>
          <w:b/>
          <w:sz w:val="24"/>
          <w:szCs w:val="24"/>
        </w:rPr>
        <w:t>ENTAMENTE</w:t>
      </w:r>
    </w:p>
    <w:p w:rsidR="00B34A7A" w:rsidRDefault="00B34A7A" w:rsidP="00B34A7A">
      <w:pPr>
        <w:spacing w:after="0" w:line="240" w:lineRule="auto"/>
        <w:jc w:val="center"/>
        <w:rPr>
          <w:rFonts w:ascii="Arial" w:eastAsia="Arial" w:hAnsi="Arial" w:cs="Arial"/>
          <w:b/>
          <w:sz w:val="24"/>
          <w:szCs w:val="24"/>
        </w:rPr>
      </w:pPr>
    </w:p>
    <w:p w:rsidR="00B34A7A" w:rsidRDefault="00B34A7A" w:rsidP="00B34A7A">
      <w:pPr>
        <w:spacing w:after="0" w:line="240" w:lineRule="auto"/>
        <w:jc w:val="center"/>
        <w:rPr>
          <w:rFonts w:ascii="Arial" w:eastAsia="Arial" w:hAnsi="Arial" w:cs="Arial"/>
          <w:b/>
          <w:sz w:val="24"/>
          <w:szCs w:val="24"/>
        </w:rPr>
      </w:pPr>
    </w:p>
    <w:p w:rsidR="00B34A7A" w:rsidRDefault="00B34A7A" w:rsidP="00B34A7A">
      <w:pPr>
        <w:spacing w:after="0" w:line="240" w:lineRule="auto"/>
        <w:jc w:val="center"/>
        <w:rPr>
          <w:rFonts w:ascii="Arial" w:eastAsia="Arial" w:hAnsi="Arial" w:cs="Arial"/>
          <w:b/>
          <w:sz w:val="24"/>
          <w:szCs w:val="24"/>
        </w:rPr>
      </w:pPr>
    </w:p>
    <w:p w:rsidR="00C32070" w:rsidRDefault="00B34A7A" w:rsidP="00C32070">
      <w:pPr>
        <w:spacing w:after="0" w:line="240" w:lineRule="auto"/>
        <w:jc w:val="center"/>
        <w:rPr>
          <w:rFonts w:ascii="Arial" w:eastAsia="Arial" w:hAnsi="Arial" w:cs="Arial"/>
          <w:b/>
          <w:sz w:val="24"/>
          <w:szCs w:val="24"/>
        </w:rPr>
      </w:pPr>
      <w:r w:rsidRPr="004E6F74">
        <w:rPr>
          <w:rFonts w:ascii="Arial" w:eastAsia="Arial" w:hAnsi="Arial" w:cs="Arial"/>
          <w:b/>
          <w:sz w:val="24"/>
          <w:szCs w:val="24"/>
        </w:rPr>
        <w:t xml:space="preserve">DIP. </w:t>
      </w:r>
      <w:r>
        <w:rPr>
          <w:rFonts w:ascii="Arial" w:eastAsia="Arial" w:hAnsi="Arial" w:cs="Arial"/>
          <w:b/>
          <w:sz w:val="24"/>
          <w:szCs w:val="24"/>
        </w:rPr>
        <w:t>A</w:t>
      </w:r>
      <w:r w:rsidR="00C32070">
        <w:rPr>
          <w:rFonts w:ascii="Arial" w:eastAsia="Arial" w:hAnsi="Arial" w:cs="Arial"/>
          <w:b/>
          <w:sz w:val="24"/>
          <w:szCs w:val="24"/>
        </w:rPr>
        <w:t>NAIS MIRIAM BURGOS HERNÁNDEZ</w:t>
      </w:r>
    </w:p>
    <w:p w:rsidR="00B34A7A" w:rsidRDefault="00C32070" w:rsidP="00B34A7A">
      <w:pPr>
        <w:spacing w:after="0" w:line="240" w:lineRule="auto"/>
        <w:jc w:val="center"/>
        <w:rPr>
          <w:rFonts w:ascii="Arial" w:eastAsia="Arial" w:hAnsi="Arial" w:cs="Arial"/>
          <w:b/>
          <w:sz w:val="24"/>
          <w:szCs w:val="24"/>
        </w:rPr>
      </w:pPr>
      <w:r>
        <w:rPr>
          <w:rFonts w:ascii="Arial" w:eastAsia="Arial" w:hAnsi="Arial" w:cs="Arial"/>
          <w:b/>
          <w:sz w:val="24"/>
          <w:szCs w:val="24"/>
        </w:rPr>
        <w:t>PRESENTANTE</w:t>
      </w:r>
    </w:p>
    <w:p w:rsidR="00B34A7A" w:rsidRDefault="00B34A7A" w:rsidP="00B34A7A">
      <w:pPr>
        <w:spacing w:after="0" w:line="240" w:lineRule="auto"/>
        <w:jc w:val="center"/>
        <w:rPr>
          <w:rFonts w:ascii="Arial" w:eastAsia="Arial" w:hAnsi="Arial" w:cs="Arial"/>
          <w:b/>
          <w:sz w:val="24"/>
          <w:szCs w:val="24"/>
        </w:rPr>
      </w:pPr>
    </w:p>
    <w:p w:rsidR="00B34A7A" w:rsidRDefault="00B34A7A" w:rsidP="00B34A7A">
      <w:pPr>
        <w:spacing w:after="0" w:line="240" w:lineRule="auto"/>
        <w:jc w:val="center"/>
        <w:rPr>
          <w:rFonts w:ascii="Arial" w:eastAsia="Arial" w:hAnsi="Arial" w:cs="Arial"/>
          <w:b/>
          <w:sz w:val="24"/>
          <w:szCs w:val="24"/>
        </w:rPr>
      </w:pPr>
    </w:p>
    <w:p w:rsidR="00B34A7A" w:rsidRPr="004E6F74" w:rsidRDefault="00B34A7A" w:rsidP="00B34A7A">
      <w:pPr>
        <w:spacing w:after="0" w:line="240" w:lineRule="auto"/>
        <w:jc w:val="center"/>
        <w:rPr>
          <w:rFonts w:ascii="Arial" w:eastAsia="Arial" w:hAnsi="Arial" w:cs="Arial"/>
          <w:b/>
          <w:sz w:val="24"/>
          <w:szCs w:val="24"/>
        </w:rPr>
      </w:pPr>
    </w:p>
    <w:tbl>
      <w:tblPr>
        <w:tblStyle w:val="TableNormal"/>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B34A7A" w:rsidRPr="000610D7" w:rsidTr="00C5217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00C32070">
              <w:rPr>
                <w:rStyle w:val="Ninguno"/>
                <w:rFonts w:ascii="Arial" w:hAnsi="Arial"/>
                <w:b/>
                <w:bCs/>
                <w:u w:color="000000"/>
                <w:lang w:val="es-ES_tradnl"/>
                <w14:textOutline w14:w="12700" w14:cap="flat" w14:cmpd="sng" w14:algn="ctr">
                  <w14:noFill/>
                  <w14:prstDash w14:val="solid"/>
                  <w14:miter w14:lim="400000"/>
                </w14:textOutline>
              </w:rPr>
              <w:t>MONICA ANGÉLICA ALVEREZ NEMER</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B77456"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B34A7A" w:rsidRPr="000610D7" w:rsidTr="00C5217A">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B34A7A" w:rsidRPr="000610D7" w:rsidTr="00C5217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MARCO ANTONIO CRUZ CRUZ</w:t>
            </w:r>
          </w:p>
        </w:tc>
      </w:tr>
      <w:tr w:rsidR="00B34A7A" w:rsidRPr="000610D7" w:rsidTr="00C5217A">
        <w:trPr>
          <w:trHeight w:val="1652"/>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B34A7A" w:rsidRPr="000610D7" w:rsidTr="00C5217A">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B34A7A" w:rsidRPr="000610D7" w:rsidTr="00C5217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B34A7A" w:rsidRPr="000610D7" w:rsidTr="00C5217A">
        <w:trPr>
          <w:trHeight w:val="236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B34A7A" w:rsidRPr="000610D7" w:rsidTr="00C5217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tc>
      </w:tr>
      <w:tr w:rsidR="00B34A7A" w:rsidRPr="000610D7" w:rsidTr="00C5217A">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B34A7A" w:rsidRPr="000610D7" w:rsidRDefault="00B34A7A" w:rsidP="00C5217A">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B34A7A" w:rsidRPr="000610D7" w:rsidTr="00C5217A">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Pr="000610D7" w:rsidRDefault="00B34A7A" w:rsidP="00C5217A">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Pr="000610D7" w:rsidRDefault="00B34A7A" w:rsidP="00C5217A">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B34A7A" w:rsidRPr="000610D7" w:rsidTr="00C5217A">
        <w:trPr>
          <w:trHeight w:val="292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Pr>
                <w:rFonts w:ascii="Arial" w:eastAsia="Arial" w:hAnsi="Arial" w:cs="Arial"/>
                <w:b/>
              </w:rPr>
              <w:t>MAX AGUSTIN CORREA</w:t>
            </w:r>
            <w:r w:rsidRPr="004E6F74">
              <w:rPr>
                <w:rFonts w:ascii="Arial" w:eastAsia="Arial" w:hAnsi="Arial" w:cs="Arial"/>
                <w:b/>
              </w:rPr>
              <w:t xml:space="preserve"> HERNÁNDEZ</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LUZ MA. HERNÁNDEZ BERMUDEZ</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B34A7A" w:rsidRPr="000610D7" w:rsidTr="00C5217A">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tc>
      </w:tr>
      <w:tr w:rsidR="00B34A7A" w:rsidTr="00C5217A">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bl>
    <w:p w:rsidR="00B34A7A" w:rsidRDefault="00B34A7A" w:rsidP="00B34A7A">
      <w:pPr>
        <w:spacing w:line="360" w:lineRule="auto"/>
        <w:jc w:val="center"/>
        <w:rPr>
          <w:rFonts w:ascii="Arial" w:eastAsia="Arial" w:hAnsi="Arial" w:cs="Arial"/>
          <w:b/>
          <w:color w:val="000000"/>
          <w:sz w:val="24"/>
          <w:szCs w:val="24"/>
        </w:rPr>
      </w:pPr>
    </w:p>
    <w:p w:rsidR="00B34A7A" w:rsidRDefault="00B34A7A"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B34A7A" w:rsidRDefault="00B34A7A" w:rsidP="00B34A7A">
      <w:pPr>
        <w:spacing w:line="360" w:lineRule="auto"/>
        <w:jc w:val="center"/>
        <w:rPr>
          <w:rFonts w:ascii="Arial" w:eastAsia="Arial" w:hAnsi="Arial" w:cs="Arial"/>
          <w:b/>
          <w:color w:val="000000"/>
          <w:sz w:val="24"/>
          <w:szCs w:val="24"/>
        </w:rPr>
      </w:pPr>
      <w:r w:rsidRPr="004E6F74">
        <w:rPr>
          <w:rFonts w:ascii="Arial" w:eastAsia="Arial" w:hAnsi="Arial" w:cs="Arial"/>
          <w:b/>
          <w:color w:val="000000"/>
          <w:sz w:val="24"/>
          <w:szCs w:val="24"/>
        </w:rPr>
        <w:t>PROYECTO DE ACUERDO</w:t>
      </w:r>
    </w:p>
    <w:p w:rsidR="00B34A7A" w:rsidRDefault="00B34A7A" w:rsidP="00B34A7A">
      <w:pPr>
        <w:spacing w:line="360" w:lineRule="auto"/>
        <w:ind w:right="49"/>
        <w:jc w:val="both"/>
        <w:rPr>
          <w:rFonts w:ascii="Arial" w:eastAsia="Arial" w:hAnsi="Arial" w:cs="Arial"/>
          <w:b/>
          <w:sz w:val="24"/>
          <w:szCs w:val="24"/>
        </w:rPr>
      </w:pPr>
      <w:r w:rsidRPr="00090478">
        <w:rPr>
          <w:rFonts w:ascii="Arial" w:eastAsia="Arial" w:hAnsi="Arial" w:cs="Arial"/>
          <w:b/>
          <w:sz w:val="24"/>
          <w:szCs w:val="24"/>
        </w:rPr>
        <w:t xml:space="preserve">LA H. </w:t>
      </w:r>
      <w:r>
        <w:rPr>
          <w:rFonts w:ascii="Arial" w:eastAsia="Arial" w:hAnsi="Arial" w:cs="Arial"/>
          <w:b/>
          <w:sz w:val="24"/>
          <w:szCs w:val="24"/>
        </w:rPr>
        <w:t>“</w:t>
      </w:r>
      <w:r w:rsidRPr="00090478">
        <w:rPr>
          <w:rFonts w:ascii="Arial" w:eastAsia="Arial" w:hAnsi="Arial" w:cs="Arial"/>
          <w:b/>
          <w:sz w:val="24"/>
          <w:szCs w:val="24"/>
        </w:rPr>
        <w:t>LXI</w:t>
      </w:r>
      <w:r>
        <w:rPr>
          <w:rFonts w:ascii="Arial" w:eastAsia="Arial" w:hAnsi="Arial" w:cs="Arial"/>
          <w:b/>
          <w:sz w:val="24"/>
          <w:szCs w:val="24"/>
        </w:rPr>
        <w:t>”</w:t>
      </w:r>
      <w:r w:rsidRPr="00090478">
        <w:rPr>
          <w:rFonts w:ascii="Arial" w:eastAsia="Arial" w:hAnsi="Arial" w:cs="Arial"/>
          <w:b/>
          <w:sz w:val="24"/>
          <w:szCs w:val="24"/>
        </w:rPr>
        <w:t xml:space="preserve"> LEGISLATURA DEL ESTADO DE MÉXICO, CON FUNDAMENTO EN LOS ARTÍCULOS 55, 57</w:t>
      </w:r>
      <w:r w:rsidR="00AE0C44">
        <w:rPr>
          <w:rFonts w:ascii="Arial" w:eastAsia="Arial" w:hAnsi="Arial" w:cs="Arial"/>
          <w:b/>
          <w:sz w:val="24"/>
          <w:szCs w:val="24"/>
        </w:rPr>
        <w:t xml:space="preserve"> </w:t>
      </w:r>
      <w:r w:rsidRPr="00090478">
        <w:rPr>
          <w:rFonts w:ascii="Arial" w:eastAsia="Arial" w:hAnsi="Arial" w:cs="Arial"/>
          <w:b/>
          <w:sz w:val="24"/>
          <w:szCs w:val="24"/>
        </w:rPr>
        <w:t>DE LA CONSTITUCIÓN POLÍTICA DEL ESTADO LIBRE Y SOBERANO DE MÉXICO</w:t>
      </w:r>
      <w:r>
        <w:rPr>
          <w:rFonts w:ascii="Arial" w:eastAsia="Arial" w:hAnsi="Arial" w:cs="Arial"/>
          <w:b/>
          <w:sz w:val="24"/>
          <w:szCs w:val="24"/>
        </w:rPr>
        <w:t>;</w:t>
      </w:r>
      <w:r w:rsidRPr="00090478">
        <w:rPr>
          <w:rFonts w:ascii="Arial" w:eastAsia="Arial" w:hAnsi="Arial" w:cs="Arial"/>
          <w:b/>
          <w:sz w:val="24"/>
          <w:szCs w:val="24"/>
        </w:rPr>
        <w:t xml:space="preserve"> 83 DE LA LEY ORGÁNICA DEL PODER LEGISLATIVO DEL ESTADO LIBRE Y SOBERANO DE MÉXICO;</w:t>
      </w:r>
      <w:r w:rsidR="00AE0C44">
        <w:rPr>
          <w:rFonts w:ascii="Arial" w:eastAsia="Arial" w:hAnsi="Arial" w:cs="Arial"/>
          <w:b/>
          <w:sz w:val="24"/>
          <w:szCs w:val="24"/>
        </w:rPr>
        <w:t xml:space="preserve"> Y</w:t>
      </w:r>
      <w:r w:rsidRPr="00090478">
        <w:rPr>
          <w:rFonts w:ascii="Arial" w:eastAsia="Arial" w:hAnsi="Arial" w:cs="Arial"/>
          <w:b/>
          <w:sz w:val="24"/>
          <w:szCs w:val="24"/>
        </w:rPr>
        <w:t xml:space="preserve"> 74 DEL REGLAMENTO DEL PODER LEGISLATIVO DEL ESTADO LIBRE Y SOBERANO DE MÉXICO, HA TENIDO A BIEN EMITIR EL SIGUIENTE:</w:t>
      </w:r>
    </w:p>
    <w:p w:rsidR="00B34A7A" w:rsidRPr="004E6F74" w:rsidRDefault="00B34A7A" w:rsidP="00B34A7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Arial" w:eastAsia="Arial" w:hAnsi="Arial" w:cs="Arial"/>
          <w:color w:val="000000"/>
          <w:sz w:val="24"/>
          <w:szCs w:val="24"/>
        </w:rPr>
      </w:pPr>
    </w:p>
    <w:p w:rsidR="00B34A7A" w:rsidRPr="004E6F74" w:rsidRDefault="00B34A7A" w:rsidP="00B34A7A">
      <w:pPr>
        <w:pBdr>
          <w:top w:val="nil"/>
          <w:left w:val="nil"/>
          <w:bottom w:val="nil"/>
          <w:right w:val="nil"/>
          <w:between w:val="nil"/>
        </w:pBdr>
        <w:spacing w:line="360" w:lineRule="auto"/>
        <w:jc w:val="center"/>
        <w:rPr>
          <w:rFonts w:ascii="Arial" w:eastAsia="Arial" w:hAnsi="Arial" w:cs="Arial"/>
          <w:b/>
          <w:color w:val="000000"/>
          <w:sz w:val="24"/>
          <w:szCs w:val="24"/>
        </w:rPr>
      </w:pPr>
      <w:r w:rsidRPr="004E6F74">
        <w:rPr>
          <w:rFonts w:ascii="Arial" w:eastAsia="Arial" w:hAnsi="Arial" w:cs="Arial"/>
          <w:b/>
          <w:color w:val="000000"/>
          <w:sz w:val="24"/>
          <w:szCs w:val="24"/>
        </w:rPr>
        <w:t>ACUERDO</w:t>
      </w:r>
    </w:p>
    <w:p w:rsidR="00B34A7A" w:rsidRDefault="00B34A7A" w:rsidP="00B34A7A">
      <w:pPr>
        <w:pBdr>
          <w:top w:val="nil"/>
          <w:left w:val="nil"/>
          <w:bottom w:val="nil"/>
          <w:right w:val="nil"/>
          <w:between w:val="nil"/>
        </w:pBdr>
        <w:spacing w:line="360" w:lineRule="auto"/>
        <w:jc w:val="both"/>
        <w:rPr>
          <w:rFonts w:ascii="Arial" w:eastAsia="Arial" w:hAnsi="Arial" w:cs="Arial"/>
          <w:sz w:val="24"/>
          <w:szCs w:val="24"/>
        </w:rPr>
      </w:pPr>
      <w:bookmarkStart w:id="4" w:name="_1fob9te" w:colFirst="0" w:colLast="0"/>
      <w:bookmarkEnd w:id="4"/>
      <w:r>
        <w:rPr>
          <w:rFonts w:ascii="Arial" w:eastAsia="Arial" w:hAnsi="Arial" w:cs="Arial"/>
          <w:b/>
          <w:color w:val="000000"/>
          <w:sz w:val="24"/>
          <w:szCs w:val="24"/>
        </w:rPr>
        <w:t>PRIMERO</w:t>
      </w:r>
      <w:r w:rsidRPr="004E6F74">
        <w:rPr>
          <w:rFonts w:ascii="Arial" w:eastAsia="Arial" w:hAnsi="Arial" w:cs="Arial"/>
          <w:color w:val="000000"/>
          <w:sz w:val="24"/>
          <w:szCs w:val="24"/>
        </w:rPr>
        <w:t xml:space="preserve">. </w:t>
      </w:r>
      <w:r w:rsidR="00C32070">
        <w:rPr>
          <w:rFonts w:ascii="Arial" w:eastAsia="Arial" w:hAnsi="Arial" w:cs="Arial"/>
          <w:color w:val="000000"/>
          <w:sz w:val="24"/>
          <w:szCs w:val="24"/>
        </w:rPr>
        <w:t xml:space="preserve">Se </w:t>
      </w:r>
      <w:r w:rsidR="00C32070" w:rsidRPr="00C32070">
        <w:rPr>
          <w:rFonts w:ascii="Arial" w:eastAsia="Arial" w:hAnsi="Arial" w:cs="Arial"/>
          <w:sz w:val="24"/>
          <w:szCs w:val="24"/>
        </w:rPr>
        <w:t xml:space="preserve">Exhorta respetuosamente </w:t>
      </w:r>
      <w:bookmarkStart w:id="5" w:name="_Hlk119578226"/>
      <w:r w:rsidR="00C32070" w:rsidRPr="00C32070">
        <w:rPr>
          <w:rFonts w:ascii="Arial" w:eastAsia="Arial" w:hAnsi="Arial" w:cs="Arial"/>
          <w:sz w:val="24"/>
          <w:szCs w:val="24"/>
        </w:rPr>
        <w:t>a las personas Titulares de la Procuraduría Federal de Protección al Ambiente (PROFEPA) Delegación Estado de México; de la Secretaría del Medio Ambiente del Estado de México;  de la Dirección General de la Protectora de Bosques del Estado de México (PROBOSQUE); de la Guardia Nacional, y del Ayuntamiento de Amecameca, Estado de México, a que en un marco de colaboración interinstitucional y desde el ámbito de sus respectivas atribuciones, lleven a cabo de manera urgente, las acciones necesarias para combatir y disminuir la tala clandestina en la zona Izta-Popo, en el Estado de México</w:t>
      </w:r>
      <w:r>
        <w:rPr>
          <w:rFonts w:ascii="Arial" w:eastAsia="Arial" w:hAnsi="Arial" w:cs="Arial"/>
          <w:sz w:val="24"/>
          <w:szCs w:val="24"/>
        </w:rPr>
        <w:t>.</w:t>
      </w:r>
    </w:p>
    <w:bookmarkEnd w:id="5"/>
    <w:p w:rsidR="00B34A7A" w:rsidRPr="00D7076D" w:rsidRDefault="00B34A7A" w:rsidP="00B34A7A">
      <w:pPr>
        <w:pBdr>
          <w:top w:val="nil"/>
          <w:left w:val="nil"/>
          <w:bottom w:val="nil"/>
          <w:right w:val="nil"/>
          <w:between w:val="nil"/>
        </w:pBdr>
        <w:spacing w:after="0" w:line="360" w:lineRule="auto"/>
        <w:jc w:val="center"/>
        <w:rPr>
          <w:rFonts w:ascii="Arial" w:eastAsia="Arial" w:hAnsi="Arial" w:cs="Arial"/>
          <w:b/>
          <w:color w:val="000000"/>
          <w:sz w:val="24"/>
          <w:szCs w:val="24"/>
          <w:lang w:val="en-US"/>
        </w:rPr>
      </w:pPr>
      <w:r w:rsidRPr="00D7076D">
        <w:rPr>
          <w:rFonts w:ascii="Arial" w:eastAsia="Arial" w:hAnsi="Arial" w:cs="Arial"/>
          <w:b/>
          <w:color w:val="000000"/>
          <w:sz w:val="24"/>
          <w:szCs w:val="24"/>
          <w:lang w:val="en-US"/>
        </w:rPr>
        <w:t>T R A N S I T O R I O S</w:t>
      </w:r>
    </w:p>
    <w:p w:rsidR="00B34A7A" w:rsidRPr="00D7076D" w:rsidRDefault="00B34A7A" w:rsidP="00B34A7A">
      <w:pPr>
        <w:pBdr>
          <w:top w:val="nil"/>
          <w:left w:val="nil"/>
          <w:bottom w:val="nil"/>
          <w:right w:val="nil"/>
          <w:between w:val="nil"/>
        </w:pBdr>
        <w:spacing w:after="0" w:line="360" w:lineRule="auto"/>
        <w:jc w:val="both"/>
        <w:rPr>
          <w:rFonts w:ascii="Arial" w:eastAsia="Arial" w:hAnsi="Arial" w:cs="Arial"/>
          <w:b/>
          <w:color w:val="000000"/>
          <w:sz w:val="24"/>
          <w:szCs w:val="24"/>
          <w:lang w:val="en-US"/>
        </w:rPr>
      </w:pPr>
    </w:p>
    <w:p w:rsidR="00B34A7A" w:rsidRDefault="00B34A7A" w:rsidP="00B34A7A">
      <w:pPr>
        <w:pBdr>
          <w:top w:val="nil"/>
          <w:left w:val="nil"/>
          <w:bottom w:val="nil"/>
          <w:right w:val="nil"/>
          <w:between w:val="nil"/>
        </w:pBdr>
        <w:spacing w:after="0" w:line="360" w:lineRule="auto"/>
        <w:jc w:val="both"/>
        <w:rPr>
          <w:rFonts w:ascii="Arial" w:eastAsia="Arial" w:hAnsi="Arial" w:cs="Arial"/>
          <w:color w:val="000000"/>
          <w:sz w:val="24"/>
          <w:szCs w:val="24"/>
        </w:rPr>
      </w:pPr>
      <w:r w:rsidRPr="004E6F74">
        <w:rPr>
          <w:rFonts w:ascii="Arial" w:eastAsia="Arial" w:hAnsi="Arial" w:cs="Arial"/>
          <w:b/>
          <w:color w:val="000000"/>
          <w:sz w:val="24"/>
          <w:szCs w:val="24"/>
        </w:rPr>
        <w:t>ARTÍCULO PRIMERO.</w:t>
      </w:r>
      <w:r w:rsidRPr="004E6F74">
        <w:rPr>
          <w:rFonts w:ascii="Arial" w:eastAsia="Arial" w:hAnsi="Arial" w:cs="Arial"/>
          <w:color w:val="000000"/>
          <w:sz w:val="24"/>
          <w:szCs w:val="24"/>
        </w:rPr>
        <w:t xml:space="preserve"> - Publíquese el presente Acuerdo en el Periódico Oficial “</w:t>
      </w:r>
      <w:r w:rsidRPr="004E6F74">
        <w:rPr>
          <w:rFonts w:ascii="Arial" w:eastAsia="Arial" w:hAnsi="Arial" w:cs="Arial"/>
          <w:i/>
          <w:color w:val="000000"/>
          <w:sz w:val="24"/>
          <w:szCs w:val="24"/>
        </w:rPr>
        <w:t>Gaceta del Gobierno</w:t>
      </w:r>
      <w:r w:rsidRPr="004E6F74">
        <w:rPr>
          <w:rFonts w:ascii="Arial" w:eastAsia="Arial" w:hAnsi="Arial" w:cs="Arial"/>
          <w:color w:val="000000"/>
          <w:sz w:val="24"/>
          <w:szCs w:val="24"/>
        </w:rPr>
        <w:t>” del Estado Libre y Soberano de México.</w:t>
      </w:r>
    </w:p>
    <w:p w:rsidR="00B34A7A" w:rsidRPr="004E6F74" w:rsidRDefault="00B34A7A" w:rsidP="00B34A7A">
      <w:pPr>
        <w:pBdr>
          <w:top w:val="nil"/>
          <w:left w:val="nil"/>
          <w:bottom w:val="nil"/>
          <w:right w:val="nil"/>
          <w:between w:val="nil"/>
        </w:pBdr>
        <w:spacing w:after="0" w:line="360" w:lineRule="auto"/>
        <w:jc w:val="both"/>
        <w:rPr>
          <w:rFonts w:ascii="Arial" w:eastAsia="Arial" w:hAnsi="Arial" w:cs="Arial"/>
          <w:color w:val="000000"/>
          <w:sz w:val="24"/>
          <w:szCs w:val="24"/>
        </w:rPr>
      </w:pPr>
    </w:p>
    <w:p w:rsidR="00B34A7A" w:rsidRDefault="00B34A7A" w:rsidP="00B34A7A">
      <w:pPr>
        <w:pBdr>
          <w:top w:val="nil"/>
          <w:left w:val="nil"/>
          <w:bottom w:val="nil"/>
          <w:right w:val="nil"/>
          <w:between w:val="nil"/>
        </w:pBdr>
        <w:spacing w:after="0" w:line="360" w:lineRule="auto"/>
        <w:jc w:val="both"/>
        <w:rPr>
          <w:rFonts w:ascii="Arial" w:eastAsia="Arial" w:hAnsi="Arial" w:cs="Arial"/>
          <w:color w:val="000000"/>
          <w:sz w:val="24"/>
          <w:szCs w:val="24"/>
        </w:rPr>
      </w:pPr>
      <w:r w:rsidRPr="004E6F74">
        <w:rPr>
          <w:rFonts w:ascii="Arial" w:eastAsia="Arial" w:hAnsi="Arial" w:cs="Arial"/>
          <w:b/>
          <w:color w:val="000000"/>
          <w:sz w:val="24"/>
          <w:szCs w:val="24"/>
        </w:rPr>
        <w:t>ARTÍCULO SEGUNDO</w:t>
      </w:r>
      <w:r w:rsidRPr="004E6F74">
        <w:rPr>
          <w:rFonts w:ascii="Arial" w:eastAsia="Arial" w:hAnsi="Arial" w:cs="Arial"/>
          <w:color w:val="000000"/>
          <w:sz w:val="24"/>
          <w:szCs w:val="24"/>
        </w:rPr>
        <w:t xml:space="preserve">. </w:t>
      </w:r>
      <w:r>
        <w:rPr>
          <w:rFonts w:ascii="Arial" w:eastAsia="Arial" w:hAnsi="Arial" w:cs="Arial"/>
          <w:color w:val="000000"/>
          <w:sz w:val="24"/>
          <w:szCs w:val="24"/>
        </w:rPr>
        <w:t xml:space="preserve">Comuníquese el </w:t>
      </w:r>
      <w:r w:rsidRPr="004E6F74">
        <w:rPr>
          <w:rFonts w:ascii="Arial" w:eastAsia="Arial" w:hAnsi="Arial" w:cs="Arial"/>
          <w:color w:val="000000"/>
          <w:sz w:val="24"/>
          <w:szCs w:val="24"/>
        </w:rPr>
        <w:t xml:space="preserve">presente Acuerdo </w:t>
      </w:r>
      <w:r>
        <w:rPr>
          <w:rFonts w:ascii="Arial" w:eastAsia="Arial" w:hAnsi="Arial" w:cs="Arial"/>
          <w:color w:val="000000"/>
          <w:sz w:val="24"/>
          <w:szCs w:val="24"/>
        </w:rPr>
        <w:t>a las autoridades correspondientes, para los efectos competentes</w:t>
      </w:r>
      <w:r w:rsidRPr="004E6F74">
        <w:rPr>
          <w:rFonts w:ascii="Arial" w:eastAsia="Arial" w:hAnsi="Arial" w:cs="Arial"/>
          <w:color w:val="000000"/>
          <w:sz w:val="24"/>
          <w:szCs w:val="24"/>
        </w:rPr>
        <w:t>.</w:t>
      </w:r>
    </w:p>
    <w:p w:rsidR="00B34A7A" w:rsidRPr="004E6F74" w:rsidRDefault="00B34A7A" w:rsidP="00B34A7A">
      <w:pPr>
        <w:pBdr>
          <w:top w:val="nil"/>
          <w:left w:val="nil"/>
          <w:bottom w:val="nil"/>
          <w:right w:val="nil"/>
          <w:between w:val="nil"/>
        </w:pBdr>
        <w:spacing w:after="0" w:line="360" w:lineRule="auto"/>
        <w:jc w:val="both"/>
        <w:rPr>
          <w:rFonts w:ascii="Arial" w:eastAsia="Arial" w:hAnsi="Arial" w:cs="Arial"/>
          <w:color w:val="000000"/>
          <w:sz w:val="24"/>
          <w:szCs w:val="24"/>
        </w:rPr>
      </w:pPr>
    </w:p>
    <w:p w:rsidR="00B34A7A" w:rsidRPr="004E6F74" w:rsidRDefault="00B34A7A" w:rsidP="00B34A7A">
      <w:pPr>
        <w:pBdr>
          <w:top w:val="nil"/>
          <w:left w:val="nil"/>
          <w:bottom w:val="nil"/>
          <w:right w:val="nil"/>
          <w:between w:val="nil"/>
        </w:pBdr>
        <w:spacing w:after="0" w:line="360" w:lineRule="auto"/>
        <w:jc w:val="both"/>
        <w:rPr>
          <w:rFonts w:ascii="Helvetica Neue" w:eastAsia="Helvetica Neue" w:hAnsi="Helvetica Neue" w:cs="Helvetica Neue"/>
          <w:color w:val="000000"/>
          <w:sz w:val="24"/>
          <w:szCs w:val="24"/>
        </w:rPr>
      </w:pPr>
      <w:r w:rsidRPr="004E6F74">
        <w:rPr>
          <w:rFonts w:ascii="Arial" w:eastAsia="Arial" w:hAnsi="Arial" w:cs="Arial"/>
          <w:color w:val="000000"/>
          <w:sz w:val="24"/>
          <w:szCs w:val="24"/>
        </w:rPr>
        <w:t xml:space="preserve">Dado en el Palacio del Poder Legislativo, en la </w:t>
      </w:r>
      <w:r>
        <w:rPr>
          <w:rFonts w:ascii="Arial" w:eastAsia="Arial" w:hAnsi="Arial" w:cs="Arial"/>
          <w:color w:val="000000"/>
          <w:sz w:val="24"/>
          <w:szCs w:val="24"/>
        </w:rPr>
        <w:t>C</w:t>
      </w:r>
      <w:r w:rsidRPr="004E6F74">
        <w:rPr>
          <w:rFonts w:ascii="Arial" w:eastAsia="Arial" w:hAnsi="Arial" w:cs="Arial"/>
          <w:color w:val="000000"/>
          <w:sz w:val="24"/>
          <w:szCs w:val="24"/>
        </w:rPr>
        <w:t xml:space="preserve">iudad de Toluca de Lerdo, capital del Estado de México, a los ______ días del mes de </w:t>
      </w:r>
      <w:r>
        <w:rPr>
          <w:rFonts w:ascii="Arial" w:eastAsia="Arial" w:hAnsi="Arial" w:cs="Arial"/>
          <w:color w:val="000000"/>
          <w:sz w:val="24"/>
          <w:szCs w:val="24"/>
        </w:rPr>
        <w:t>_________</w:t>
      </w:r>
      <w:r w:rsidRPr="004E6F74">
        <w:rPr>
          <w:rFonts w:ascii="Arial" w:eastAsia="Arial" w:hAnsi="Arial" w:cs="Arial"/>
          <w:color w:val="000000"/>
          <w:sz w:val="24"/>
          <w:szCs w:val="24"/>
        </w:rPr>
        <w:t xml:space="preserve"> del año dos mil veintidós.</w:t>
      </w:r>
    </w:p>
    <w:p w:rsidR="00B34A7A" w:rsidRDefault="00B34A7A" w:rsidP="00B34A7A"/>
    <w:p w:rsidR="00B34A7A" w:rsidRDefault="00B34A7A" w:rsidP="00B34A7A"/>
    <w:p w:rsidR="00B34A7A" w:rsidRDefault="00B34A7A" w:rsidP="00B34A7A"/>
    <w:p w:rsidR="00B91A86" w:rsidRDefault="00B91A86"/>
    <w:sectPr w:rsidR="00B91A86">
      <w:headerReference w:type="even" r:id="rId6"/>
      <w:headerReference w:type="default" r:id="rId7"/>
      <w:footerReference w:type="default" r:id="rId8"/>
      <w:headerReference w:type="first" r:id="rId9"/>
      <w:pgSz w:w="12240" w:h="15840"/>
      <w:pgMar w:top="193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A30" w:rsidRDefault="00407A30">
      <w:pPr>
        <w:spacing w:after="0" w:line="240" w:lineRule="auto"/>
      </w:pPr>
      <w:r>
        <w:separator/>
      </w:r>
    </w:p>
  </w:endnote>
  <w:endnote w:type="continuationSeparator" w:id="0">
    <w:p w:rsidR="00407A30" w:rsidRDefault="0040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regular">
    <w:altName w:val="Arial"/>
    <w:panose1 w:val="00000000000000000000"/>
    <w:charset w:val="00"/>
    <w:family w:val="roman"/>
    <w:notTrueType/>
    <w:pitch w:val="default"/>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4E6F74" w:rsidTr="00866673">
      <w:tc>
        <w:tcPr>
          <w:tcW w:w="2692" w:type="dxa"/>
        </w:tcPr>
        <w:p w:rsidR="004E6F74" w:rsidRPr="00D254E5" w:rsidRDefault="00C32070" w:rsidP="004E6F74">
          <w:pPr>
            <w:pStyle w:val="Piedepgina"/>
            <w:jc w:val="both"/>
            <w:rPr>
              <w:sz w:val="18"/>
              <w:szCs w:val="18"/>
            </w:rPr>
          </w:pPr>
          <w:r w:rsidRPr="00D254E5">
            <w:rPr>
              <w:sz w:val="18"/>
              <w:szCs w:val="18"/>
            </w:rPr>
            <w:t>Plaza Hidalgo S/N Col. Centro</w:t>
          </w:r>
        </w:p>
        <w:p w:rsidR="004E6F74" w:rsidRPr="00D254E5" w:rsidRDefault="00C32070" w:rsidP="004E6F74">
          <w:pPr>
            <w:pStyle w:val="Piedepgina"/>
            <w:jc w:val="both"/>
            <w:rPr>
              <w:sz w:val="18"/>
              <w:szCs w:val="18"/>
            </w:rPr>
          </w:pPr>
          <w:r w:rsidRPr="00D254E5">
            <w:rPr>
              <w:sz w:val="18"/>
              <w:szCs w:val="18"/>
            </w:rPr>
            <w:t>Toluca, México, C.P. 50000</w:t>
          </w:r>
        </w:p>
        <w:p w:rsidR="004E6F74" w:rsidRDefault="00C32070" w:rsidP="004E6F74">
          <w:pPr>
            <w:pStyle w:val="Piedepgina"/>
            <w:jc w:val="both"/>
          </w:pPr>
          <w:r w:rsidRPr="00D254E5">
            <w:rPr>
              <w:sz w:val="18"/>
              <w:szCs w:val="18"/>
            </w:rPr>
            <w:t xml:space="preserve">Tels. (722) 279 6400 </w:t>
          </w:r>
        </w:p>
      </w:tc>
      <w:tc>
        <w:tcPr>
          <w:tcW w:w="898" w:type="dxa"/>
        </w:tcPr>
        <w:p w:rsidR="004E6F74" w:rsidRDefault="00407A30" w:rsidP="004E6F74">
          <w:pPr>
            <w:pStyle w:val="Piedepgina"/>
            <w:jc w:val="right"/>
          </w:pPr>
        </w:p>
      </w:tc>
      <w:tc>
        <w:tcPr>
          <w:tcW w:w="898" w:type="dxa"/>
        </w:tcPr>
        <w:p w:rsidR="004E6F74" w:rsidRDefault="00C32070" w:rsidP="004E6F74">
          <w:pPr>
            <w:pStyle w:val="Piedepgina"/>
            <w:jc w:val="right"/>
          </w:pPr>
          <w:r w:rsidRPr="00C85FE3">
            <w:rPr>
              <w:rFonts w:ascii="Lato" w:hAnsi="Lato"/>
              <w:noProof/>
              <w:color w:val="97184B"/>
              <w:sz w:val="18"/>
            </w:rPr>
            <w:drawing>
              <wp:anchor distT="0" distB="0" distL="114300" distR="114300" simplePos="0" relativeHeight="251662336" behindDoc="0" locked="0" layoutInCell="1" allowOverlap="1" wp14:anchorId="6453DDB8" wp14:editId="006DD29C">
                <wp:simplePos x="0" y="0"/>
                <wp:positionH relativeFrom="column">
                  <wp:posOffset>30480</wp:posOffset>
                </wp:positionH>
                <wp:positionV relativeFrom="paragraph">
                  <wp:posOffset>15875</wp:posOffset>
                </wp:positionV>
                <wp:extent cx="1077595" cy="424180"/>
                <wp:effectExtent l="0" t="0" r="825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rsidR="004E6F74" w:rsidRDefault="00407A30" w:rsidP="004E6F74">
          <w:pPr>
            <w:pStyle w:val="Piedepgina"/>
            <w:jc w:val="right"/>
          </w:pPr>
        </w:p>
      </w:tc>
      <w:tc>
        <w:tcPr>
          <w:tcW w:w="898" w:type="dxa"/>
        </w:tcPr>
        <w:p w:rsidR="004E6F74" w:rsidRDefault="00407A30" w:rsidP="004E6F74">
          <w:pPr>
            <w:pStyle w:val="Piedepgina"/>
            <w:jc w:val="right"/>
          </w:pPr>
        </w:p>
      </w:tc>
      <w:tc>
        <w:tcPr>
          <w:tcW w:w="898" w:type="dxa"/>
        </w:tcPr>
        <w:p w:rsidR="004E6F74" w:rsidRDefault="00407A30" w:rsidP="004E6F74">
          <w:pPr>
            <w:pStyle w:val="Piedepgina"/>
            <w:jc w:val="right"/>
          </w:pPr>
        </w:p>
      </w:tc>
      <w:tc>
        <w:tcPr>
          <w:tcW w:w="898" w:type="dxa"/>
        </w:tcPr>
        <w:p w:rsidR="004E6F74" w:rsidRDefault="00C32070" w:rsidP="004E6F74">
          <w:pPr>
            <w:pStyle w:val="Piedepgina"/>
            <w:jc w:val="right"/>
          </w:pPr>
          <w:r w:rsidRPr="00B110F3">
            <w:rPr>
              <w:rFonts w:cs="Times New Roman"/>
              <w:noProof/>
            </w:rPr>
            <w:drawing>
              <wp:anchor distT="0" distB="0" distL="114300" distR="114300" simplePos="0" relativeHeight="251663360" behindDoc="0" locked="0" layoutInCell="1" allowOverlap="1" wp14:anchorId="10355A54" wp14:editId="69D71012">
                <wp:simplePos x="0" y="0"/>
                <wp:positionH relativeFrom="column">
                  <wp:posOffset>-836930</wp:posOffset>
                </wp:positionH>
                <wp:positionV relativeFrom="page">
                  <wp:posOffset>46355</wp:posOffset>
                </wp:positionV>
                <wp:extent cx="1972310" cy="309880"/>
                <wp:effectExtent l="0" t="0" r="889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972310" cy="309880"/>
                        </a:xfrm>
                        <a:prstGeom prst="rect">
                          <a:avLst/>
                        </a:prstGeom>
                        <a:noFill/>
                      </pic:spPr>
                    </pic:pic>
                  </a:graphicData>
                </a:graphic>
                <wp14:sizeRelH relativeFrom="page">
                  <wp14:pctWidth>0</wp14:pctWidth>
                </wp14:sizeRelH>
                <wp14:sizeRelV relativeFrom="page">
                  <wp14:pctHeight>0</wp14:pctHeight>
                </wp14:sizeRelV>
              </wp:anchor>
            </w:drawing>
          </w:r>
        </w:p>
      </w:tc>
      <w:tc>
        <w:tcPr>
          <w:tcW w:w="898" w:type="dxa"/>
        </w:tcPr>
        <w:p w:rsidR="004E6F74" w:rsidRDefault="00407A30" w:rsidP="004E6F74">
          <w:pPr>
            <w:pStyle w:val="Piedepgina"/>
            <w:jc w:val="right"/>
          </w:pPr>
        </w:p>
        <w:p w:rsidR="004E6F74" w:rsidRDefault="00407A30" w:rsidP="004E6F74">
          <w:pPr>
            <w:pStyle w:val="Piedepgina"/>
            <w:jc w:val="right"/>
          </w:pPr>
        </w:p>
        <w:p w:rsidR="004E6F74" w:rsidRDefault="00C32070" w:rsidP="004E6F74">
          <w:pPr>
            <w:pStyle w:val="Piedepgina"/>
            <w:jc w:val="right"/>
          </w:pPr>
          <w:r>
            <w:fldChar w:fldCharType="begin"/>
          </w:r>
          <w:r>
            <w:instrText>PAGE   \* MERGEFORMAT</w:instrText>
          </w:r>
          <w:r>
            <w:fldChar w:fldCharType="separate"/>
          </w:r>
          <w:r w:rsidRPr="004E4800">
            <w:rPr>
              <w:noProof/>
              <w:lang w:val="es-ES"/>
            </w:rPr>
            <w:t>1</w:t>
          </w:r>
          <w:r>
            <w:fldChar w:fldCharType="end"/>
          </w:r>
        </w:p>
      </w:tc>
    </w:tr>
  </w:tbl>
  <w:p w:rsidR="00CB200F" w:rsidRDefault="00407A30">
    <w:pPr>
      <w:pBdr>
        <w:top w:val="nil"/>
        <w:left w:val="nil"/>
        <w:bottom w:val="nil"/>
        <w:right w:val="nil"/>
        <w:between w:val="nil"/>
      </w:pBdr>
      <w:tabs>
        <w:tab w:val="center" w:pos="4419"/>
        <w:tab w:val="right" w:pos="8838"/>
      </w:tabs>
      <w:spacing w:after="0" w:line="240" w:lineRule="auto"/>
      <w:jc w:val="center"/>
      <w:rPr>
        <w:color w:val="000000"/>
      </w:rPr>
    </w:pPr>
  </w:p>
  <w:p w:rsidR="00CB200F" w:rsidRDefault="00407A3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A30" w:rsidRDefault="00407A30">
      <w:pPr>
        <w:spacing w:after="0" w:line="240" w:lineRule="auto"/>
      </w:pPr>
      <w:r>
        <w:separator/>
      </w:r>
    </w:p>
  </w:footnote>
  <w:footnote w:type="continuationSeparator" w:id="0">
    <w:p w:rsidR="00407A30" w:rsidRDefault="00407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00F" w:rsidRDefault="00C32070">
    <w:pPr>
      <w:spacing w:after="0"/>
      <w:ind w:left="-1440" w:right="3306"/>
    </w:pPr>
    <w:r>
      <w:rPr>
        <w:noProof/>
        <w:lang w:eastAsia="es-MX"/>
      </w:rPr>
      <w:drawing>
        <wp:anchor distT="0" distB="0" distL="114300" distR="114300" simplePos="0" relativeHeight="251660288" behindDoc="0" locked="0" layoutInCell="1" hidden="0" allowOverlap="1" wp14:anchorId="50899B7B" wp14:editId="4A1EA635">
          <wp:simplePos x="0" y="0"/>
          <wp:positionH relativeFrom="page">
            <wp:posOffset>3013202</wp:posOffset>
          </wp:positionH>
          <wp:positionV relativeFrom="page">
            <wp:posOffset>457200</wp:posOffset>
          </wp:positionV>
          <wp:extent cx="1745996" cy="574269"/>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45996" cy="57426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159" w:rsidRDefault="00C32070" w:rsidP="00264159">
    <w:pPr>
      <w:pStyle w:val="Encabezado"/>
      <w:jc w:val="center"/>
      <w:rPr>
        <w:noProof/>
        <w:lang w:eastAsia="es-MX"/>
      </w:rPr>
    </w:pPr>
    <w:r>
      <w:rPr>
        <w:noProof/>
        <w:lang w:eastAsia="es-MX"/>
      </w:rPr>
      <mc:AlternateContent>
        <mc:Choice Requires="wps">
          <w:drawing>
            <wp:anchor distT="0" distB="0" distL="114300" distR="114300" simplePos="0" relativeHeight="251661312" behindDoc="0" locked="0" layoutInCell="1" allowOverlap="1" wp14:anchorId="14DB2802" wp14:editId="369A85A8">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264159" w:rsidRPr="00C85FE3" w:rsidRDefault="00C32070" w:rsidP="0026415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264159" w:rsidRPr="00847C68" w:rsidRDefault="00407A30" w:rsidP="00264159">
                          <w:pPr>
                            <w:rPr>
                              <w:rFonts w:ascii="Lato" w:hAnsi="Lato"/>
                              <w:b/>
                              <w:color w:val="692044"/>
                              <w:sz w:val="14"/>
                              <w:szCs w:val="14"/>
                            </w:rPr>
                          </w:pPr>
                        </w:p>
                        <w:p w:rsidR="00264159" w:rsidRPr="00847C68" w:rsidRDefault="00407A30" w:rsidP="00264159">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DB2802"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264159" w:rsidRPr="00C85FE3" w:rsidRDefault="00C32070" w:rsidP="0026415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264159" w:rsidRPr="00847C68" w:rsidRDefault="00C32070" w:rsidP="00264159">
                    <w:pPr>
                      <w:rPr>
                        <w:rFonts w:ascii="Lato" w:hAnsi="Lato"/>
                        <w:b/>
                        <w:color w:val="692044"/>
                        <w:sz w:val="14"/>
                        <w:szCs w:val="14"/>
                      </w:rPr>
                    </w:pPr>
                  </w:p>
                  <w:p w:rsidR="00264159" w:rsidRPr="00847C68" w:rsidRDefault="00C32070" w:rsidP="00264159">
                    <w:pPr>
                      <w:rPr>
                        <w:rFonts w:ascii="Lato" w:hAnsi="Lato"/>
                        <w:b/>
                        <w:color w:val="692044"/>
                        <w:sz w:val="14"/>
                        <w:szCs w:val="14"/>
                      </w:rPr>
                    </w:pPr>
                  </w:p>
                </w:txbxContent>
              </v:textbox>
            </v:shape>
          </w:pict>
        </mc:Fallback>
      </mc:AlternateContent>
    </w:r>
    <w:r>
      <w:rPr>
        <w:noProof/>
        <w:lang w:eastAsia="es-MX"/>
      </w:rPr>
      <w:drawing>
        <wp:inline distT="0" distB="0" distL="0" distR="0" wp14:anchorId="610648F5" wp14:editId="4929D16B">
          <wp:extent cx="2429170"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rsidR="00264159" w:rsidRDefault="00C32070" w:rsidP="00264159">
    <w:pPr>
      <w:pStyle w:val="Encabezado"/>
      <w:spacing w:line="360" w:lineRule="auto"/>
      <w:jc w:val="center"/>
    </w:pPr>
    <w:r>
      <w:rPr>
        <w:b/>
        <w:color w:val="96174A"/>
        <w:sz w:val="16"/>
      </w:rPr>
      <w:t xml:space="preserve"> “2022. Año del Quincentenario de Toluca de Lerdo, Capital del Estado de México”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00F" w:rsidRDefault="00C32070">
    <w:pPr>
      <w:spacing w:after="0"/>
      <w:ind w:left="-1440" w:right="3306"/>
    </w:pPr>
    <w:r>
      <w:rPr>
        <w:noProof/>
        <w:lang w:eastAsia="es-MX"/>
      </w:rPr>
      <w:drawing>
        <wp:anchor distT="0" distB="0" distL="114300" distR="114300" simplePos="0" relativeHeight="251659264" behindDoc="0" locked="0" layoutInCell="1" hidden="0" allowOverlap="1" wp14:anchorId="7A9079C9" wp14:editId="139D041E">
          <wp:simplePos x="0" y="0"/>
          <wp:positionH relativeFrom="page">
            <wp:posOffset>3013202</wp:posOffset>
          </wp:positionH>
          <wp:positionV relativeFrom="page">
            <wp:posOffset>457200</wp:posOffset>
          </wp:positionV>
          <wp:extent cx="1745996" cy="574269"/>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45996" cy="57426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7A"/>
    <w:rsid w:val="000F5C76"/>
    <w:rsid w:val="001E4368"/>
    <w:rsid w:val="00356B31"/>
    <w:rsid w:val="00407A30"/>
    <w:rsid w:val="004E30B3"/>
    <w:rsid w:val="00657C67"/>
    <w:rsid w:val="00695C66"/>
    <w:rsid w:val="00835AB4"/>
    <w:rsid w:val="0088714F"/>
    <w:rsid w:val="009E2CC6"/>
    <w:rsid w:val="00A320E8"/>
    <w:rsid w:val="00AA049A"/>
    <w:rsid w:val="00AE0C44"/>
    <w:rsid w:val="00B0402A"/>
    <w:rsid w:val="00B34A7A"/>
    <w:rsid w:val="00B91A86"/>
    <w:rsid w:val="00C320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BE6ED9-2F2B-4FF4-91F3-AB9BF9EB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4A7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B34A7A"/>
    <w:rPr>
      <w:rFonts w:ascii="Calibri" w:eastAsia="Calibri" w:hAnsi="Calibri" w:cs="Calibri"/>
      <w:lang w:eastAsia="es-MX"/>
    </w:rPr>
    <w:tblPr>
      <w:tblCellMar>
        <w:top w:w="0" w:type="dxa"/>
        <w:left w:w="0" w:type="dxa"/>
        <w:bottom w:w="0" w:type="dxa"/>
        <w:right w:w="0" w:type="dxa"/>
      </w:tblCellMar>
    </w:tblPr>
  </w:style>
  <w:style w:type="paragraph" w:styleId="Encabezado">
    <w:name w:val="header"/>
    <w:basedOn w:val="Normal"/>
    <w:link w:val="EncabezadoCar"/>
    <w:uiPriority w:val="99"/>
    <w:unhideWhenUsed/>
    <w:rsid w:val="00B34A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4A7A"/>
  </w:style>
  <w:style w:type="character" w:customStyle="1" w:styleId="Ninguno">
    <w:name w:val="Ninguno"/>
    <w:rsid w:val="00B34A7A"/>
  </w:style>
  <w:style w:type="paragraph" w:customStyle="1" w:styleId="Predeterminado">
    <w:name w:val="Predeterminado"/>
    <w:rsid w:val="00B34A7A"/>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styleId="Piedepgina">
    <w:name w:val="footer"/>
    <w:basedOn w:val="Normal"/>
    <w:link w:val="PiedepginaCar"/>
    <w:uiPriority w:val="99"/>
    <w:unhideWhenUsed/>
    <w:rsid w:val="00B34A7A"/>
    <w:pPr>
      <w:tabs>
        <w:tab w:val="center" w:pos="4419"/>
        <w:tab w:val="right" w:pos="8838"/>
      </w:tabs>
      <w:spacing w:after="0" w:line="240" w:lineRule="auto"/>
    </w:pPr>
    <w:rPr>
      <w:rFonts w:ascii="Calibri" w:eastAsia="Calibri" w:hAnsi="Calibri" w:cs="Calibri"/>
      <w:lang w:eastAsia="es-MX"/>
    </w:rPr>
  </w:style>
  <w:style w:type="character" w:customStyle="1" w:styleId="PiedepginaCar">
    <w:name w:val="Pie de página Car"/>
    <w:basedOn w:val="Fuentedeprrafopredeter"/>
    <w:link w:val="Piedepgina"/>
    <w:uiPriority w:val="99"/>
    <w:rsid w:val="00B34A7A"/>
    <w:rPr>
      <w:rFonts w:ascii="Calibri" w:eastAsia="Calibri" w:hAnsi="Calibri" w:cs="Calibri"/>
      <w:lang w:eastAsia="es-MX"/>
    </w:rPr>
  </w:style>
  <w:style w:type="table" w:styleId="Tablaconcuadrcula">
    <w:name w:val="Table Grid"/>
    <w:basedOn w:val="Tablanormal"/>
    <w:uiPriority w:val="59"/>
    <w:rsid w:val="00B34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E0C4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0C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1575</Words>
  <Characters>8666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cp:lastPrinted>2022-11-17T19:00:00Z</cp:lastPrinted>
  <dcterms:created xsi:type="dcterms:W3CDTF">2022-11-22T22:03:00Z</dcterms:created>
  <dcterms:modified xsi:type="dcterms:W3CDTF">2022-11-22T22:03:00Z</dcterms:modified>
</cp:coreProperties>
</file>