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F2C" w:rsidRPr="001B0771" w:rsidRDefault="0014440E" w:rsidP="008C3A7F">
      <w:pPr>
        <w:spacing w:after="0" w:line="360" w:lineRule="auto"/>
        <w:jc w:val="right"/>
        <w:rPr>
          <w:rFonts w:ascii="Arial" w:eastAsia="Arial" w:hAnsi="Arial" w:cs="Arial"/>
          <w:sz w:val="24"/>
          <w:szCs w:val="24"/>
        </w:rPr>
      </w:pPr>
      <w:bookmarkStart w:id="0" w:name="_heading=h.gjdgxs" w:colFirst="0" w:colLast="0"/>
      <w:bookmarkStart w:id="1" w:name="_GoBack"/>
      <w:bookmarkEnd w:id="0"/>
      <w:bookmarkEnd w:id="1"/>
      <w:r w:rsidRPr="001B0771">
        <w:rPr>
          <w:rFonts w:ascii="Arial" w:eastAsia="Arial" w:hAnsi="Arial" w:cs="Arial"/>
          <w:sz w:val="24"/>
          <w:szCs w:val="24"/>
        </w:rPr>
        <w:t>Toluca de Lerdo, México,</w:t>
      </w:r>
      <w:r w:rsidR="00CE3618">
        <w:rPr>
          <w:rFonts w:ascii="Arial" w:eastAsia="Arial" w:hAnsi="Arial" w:cs="Arial"/>
          <w:sz w:val="24"/>
          <w:szCs w:val="24"/>
        </w:rPr>
        <w:t xml:space="preserve"> a 1 de dici</w:t>
      </w:r>
      <w:r w:rsidRPr="001B0771">
        <w:rPr>
          <w:rFonts w:ascii="Arial" w:eastAsia="Arial" w:hAnsi="Arial" w:cs="Arial"/>
          <w:sz w:val="24"/>
          <w:szCs w:val="24"/>
        </w:rPr>
        <w:t>embre de 2022</w:t>
      </w:r>
    </w:p>
    <w:p w:rsidR="00031F2C" w:rsidRPr="001B0771" w:rsidRDefault="00031F2C" w:rsidP="008C3A7F">
      <w:pPr>
        <w:spacing w:after="0" w:line="360" w:lineRule="auto"/>
        <w:jc w:val="both"/>
        <w:rPr>
          <w:rFonts w:ascii="Arial" w:eastAsia="Arial" w:hAnsi="Arial" w:cs="Arial"/>
          <w:b/>
          <w:sz w:val="24"/>
          <w:szCs w:val="24"/>
        </w:rPr>
      </w:pPr>
    </w:p>
    <w:p w:rsidR="00031F2C" w:rsidRPr="001B0771" w:rsidRDefault="0014440E" w:rsidP="008C3A7F">
      <w:pPr>
        <w:spacing w:after="0" w:line="360" w:lineRule="auto"/>
        <w:jc w:val="both"/>
        <w:rPr>
          <w:rFonts w:ascii="Arial" w:eastAsia="Arial" w:hAnsi="Arial" w:cs="Arial"/>
          <w:b/>
          <w:sz w:val="24"/>
          <w:szCs w:val="24"/>
        </w:rPr>
      </w:pPr>
      <w:r w:rsidRPr="001B0771">
        <w:rPr>
          <w:rFonts w:ascii="Arial" w:eastAsia="Arial" w:hAnsi="Arial" w:cs="Arial"/>
          <w:b/>
          <w:sz w:val="24"/>
          <w:szCs w:val="24"/>
        </w:rPr>
        <w:t>DIPUTADO ENRIQUE JACOB ROCHA</w:t>
      </w:r>
    </w:p>
    <w:p w:rsidR="00031F2C" w:rsidRPr="001B0771" w:rsidRDefault="0014440E" w:rsidP="008C3A7F">
      <w:pPr>
        <w:spacing w:after="0" w:line="360" w:lineRule="auto"/>
        <w:jc w:val="both"/>
        <w:rPr>
          <w:rFonts w:ascii="Arial" w:eastAsia="Arial" w:hAnsi="Arial" w:cs="Arial"/>
          <w:b/>
          <w:sz w:val="24"/>
          <w:szCs w:val="24"/>
        </w:rPr>
      </w:pPr>
      <w:r w:rsidRPr="001B0771">
        <w:rPr>
          <w:rFonts w:ascii="Arial" w:eastAsia="Arial" w:hAnsi="Arial" w:cs="Arial"/>
          <w:b/>
          <w:sz w:val="24"/>
          <w:szCs w:val="24"/>
        </w:rPr>
        <w:t>PRESIDENTA DE LA H. LXI LEGISLATURA DEL</w:t>
      </w:r>
    </w:p>
    <w:p w:rsidR="00031F2C" w:rsidRPr="001B0771" w:rsidRDefault="0014440E" w:rsidP="008C3A7F">
      <w:pPr>
        <w:spacing w:after="0" w:line="360" w:lineRule="auto"/>
        <w:jc w:val="both"/>
        <w:rPr>
          <w:rFonts w:ascii="Arial" w:eastAsia="Arial" w:hAnsi="Arial" w:cs="Arial"/>
          <w:b/>
          <w:sz w:val="24"/>
          <w:szCs w:val="24"/>
        </w:rPr>
      </w:pPr>
      <w:r w:rsidRPr="001B0771">
        <w:rPr>
          <w:rFonts w:ascii="Arial" w:eastAsia="Arial" w:hAnsi="Arial" w:cs="Arial"/>
          <w:b/>
          <w:sz w:val="24"/>
          <w:szCs w:val="24"/>
        </w:rPr>
        <w:t>ESTADO DE MÉXICO</w:t>
      </w:r>
    </w:p>
    <w:p w:rsidR="00031F2C" w:rsidRPr="001B0771" w:rsidRDefault="0014440E" w:rsidP="008C3A7F">
      <w:pPr>
        <w:spacing w:after="0" w:line="360" w:lineRule="auto"/>
        <w:jc w:val="both"/>
        <w:rPr>
          <w:rFonts w:ascii="Arial" w:eastAsia="Arial" w:hAnsi="Arial" w:cs="Arial"/>
          <w:b/>
          <w:sz w:val="24"/>
          <w:szCs w:val="24"/>
        </w:rPr>
      </w:pPr>
      <w:r w:rsidRPr="001B0771">
        <w:rPr>
          <w:rFonts w:ascii="Arial" w:eastAsia="Arial" w:hAnsi="Arial" w:cs="Arial"/>
          <w:b/>
          <w:sz w:val="24"/>
          <w:szCs w:val="24"/>
        </w:rPr>
        <w:t>P R E S E N T E</w:t>
      </w:r>
    </w:p>
    <w:p w:rsidR="00031F2C" w:rsidRPr="001B0771" w:rsidRDefault="00031F2C" w:rsidP="008C3A7F">
      <w:pPr>
        <w:spacing w:after="0" w:line="360" w:lineRule="auto"/>
        <w:jc w:val="both"/>
        <w:rPr>
          <w:rFonts w:ascii="Arial" w:eastAsia="Arial" w:hAnsi="Arial" w:cs="Arial"/>
          <w:sz w:val="24"/>
          <w:szCs w:val="24"/>
        </w:rPr>
      </w:pPr>
    </w:p>
    <w:p w:rsidR="00031F2C" w:rsidRPr="001B0771" w:rsidRDefault="0014440E">
      <w:pPr>
        <w:spacing w:after="0" w:line="360" w:lineRule="auto"/>
        <w:jc w:val="both"/>
        <w:rPr>
          <w:rFonts w:ascii="Arial" w:eastAsia="Arial" w:hAnsi="Arial" w:cs="Arial"/>
          <w:sz w:val="24"/>
          <w:szCs w:val="24"/>
        </w:rPr>
      </w:pPr>
      <w:r w:rsidRPr="001B0771">
        <w:rPr>
          <w:rFonts w:ascii="Arial" w:eastAsia="Arial" w:hAnsi="Arial" w:cs="Arial"/>
          <w:b/>
          <w:sz w:val="24"/>
          <w:szCs w:val="24"/>
        </w:rPr>
        <w:t>Dip. Isaac Martín Montoya Márquez</w:t>
      </w:r>
      <w:r w:rsidRPr="001B0771">
        <w:rPr>
          <w:rFonts w:ascii="Arial" w:eastAsia="Arial" w:hAnsi="Arial" w:cs="Arial"/>
          <w:sz w:val="24"/>
          <w:szCs w:val="24"/>
        </w:rPr>
        <w:t xml:space="preserve">, integrante del Grupo Parlamentario de Morena, con fundamento en lo dispuesto por </w:t>
      </w:r>
      <w:r w:rsidR="00C03CE2">
        <w:rPr>
          <w:rFonts w:ascii="Arial" w:eastAsia="Arial" w:hAnsi="Arial" w:cs="Arial"/>
          <w:sz w:val="24"/>
          <w:szCs w:val="24"/>
        </w:rPr>
        <w:t>los artículos 55,</w:t>
      </w:r>
      <w:r w:rsidRPr="001B0771">
        <w:rPr>
          <w:rFonts w:ascii="Arial" w:eastAsia="Arial" w:hAnsi="Arial" w:cs="Arial"/>
          <w:sz w:val="24"/>
          <w:szCs w:val="24"/>
        </w:rPr>
        <w:t xml:space="preserve"> 57 y 61 fracción I de la Constitución Política del Estado Libre y Soberano de México; </w:t>
      </w:r>
      <w:r w:rsidR="00C03CE2">
        <w:rPr>
          <w:rFonts w:ascii="Arial" w:eastAsia="Arial" w:hAnsi="Arial" w:cs="Arial"/>
          <w:sz w:val="24"/>
          <w:szCs w:val="24"/>
        </w:rPr>
        <w:t xml:space="preserve">83 </w:t>
      </w:r>
      <w:r w:rsidRPr="001B0771">
        <w:rPr>
          <w:rFonts w:ascii="Arial" w:eastAsia="Arial" w:hAnsi="Arial" w:cs="Arial"/>
          <w:sz w:val="24"/>
          <w:szCs w:val="24"/>
        </w:rPr>
        <w:t>de la Ley Orgánica del Poder Legislativo; y 7</w:t>
      </w:r>
      <w:r w:rsidR="00C03CE2">
        <w:rPr>
          <w:rFonts w:ascii="Arial" w:eastAsia="Arial" w:hAnsi="Arial" w:cs="Arial"/>
          <w:sz w:val="24"/>
          <w:szCs w:val="24"/>
        </w:rPr>
        <w:t>4</w:t>
      </w:r>
      <w:r w:rsidRPr="001B0771">
        <w:rPr>
          <w:rFonts w:ascii="Arial" w:eastAsia="Arial" w:hAnsi="Arial" w:cs="Arial"/>
          <w:sz w:val="24"/>
          <w:szCs w:val="24"/>
        </w:rPr>
        <w:t xml:space="preserve"> del Reglamento del Poder Legislativo del Estado Libre y Soberano de México, someto a consideración de esta Honorable Asamblea los siguientes</w:t>
      </w:r>
      <w:r w:rsidRPr="001B0771">
        <w:rPr>
          <w:rFonts w:ascii="Arial" w:eastAsia="Arial" w:hAnsi="Arial" w:cs="Arial"/>
          <w:b/>
          <w:sz w:val="24"/>
          <w:szCs w:val="24"/>
        </w:rPr>
        <w:t xml:space="preserve"> </w:t>
      </w:r>
      <w:r w:rsidRPr="001B0771">
        <w:rPr>
          <w:rFonts w:ascii="Arial" w:eastAsia="Arial" w:hAnsi="Arial" w:cs="Arial"/>
          <w:sz w:val="24"/>
          <w:szCs w:val="24"/>
        </w:rPr>
        <w:t>Punto de Acuerdo</w:t>
      </w:r>
      <w:r w:rsidR="00C03CE2">
        <w:rPr>
          <w:rFonts w:ascii="Arial" w:eastAsia="Arial" w:hAnsi="Arial" w:cs="Arial"/>
          <w:sz w:val="24"/>
          <w:szCs w:val="24"/>
        </w:rPr>
        <w:t xml:space="preserve"> de urgente y obvia resolución </w:t>
      </w:r>
      <w:r w:rsidRPr="001B0771">
        <w:rPr>
          <w:rFonts w:ascii="Arial" w:eastAsia="Arial" w:hAnsi="Arial" w:cs="Arial"/>
          <w:b/>
          <w:sz w:val="24"/>
          <w:szCs w:val="24"/>
        </w:rPr>
        <w:t>por el que se exhorta a</w:t>
      </w:r>
      <w:r w:rsidR="0044152B">
        <w:rPr>
          <w:rFonts w:ascii="Arial" w:eastAsia="Arial" w:hAnsi="Arial" w:cs="Arial"/>
          <w:b/>
          <w:sz w:val="24"/>
          <w:szCs w:val="24"/>
        </w:rPr>
        <w:t xml:space="preserve"> los Titulares de</w:t>
      </w:r>
      <w:r w:rsidR="008C3A7F" w:rsidRPr="001B0771">
        <w:rPr>
          <w:rFonts w:ascii="Arial" w:eastAsia="Arial" w:hAnsi="Arial" w:cs="Arial"/>
          <w:b/>
          <w:sz w:val="24"/>
          <w:szCs w:val="24"/>
        </w:rPr>
        <w:t xml:space="preserve"> la Comisión del Agua del Estado de México, </w:t>
      </w:r>
      <w:r w:rsidR="0044152B">
        <w:rPr>
          <w:rFonts w:ascii="Arial" w:eastAsia="Arial" w:hAnsi="Arial" w:cs="Arial"/>
          <w:b/>
          <w:sz w:val="24"/>
          <w:szCs w:val="24"/>
        </w:rPr>
        <w:t>de</w:t>
      </w:r>
      <w:r w:rsidR="008C3A7F" w:rsidRPr="001B0771">
        <w:rPr>
          <w:rFonts w:ascii="Arial" w:eastAsia="Arial" w:hAnsi="Arial" w:cs="Arial"/>
          <w:b/>
          <w:sz w:val="24"/>
          <w:szCs w:val="24"/>
        </w:rPr>
        <w:t xml:space="preserve"> la Coordinación General de Protección Civil y Gestión Integral del Riesgo,</w:t>
      </w:r>
      <w:r w:rsidR="00421EFF" w:rsidRPr="001B0771">
        <w:rPr>
          <w:rFonts w:ascii="Arial" w:eastAsia="Arial" w:hAnsi="Arial" w:cs="Arial"/>
          <w:b/>
          <w:sz w:val="24"/>
          <w:szCs w:val="24"/>
        </w:rPr>
        <w:t xml:space="preserve"> </w:t>
      </w:r>
      <w:r w:rsidR="00C426EE">
        <w:rPr>
          <w:rFonts w:ascii="Arial" w:eastAsia="Arial" w:hAnsi="Arial" w:cs="Arial"/>
          <w:b/>
          <w:sz w:val="24"/>
          <w:szCs w:val="24"/>
        </w:rPr>
        <w:t>de</w:t>
      </w:r>
      <w:r w:rsidR="00421EFF" w:rsidRPr="001B0771">
        <w:rPr>
          <w:rFonts w:ascii="Arial" w:eastAsia="Arial" w:hAnsi="Arial" w:cs="Arial"/>
          <w:b/>
          <w:sz w:val="24"/>
          <w:szCs w:val="24"/>
        </w:rPr>
        <w:t xml:space="preserve"> los 125 Ayuntamientos del E</w:t>
      </w:r>
      <w:r w:rsidR="008C3A7F" w:rsidRPr="001B0771">
        <w:rPr>
          <w:rFonts w:ascii="Arial" w:eastAsia="Arial" w:hAnsi="Arial" w:cs="Arial"/>
          <w:b/>
          <w:sz w:val="24"/>
          <w:szCs w:val="24"/>
        </w:rPr>
        <w:t xml:space="preserve">stado de México y </w:t>
      </w:r>
      <w:r w:rsidR="00C426EE">
        <w:rPr>
          <w:rFonts w:ascii="Arial" w:eastAsia="Arial" w:hAnsi="Arial" w:cs="Arial"/>
          <w:b/>
          <w:sz w:val="24"/>
          <w:szCs w:val="24"/>
        </w:rPr>
        <w:t>de</w:t>
      </w:r>
      <w:r w:rsidR="00702E3B" w:rsidRPr="001B0771">
        <w:rPr>
          <w:rFonts w:ascii="Arial" w:eastAsia="Arial" w:hAnsi="Arial" w:cs="Arial"/>
          <w:b/>
          <w:sz w:val="24"/>
          <w:szCs w:val="24"/>
        </w:rPr>
        <w:t xml:space="preserve"> </w:t>
      </w:r>
      <w:r w:rsidR="008C3A7F" w:rsidRPr="001B0771">
        <w:rPr>
          <w:rFonts w:ascii="Arial" w:eastAsia="Arial" w:hAnsi="Arial" w:cs="Arial"/>
          <w:b/>
          <w:sz w:val="24"/>
          <w:szCs w:val="24"/>
        </w:rPr>
        <w:t>sus respectivas Coordinaciones Municipales de Protección Civil</w:t>
      </w:r>
      <w:r w:rsidR="00B57D05">
        <w:rPr>
          <w:rFonts w:ascii="Arial" w:eastAsia="Arial" w:hAnsi="Arial" w:cs="Arial"/>
          <w:b/>
          <w:sz w:val="24"/>
          <w:szCs w:val="24"/>
        </w:rPr>
        <w:t>,</w:t>
      </w:r>
      <w:r w:rsidRPr="001B0771">
        <w:rPr>
          <w:rFonts w:ascii="Arial" w:eastAsia="Arial" w:hAnsi="Arial" w:cs="Arial"/>
          <w:b/>
          <w:sz w:val="24"/>
          <w:szCs w:val="24"/>
        </w:rPr>
        <w:t xml:space="preserve"> para que en la planificación del ejercicio fiscal 2023 contemple</w:t>
      </w:r>
      <w:r w:rsidR="008C3A7F" w:rsidRPr="001B0771">
        <w:rPr>
          <w:rFonts w:ascii="Arial" w:eastAsia="Arial" w:hAnsi="Arial" w:cs="Arial"/>
          <w:b/>
          <w:sz w:val="24"/>
          <w:szCs w:val="24"/>
        </w:rPr>
        <w:t>n</w:t>
      </w:r>
      <w:r w:rsidRPr="001B0771">
        <w:rPr>
          <w:rFonts w:ascii="Arial" w:eastAsia="Arial" w:hAnsi="Arial" w:cs="Arial"/>
          <w:b/>
          <w:sz w:val="24"/>
          <w:szCs w:val="24"/>
        </w:rPr>
        <w:t xml:space="preserve"> la implementación de diversas medidas en materia de protección civil suficientes que se sumen al cumplimiento de los cuatro pilares del Plan de Acción Ejecutivo de la iniciativa </w:t>
      </w:r>
      <w:hyperlink r:id="rId8">
        <w:r w:rsidRPr="001B0771">
          <w:rPr>
            <w:rFonts w:ascii="Arial" w:eastAsia="Arial" w:hAnsi="Arial" w:cs="Arial"/>
            <w:b/>
            <w:sz w:val="24"/>
            <w:szCs w:val="24"/>
          </w:rPr>
          <w:t>Alertas Tempranas para Todos</w:t>
        </w:r>
      </w:hyperlink>
      <w:r w:rsidRPr="001B0771">
        <w:rPr>
          <w:rFonts w:ascii="Arial" w:eastAsia="Arial" w:hAnsi="Arial" w:cs="Arial"/>
          <w:b/>
          <w:sz w:val="24"/>
          <w:szCs w:val="24"/>
        </w:rPr>
        <w:t xml:space="preserve"> y las prioridades del Marco </w:t>
      </w:r>
      <w:r w:rsidR="00702E3B" w:rsidRPr="001B0771">
        <w:rPr>
          <w:rFonts w:ascii="Arial" w:eastAsia="Arial" w:hAnsi="Arial" w:cs="Arial"/>
          <w:b/>
          <w:sz w:val="24"/>
          <w:szCs w:val="24"/>
        </w:rPr>
        <w:t xml:space="preserve">de </w:t>
      </w:r>
      <w:r w:rsidRPr="001B0771">
        <w:rPr>
          <w:rFonts w:ascii="Arial" w:eastAsia="Arial" w:hAnsi="Arial" w:cs="Arial"/>
          <w:b/>
          <w:sz w:val="24"/>
          <w:szCs w:val="24"/>
        </w:rPr>
        <w:t>Sendai para la Reducción del Riesgo de Desastre 2015-2030, las cuales deberán tener como objetivo el bienestar de las y los mexiquenses más vulnerables que se encuentran expuestos a los mayores riesgos derivados de las inundaciones</w:t>
      </w:r>
      <w:r w:rsidR="008C3A7F" w:rsidRPr="001B0771">
        <w:rPr>
          <w:rFonts w:ascii="Arial" w:eastAsia="Arial" w:hAnsi="Arial" w:cs="Arial"/>
          <w:b/>
          <w:sz w:val="24"/>
          <w:szCs w:val="24"/>
        </w:rPr>
        <w:t xml:space="preserve">, </w:t>
      </w:r>
      <w:r w:rsidR="008C3A7F" w:rsidRPr="001B0771">
        <w:rPr>
          <w:rFonts w:ascii="Arial" w:eastAsia="Arial" w:hAnsi="Arial" w:cs="Arial"/>
          <w:sz w:val="24"/>
          <w:szCs w:val="24"/>
        </w:rPr>
        <w:t>a</w:t>
      </w:r>
      <w:r w:rsidRPr="001B0771">
        <w:rPr>
          <w:rFonts w:ascii="Arial" w:eastAsia="Arial" w:hAnsi="Arial" w:cs="Arial"/>
          <w:sz w:val="24"/>
          <w:szCs w:val="24"/>
        </w:rPr>
        <w:t xml:space="preserve">l tenor de la siguiente: </w:t>
      </w:r>
    </w:p>
    <w:p w:rsidR="00031F2C" w:rsidRPr="001B0771" w:rsidRDefault="00031F2C">
      <w:pPr>
        <w:spacing w:after="0" w:line="360" w:lineRule="auto"/>
        <w:jc w:val="both"/>
        <w:rPr>
          <w:rFonts w:ascii="Arial" w:eastAsia="Arial" w:hAnsi="Arial" w:cs="Arial"/>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EXPOSICIÓN DE MOTIVOS</w:t>
      </w:r>
    </w:p>
    <w:p w:rsidR="00031F2C" w:rsidRPr="001B0771" w:rsidRDefault="00031F2C">
      <w:pPr>
        <w:spacing w:after="0" w:line="360" w:lineRule="auto"/>
        <w:jc w:val="both"/>
        <w:rPr>
          <w:rFonts w:ascii="Arial" w:eastAsia="Arial" w:hAnsi="Arial" w:cs="Arial"/>
          <w:sz w:val="24"/>
          <w:szCs w:val="24"/>
        </w:rPr>
      </w:pP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 xml:space="preserve">El pasado seis de noviembre dio inicio la </w:t>
      </w:r>
      <w:r w:rsidRPr="001B0771">
        <w:rPr>
          <w:rFonts w:ascii="Arial" w:eastAsia="Arial" w:hAnsi="Arial" w:cs="Arial"/>
          <w:sz w:val="24"/>
          <w:szCs w:val="24"/>
          <w:highlight w:val="white"/>
        </w:rPr>
        <w:t xml:space="preserve">Cumbre de Dirigentes Mundiales en el marco del 27º período de sesiones de la Conferencia de las Partes (COP 27) en la Convención Marco </w:t>
      </w:r>
      <w:r w:rsidRPr="001B0771">
        <w:rPr>
          <w:rFonts w:ascii="Arial" w:eastAsia="Arial" w:hAnsi="Arial" w:cs="Arial"/>
          <w:sz w:val="24"/>
          <w:szCs w:val="24"/>
          <w:highlight w:val="white"/>
        </w:rPr>
        <w:lastRenderedPageBreak/>
        <w:t>sobre el Cambio Climático (CMNUCC) y las negociaciones de las Naciones Unidas sobre el cambio climático, evento al que nuestro país asistió. </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highlight w:val="white"/>
        </w:rPr>
        <w:t xml:space="preserve">En dicha Cumbre, uno de los temas de mayor relevancia, que desde hace años es prioritario para la comunidad internacional, los gobiernos nacionales y locales, así como para los diferentes sectores sociales, es el relativo al incremento </w:t>
      </w:r>
      <w:r w:rsidRPr="001B0771">
        <w:rPr>
          <w:rFonts w:ascii="Arial" w:eastAsia="Arial" w:hAnsi="Arial" w:cs="Arial"/>
          <w:sz w:val="24"/>
          <w:szCs w:val="24"/>
        </w:rPr>
        <w:t>de los fenómenos meteorológicos extremos que tienen como resultado un alto precio en pérdida de vidas humanas, el bienestar de las personas y la economía de los gobiernos que se ven en la imperante necesidad de reaccionar ante ellos.</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 xml:space="preserve">Entre las diversas metas y compromisos que el Secretario General de la Organización de las Naciones Unidas presentó a los Estados miembro se encuentra el denominado </w:t>
      </w:r>
      <w:r w:rsidRPr="001B0771">
        <w:rPr>
          <w:rFonts w:ascii="Arial" w:eastAsia="Arial" w:hAnsi="Arial" w:cs="Arial"/>
          <w:sz w:val="24"/>
          <w:szCs w:val="24"/>
          <w:highlight w:val="white"/>
        </w:rPr>
        <w:t xml:space="preserve">Plan de Acción Ejecutivo de la iniciativa </w:t>
      </w:r>
      <w:hyperlink r:id="rId9">
        <w:r w:rsidRPr="001B0771">
          <w:rPr>
            <w:rFonts w:ascii="Arial" w:eastAsia="Arial" w:hAnsi="Arial" w:cs="Arial"/>
            <w:sz w:val="24"/>
            <w:szCs w:val="24"/>
            <w:u w:val="single"/>
          </w:rPr>
          <w:t>Alertas Tempranas para Todos</w:t>
        </w:r>
      </w:hyperlink>
      <w:r w:rsidRPr="001B0771">
        <w:rPr>
          <w:rFonts w:ascii="Arial" w:eastAsia="Arial" w:hAnsi="Arial" w:cs="Arial"/>
          <w:sz w:val="24"/>
          <w:szCs w:val="24"/>
          <w:vertAlign w:val="superscript"/>
        </w:rPr>
        <w:footnoteReference w:id="1"/>
      </w:r>
      <w:r w:rsidRPr="001B0771">
        <w:rPr>
          <w:rFonts w:ascii="Arial" w:eastAsia="Arial" w:hAnsi="Arial" w:cs="Arial"/>
          <w:sz w:val="24"/>
          <w:szCs w:val="24"/>
        </w:rPr>
        <w:t xml:space="preserve"> el cual representa un plan de acción de cinco años que implica la inversión de recursos económicos</w:t>
      </w:r>
      <w:r w:rsidR="00BD00A8">
        <w:rPr>
          <w:rFonts w:ascii="Arial" w:eastAsia="Arial" w:hAnsi="Arial" w:cs="Arial"/>
          <w:sz w:val="24"/>
          <w:szCs w:val="24"/>
        </w:rPr>
        <w:t xml:space="preserve"> </w:t>
      </w:r>
      <w:r w:rsidRPr="001B0771">
        <w:rPr>
          <w:rFonts w:ascii="Arial" w:eastAsia="Arial" w:hAnsi="Arial" w:cs="Arial"/>
          <w:sz w:val="24"/>
          <w:szCs w:val="24"/>
        </w:rPr>
        <w:t xml:space="preserve">que permitan el fomento de </w:t>
      </w:r>
      <w:r w:rsidRPr="001B0771">
        <w:rPr>
          <w:rFonts w:ascii="Arial" w:eastAsia="Arial" w:hAnsi="Arial" w:cs="Arial"/>
          <w:sz w:val="24"/>
          <w:szCs w:val="24"/>
          <w:highlight w:val="white"/>
        </w:rPr>
        <w:t>conocimientos sobre los riesgos de desastre, de observaciones y predicciones, de actividades de preparación y respuesta, así como a la comunicación de alertas tempranas</w:t>
      </w:r>
      <w:r w:rsidRPr="001B0771">
        <w:rPr>
          <w:rFonts w:ascii="Arial" w:eastAsia="Arial" w:hAnsi="Arial" w:cs="Arial"/>
          <w:sz w:val="24"/>
          <w:szCs w:val="24"/>
        </w:rPr>
        <w:t>.</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El Plan de Acción en comento consta de cuatro pilares:</w:t>
      </w:r>
    </w:p>
    <w:p w:rsidR="00031F2C" w:rsidRPr="001B0771" w:rsidRDefault="0014440E" w:rsidP="00702E3B">
      <w:pPr>
        <w:numPr>
          <w:ilvl w:val="0"/>
          <w:numId w:val="1"/>
        </w:numPr>
        <w:pBdr>
          <w:top w:val="nil"/>
          <w:left w:val="nil"/>
          <w:bottom w:val="nil"/>
          <w:right w:val="nil"/>
          <w:between w:val="nil"/>
        </w:pBdr>
        <w:spacing w:before="320" w:after="0" w:line="360" w:lineRule="auto"/>
        <w:jc w:val="both"/>
        <w:rPr>
          <w:rFonts w:ascii="Arial" w:eastAsia="Arial" w:hAnsi="Arial" w:cs="Arial"/>
          <w:sz w:val="24"/>
          <w:szCs w:val="24"/>
        </w:rPr>
      </w:pPr>
      <w:r w:rsidRPr="001B0771">
        <w:rPr>
          <w:rFonts w:ascii="Arial" w:eastAsia="Arial" w:hAnsi="Arial" w:cs="Arial"/>
          <w:sz w:val="24"/>
          <w:szCs w:val="24"/>
        </w:rPr>
        <w:t>Conocimiento de los riesgos de desastre: recopilar sistemáticamente datos y realizar evaluaciones de riesgos relativas a los peligros y las vulnerabilidades.</w:t>
      </w:r>
    </w:p>
    <w:p w:rsidR="00031F2C" w:rsidRPr="001B0771" w:rsidRDefault="0014440E" w:rsidP="00702E3B">
      <w:pPr>
        <w:numPr>
          <w:ilvl w:val="0"/>
          <w:numId w:val="1"/>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Observaciones y predicciones: crear servicios de monitoreo y alerta temprana de los peligros.</w:t>
      </w:r>
    </w:p>
    <w:p w:rsidR="00031F2C" w:rsidRPr="001B0771" w:rsidRDefault="0014440E" w:rsidP="00702E3B">
      <w:pPr>
        <w:numPr>
          <w:ilvl w:val="0"/>
          <w:numId w:val="1"/>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Preparación y respuesta: crear capacidades de respuesta en los planos nacional y comunitario.</w:t>
      </w:r>
    </w:p>
    <w:p w:rsidR="00031F2C" w:rsidRPr="001B0771" w:rsidRDefault="0014440E" w:rsidP="00702E3B">
      <w:pPr>
        <w:numPr>
          <w:ilvl w:val="0"/>
          <w:numId w:val="1"/>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Difusión y comunicación: transmitir la información sobre riesgos de manera que llegue a todas las personas que la necesitan y resulte comprensible y útil.</w:t>
      </w:r>
    </w:p>
    <w:p w:rsidR="00031F2C" w:rsidRPr="001B0771" w:rsidRDefault="00031F2C" w:rsidP="00702E3B">
      <w:pPr>
        <w:pBdr>
          <w:top w:val="nil"/>
          <w:left w:val="nil"/>
          <w:bottom w:val="nil"/>
          <w:right w:val="nil"/>
          <w:between w:val="nil"/>
        </w:pBdr>
        <w:spacing w:after="0" w:line="360" w:lineRule="auto"/>
        <w:ind w:left="720"/>
        <w:jc w:val="both"/>
        <w:rPr>
          <w:rFonts w:ascii="Arial" w:eastAsia="Arial" w:hAnsi="Arial" w:cs="Arial"/>
          <w:sz w:val="24"/>
          <w:szCs w:val="24"/>
        </w:rPr>
      </w:pPr>
    </w:p>
    <w:p w:rsidR="00031F2C" w:rsidRPr="001B0771" w:rsidRDefault="0014440E" w:rsidP="00702E3B">
      <w:p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 xml:space="preserve">Los pilares, a su vez, desglosan diversas acciones concretas con las que se pretende alcanzar su correcta implementación </w:t>
      </w:r>
      <w:r w:rsidR="008C3A7F" w:rsidRPr="001B0771">
        <w:rPr>
          <w:rFonts w:ascii="Arial" w:eastAsia="Arial" w:hAnsi="Arial" w:cs="Arial"/>
          <w:sz w:val="24"/>
          <w:szCs w:val="24"/>
        </w:rPr>
        <w:t>y</w:t>
      </w:r>
      <w:r w:rsidR="001B0771">
        <w:rPr>
          <w:rFonts w:ascii="Arial" w:eastAsia="Arial" w:hAnsi="Arial" w:cs="Arial"/>
          <w:sz w:val="24"/>
          <w:szCs w:val="24"/>
        </w:rPr>
        <w:t xml:space="preserve"> </w:t>
      </w:r>
      <w:r w:rsidR="008C3A7F" w:rsidRPr="001B0771">
        <w:rPr>
          <w:rFonts w:ascii="Arial" w:eastAsia="Arial" w:hAnsi="Arial" w:cs="Arial"/>
          <w:sz w:val="24"/>
          <w:szCs w:val="24"/>
        </w:rPr>
        <w:t>de</w:t>
      </w:r>
      <w:r w:rsidRPr="001B0771">
        <w:rPr>
          <w:rFonts w:ascii="Arial" w:eastAsia="Arial" w:hAnsi="Arial" w:cs="Arial"/>
          <w:sz w:val="24"/>
          <w:szCs w:val="24"/>
        </w:rPr>
        <w:t xml:space="preserve"> las cuales, en</w:t>
      </w:r>
      <w:r w:rsidR="001B0771">
        <w:rPr>
          <w:rFonts w:ascii="Arial" w:eastAsia="Arial" w:hAnsi="Arial" w:cs="Arial"/>
          <w:sz w:val="24"/>
          <w:szCs w:val="24"/>
        </w:rPr>
        <w:t xml:space="preserve"> virtud de motivar el presente punto de a</w:t>
      </w:r>
      <w:r w:rsidRPr="001B0771">
        <w:rPr>
          <w:rFonts w:ascii="Arial" w:eastAsia="Arial" w:hAnsi="Arial" w:cs="Arial"/>
          <w:sz w:val="24"/>
          <w:szCs w:val="24"/>
        </w:rPr>
        <w:t>cuerdo, se consideran de relevancia las que corresponden a:</w:t>
      </w:r>
    </w:p>
    <w:p w:rsidR="00031F2C" w:rsidRPr="001B0771" w:rsidRDefault="00031F2C" w:rsidP="00702E3B">
      <w:pPr>
        <w:pBdr>
          <w:top w:val="nil"/>
          <w:left w:val="nil"/>
          <w:bottom w:val="nil"/>
          <w:right w:val="nil"/>
          <w:between w:val="nil"/>
        </w:pBdr>
        <w:spacing w:after="0" w:line="360" w:lineRule="auto"/>
        <w:jc w:val="both"/>
        <w:rPr>
          <w:rFonts w:ascii="Arial" w:eastAsia="Arial" w:hAnsi="Arial" w:cs="Arial"/>
          <w:sz w:val="24"/>
          <w:szCs w:val="24"/>
        </w:rPr>
      </w:pPr>
    </w:p>
    <w:p w:rsidR="00031F2C" w:rsidRPr="001B0771" w:rsidRDefault="0014440E" w:rsidP="00702E3B">
      <w:pPr>
        <w:numPr>
          <w:ilvl w:val="0"/>
          <w:numId w:val="2"/>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Las comunidades conocen las amenazas y vulnerabilidad a las que se encuentran expuestas;</w:t>
      </w:r>
    </w:p>
    <w:p w:rsidR="00031F2C" w:rsidRPr="001B0771" w:rsidRDefault="0014440E" w:rsidP="00702E3B">
      <w:pPr>
        <w:numPr>
          <w:ilvl w:val="0"/>
          <w:numId w:val="2"/>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Los países tienen información y evaluación del riesgo de desastres accesible, comprensible, utilizable y relevante disponible para las personas a nivel nacional y local;</w:t>
      </w:r>
    </w:p>
    <w:p w:rsidR="00031F2C" w:rsidRPr="001B0771" w:rsidRDefault="0014440E" w:rsidP="00702E3B">
      <w:pPr>
        <w:numPr>
          <w:ilvl w:val="0"/>
          <w:numId w:val="2"/>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Se entienden los riesgos y las advertencias;</w:t>
      </w:r>
    </w:p>
    <w:p w:rsidR="00031F2C" w:rsidRPr="001B0771" w:rsidRDefault="0014440E" w:rsidP="00702E3B">
      <w:pPr>
        <w:numPr>
          <w:ilvl w:val="0"/>
          <w:numId w:val="2"/>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La información de advertencia es clara y utilizable;</w:t>
      </w:r>
    </w:p>
    <w:p w:rsidR="00031F2C" w:rsidRPr="001B0771" w:rsidRDefault="0014440E" w:rsidP="00702E3B">
      <w:pPr>
        <w:numPr>
          <w:ilvl w:val="0"/>
          <w:numId w:val="2"/>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Todas las personas están preparadas y listas para reaccionar a las advertencias;</w:t>
      </w:r>
    </w:p>
    <w:p w:rsidR="00031F2C" w:rsidRDefault="0014440E" w:rsidP="001B0771">
      <w:pPr>
        <w:numPr>
          <w:ilvl w:val="0"/>
          <w:numId w:val="2"/>
        </w:num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Todas las poblaciones expuestas o en riesgo de desastres están protegidas a través de la evacuación preventiva después de las alertas tempranas.</w:t>
      </w:r>
    </w:p>
    <w:p w:rsidR="001B0771" w:rsidRPr="001B0771" w:rsidRDefault="001B0771" w:rsidP="001B0771">
      <w:pPr>
        <w:pBdr>
          <w:top w:val="nil"/>
          <w:left w:val="nil"/>
          <w:bottom w:val="nil"/>
          <w:right w:val="nil"/>
          <w:between w:val="nil"/>
        </w:pBdr>
        <w:spacing w:after="0" w:line="360" w:lineRule="auto"/>
        <w:ind w:left="720"/>
        <w:jc w:val="both"/>
        <w:rPr>
          <w:rFonts w:ascii="Arial" w:eastAsia="Arial" w:hAnsi="Arial" w:cs="Arial"/>
          <w:sz w:val="24"/>
          <w:szCs w:val="24"/>
        </w:rPr>
      </w:pPr>
    </w:p>
    <w:p w:rsidR="00031F2C" w:rsidRDefault="0014440E" w:rsidP="001B0771">
      <w:p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sz w:val="24"/>
          <w:szCs w:val="24"/>
        </w:rPr>
        <w:t>Aunado a lo anterior, y como es de observancia general, el Plan de Acción se encuentra circunscrito al denominado Marco Sendai para la Reducción del Riesgo de Desastre 2015-2030, en dicho instrumento internacional se establece como una de las prioridades la inversión, sea pública o privada, en la reducción del riesgo de desastres para la resiliencia, tanto en medidas estructurales, no estructurales y funcionales, ello en virtud de que se habrán de convertir en medidas eficaces en función del costo y fundamentales para salvar vidas, prevenir y reducir las pérdidas y asegurar la recuperación y rehabilitación efectiva.</w:t>
      </w:r>
    </w:p>
    <w:p w:rsidR="001B0771" w:rsidRPr="001B0771" w:rsidRDefault="001B0771" w:rsidP="001B0771">
      <w:pPr>
        <w:pBdr>
          <w:top w:val="nil"/>
          <w:left w:val="nil"/>
          <w:bottom w:val="nil"/>
          <w:right w:val="nil"/>
          <w:between w:val="nil"/>
        </w:pBdr>
        <w:spacing w:after="0" w:line="360" w:lineRule="auto"/>
        <w:jc w:val="both"/>
        <w:rPr>
          <w:rFonts w:ascii="Arial" w:eastAsia="Arial" w:hAnsi="Arial" w:cs="Arial"/>
          <w:sz w:val="24"/>
          <w:szCs w:val="24"/>
        </w:rPr>
      </w:pP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Esta prioridad, señala en el Marco Sendai, debe atender a la prevención y reducción del riesgo de desastres en instalaciones vitales, en particular escuelas y hospitales e infraestructura física; la mejora de la construcción desde el principio para resistir las amenazas mediante técnicas de diseño y construcción adecuadas que incluyan los principios de diseño universal y la normalización de los materiales de construcción; el reforzamiento y la reconstrucción; el fomento de una cultura de mantenimiento; y la toma en consideración de las evaluaciones del impacto económico, social, estructural, tecnológico y ambiental.</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México, como muchos otros, es un país altamente expuesto a desastres naturales, principalmente de origen geológico e hidrometeorológico y que debido a la baja aplicación de instrumentos de planeación urbana y los altos niveles de pobreza que existen en el país ocasionan una alta vulnerabilidad de los mexicanos ante los fenómenos naturales. Es la población más vulnerable económicamente la que resulta afectada de manera desproporcionada. </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A pesar de que no todas las personas que viven en zonas de riesgo presentan estas características, se tiene conocimiento de que en México el 68% de las personas afectadas por fenómenos naturales corresponden a pobres o pobres extremos, de acuerdo con el diagnóstico para el Programa de Prevención de Riesgos. </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La atención a la población que vive en riesgo es un objetivo recurrente en la administración federal, sin embargo, no a nivel municipal. Asimismo, las intervenciones suelen estar dirigidas a entidades de gobierno y no a personas. Una de ellas es realizada por el Programa de Prevención de Riesgos (PPR), dirigido a entidades estatales y municipales para proveerlos de fondos para la realización de estudios técnicos e infraestructura pública que permitan evitar y mitigar el riesgo de la población que habita en dichas zonas. Este programa surge de la fusión de un programa del Programa de Ordenamiento Territorial y Esquemas de Reubicación de la Población en Zonas de Riesgo (POTER, anteriormente REPZOR) y el Programa de Prevención de Riesgos en los Asentamientos Humanos, ambos dirigidos a desincentivar la urbanización en zonas que presentan riesgos inminentes de catástrofes h</w:t>
      </w:r>
      <w:r w:rsidR="001B0771">
        <w:rPr>
          <w:rFonts w:ascii="Arial" w:eastAsia="Arial" w:hAnsi="Arial" w:cs="Arial"/>
          <w:sz w:val="24"/>
          <w:szCs w:val="24"/>
        </w:rPr>
        <w:t>umanas por fenómenos naturales.</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 xml:space="preserve">Recientemente, la Secretaría de Bienestar crea el Programa para el Bienestar de las Personas en Emergencia Social o Natural, el cual busca entregar un apoyo directo e inmediato a las personas o familias que se encuentren en una situación de emergencia en términos de vulnerabilidad social o aquella provocada por un fenómeno natural (sismo, actividad volcánica o inundación). Este programa federal es el único que entrega apoyo directo a la población afectada y </w:t>
      </w:r>
      <w:r w:rsidR="001B0771">
        <w:rPr>
          <w:rFonts w:ascii="Arial" w:eastAsia="Arial" w:hAnsi="Arial" w:cs="Arial"/>
          <w:sz w:val="24"/>
          <w:szCs w:val="24"/>
        </w:rPr>
        <w:t>no a las entidades de gobierno.</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En esta labor, la participación de los gobiernos locales es fundamental, la resiliencia ante la ocurrencia de cualquier fenómeno perturbador sólo se habrá de alcanzar en la medida en que cada uno de los actores sociales reconozcamos y asumamos nuestra responsabilidad en la materia y ello, en esencia, es como se concibe desde la normatividad correspondiente siendo esta la Ley General de Protección Civil, la cual en su artículo octavo señala: “Los Poderes Legislativo y Judicial de la Unión, las entidades federativas, los municipios, las demarcaciones territoriales de la Ciudad de México, los organismos descentralizados, los organismos constitucionales autónomos y los sectores privado y social, así como la población en general, deberán coadyuvar para que las acciones de protección civil se realicen en forma coordinada y eficaz”.</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En el caso de la normatividad estatal cuando se refiere a la reducción</w:t>
      </w:r>
      <w:r w:rsidR="00BD00A8">
        <w:rPr>
          <w:rFonts w:ascii="Arial" w:eastAsia="Arial" w:hAnsi="Arial" w:cs="Arial"/>
          <w:sz w:val="24"/>
          <w:szCs w:val="24"/>
        </w:rPr>
        <w:t xml:space="preserve"> </w:t>
      </w:r>
      <w:r w:rsidRPr="001B0771">
        <w:rPr>
          <w:rFonts w:ascii="Arial" w:eastAsia="Arial" w:hAnsi="Arial" w:cs="Arial"/>
          <w:sz w:val="24"/>
          <w:szCs w:val="24"/>
        </w:rPr>
        <w:t>de riesgos, ello en el capítulo sexto del Código Administrativo del Estado de México, se habla de la necesaria intervención preventiva de individuos, instituciones y comunidades que permita eliminar o reducir, mediante acciones de preparación y mitigación, el impacto adverso de los desastres, lo cual va desde la identificación de riesgos y el análisis de vulnerabilidades, resiliencia y capacidades de respuesta, el desarrollo de una cultura de la protección civil, el compromiso público y el desarrollo de un marco institucional, la implementación de medidas de protección del medio ambiente, uso del suelo y planeación urbana, protección de la infraestructura crítica, generación de alianzas y desarrollo de instrumentos financieros y transferencia de riesgos, y el desarrollo de sistemas de alertamiento.</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Ahora bien, el Estado de México es susceptible de verse afectado por diversos fenómenos naturales de carácter geológico, hidrometeorológico y antropogénico; no obstante, con base en los registro de autorización de recursos del Fondo de Desastres Naturales (FONDEN), del 2010 al 2018, así como en las diversas declaratorias de zonas de desastre publicada a través de Diario Oficial de la Federación, uno de los fenómenos perturbadores más recurrentes son las lluvias severas, que derivan en la inundación fluvial de diversos municipios. En el periodo de referencia se autorizaron recursos del FONDEN en diez ocasiones, de las cuales ocho fueron para la atención de daños por lluvias severas. En 2010 y 2011 se autorizaron recursos en tres ocasiones, respectivamente, mientras que para 2013 en dos. La suma del recurso autorizado ascendió a un monto de 628 millones 557 mil 499 pesos.</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De acuerdo con la información del Atlas de Inundaciones XXVIII del Estado de México, la temporada de lluvias de 2021 impactó negativamente a 48 municipios y a un total de 29,215 personas. De manera concreta, generó el desbordamiento de cauces en ríos y canales que afectaron a 26 municipios, los cuales se ubican en las Cuencas del Valle de México, del Río Balsas y el Río Lerma</w:t>
      </w:r>
      <w:r w:rsidRPr="001B0771">
        <w:rPr>
          <w:rFonts w:ascii="Arial" w:eastAsia="Arial" w:hAnsi="Arial" w:cs="Arial"/>
          <w:sz w:val="24"/>
          <w:szCs w:val="24"/>
          <w:vertAlign w:val="superscript"/>
        </w:rPr>
        <w:footnoteReference w:id="2"/>
      </w:r>
      <w:r w:rsidRPr="001B0771">
        <w:rPr>
          <w:rFonts w:ascii="Arial" w:eastAsia="Arial" w:hAnsi="Arial" w:cs="Arial"/>
          <w:sz w:val="24"/>
          <w:szCs w:val="24"/>
        </w:rPr>
        <w:t>. </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El mismo Atlas señala que el Programa de prevención para el 2021 implicó el desazolve de redes de alcantarillado, drenes a cielo abierto, cárcamos de bombeo y fosas sépticas, con el objeto de minimizar las afectaciones a la población, de manera concreta: el desazolve y limpieza de 1,287,248 metros de redes de alcantarillado, en 95 municipios; el desazolve de 43,629 metros de drenes a cielo abierto en 34 municipios; el desazolve de 80 cárcamos de bombeo de 26 municipios; el desazolve de 6,730 fosas sépticas en 68 municipios; y la recolección de 7,347 toneladas de basura del sistema primario de drenaje en 28 municipios de la entidad.</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 xml:space="preserve">Aunado a lo anterior, con base en el quinto informe de gobierno del Licenciado Alfredo del Mazo, se observa </w:t>
      </w:r>
      <w:r w:rsidR="008C3A7F" w:rsidRPr="001B0771">
        <w:rPr>
          <w:rFonts w:ascii="Arial" w:eastAsia="Arial" w:hAnsi="Arial" w:cs="Arial"/>
          <w:sz w:val="24"/>
          <w:szCs w:val="24"/>
        </w:rPr>
        <w:t>que,</w:t>
      </w:r>
      <w:r w:rsidRPr="001B0771">
        <w:rPr>
          <w:rFonts w:ascii="Arial" w:eastAsia="Arial" w:hAnsi="Arial" w:cs="Arial"/>
          <w:sz w:val="24"/>
          <w:szCs w:val="24"/>
        </w:rPr>
        <w:t xml:space="preserve"> en materia de acciones de prevención y atención oportuna ante desastres naturales y antropogénicos, el gobierno del estado reportó la implementación de diversas acciones que van desde la prevención, mitigación, hasta la atención en caso de ocurrencia</w:t>
      </w:r>
      <w:r w:rsidR="001B0771">
        <w:rPr>
          <w:rFonts w:ascii="Arial" w:eastAsia="Arial" w:hAnsi="Arial" w:cs="Arial"/>
          <w:sz w:val="24"/>
          <w:szCs w:val="24"/>
        </w:rPr>
        <w:t xml:space="preserve"> de algún fenómeno perturbador.</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En materia de atención es dable señalar que para 2021, derivado de la ocurrencia de 883 emergencias, se reportó la entrega de 21, 733 apoyos en especie. En materia de prevención el informe refiere la capacitación de 21, 505 personas que intervienen en la atención de emergencias, sin especificar de manera detallada. Adicionalmente, durante los cinco años de gobierno, se puede cuantificar un total de 2, 148 acciones que implican la capacitación y socialización de información en materia de protección civil en favor de las y los mexiquenses en general, las cuales fueron desde cursos a la población infantil, cursos de capacitación para fomentar promotores de la protección civil, cursos solicitados por la población en general en la materia, adiestramientos, orientaciones y asesorías, hasta conferencias. </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 xml:space="preserve">Por lo anterior y sin olvidar que la entidad, en las tres zonas correspondientes a las cuencas del Valle de México, el Río Lerma y el Río Balsas está integrada por 209 sitios susceptibles de riesgo por desbordamiento de caudales, mediante el presente Punto de Acuerdo se Exhorta de manera respetuosa a la </w:t>
      </w:r>
      <w:r w:rsidRPr="001B0771">
        <w:rPr>
          <w:rFonts w:ascii="Arial" w:eastAsia="Arial" w:hAnsi="Arial" w:cs="Arial"/>
          <w:b/>
          <w:sz w:val="24"/>
          <w:szCs w:val="24"/>
        </w:rPr>
        <w:t xml:space="preserve">Comisión del Agua del Estado de México, a la Coordinación General de Protección Civil y Gestión Integral del Riesgo, a </w:t>
      </w:r>
      <w:r w:rsidR="008C3A7F" w:rsidRPr="001B0771">
        <w:rPr>
          <w:rFonts w:ascii="Arial" w:eastAsia="Arial" w:hAnsi="Arial" w:cs="Arial"/>
          <w:b/>
          <w:sz w:val="24"/>
          <w:szCs w:val="24"/>
        </w:rPr>
        <w:t>los</w:t>
      </w:r>
      <w:r w:rsidRPr="001B0771">
        <w:rPr>
          <w:rFonts w:ascii="Arial" w:eastAsia="Arial" w:hAnsi="Arial" w:cs="Arial"/>
          <w:b/>
          <w:sz w:val="24"/>
          <w:szCs w:val="24"/>
        </w:rPr>
        <w:t xml:space="preserve"> 125 Ayuntamientos del estado de México y sus respectivas Coordinaciones Municipales de Protección Civil</w:t>
      </w:r>
      <w:r w:rsidRPr="001B0771">
        <w:rPr>
          <w:rFonts w:ascii="Arial" w:eastAsia="Arial" w:hAnsi="Arial" w:cs="Arial"/>
          <w:sz w:val="24"/>
          <w:szCs w:val="24"/>
        </w:rPr>
        <w:t xml:space="preserve"> para que en la planificación del ejercicio fiscal 2023 se implementen las</w:t>
      </w:r>
      <w:r w:rsidR="00BD00A8">
        <w:rPr>
          <w:rFonts w:ascii="Arial" w:eastAsia="Arial" w:hAnsi="Arial" w:cs="Arial"/>
          <w:sz w:val="24"/>
          <w:szCs w:val="24"/>
        </w:rPr>
        <w:t xml:space="preserve"> </w:t>
      </w:r>
      <w:r w:rsidRPr="001B0771">
        <w:rPr>
          <w:rFonts w:ascii="Arial" w:eastAsia="Arial" w:hAnsi="Arial" w:cs="Arial"/>
          <w:sz w:val="24"/>
          <w:szCs w:val="24"/>
        </w:rPr>
        <w:t xml:space="preserve">medidas estructurales, no estructurales y funcionales en materia de protección civil suficientes que se sumen al cumplimiento de los cuatro pilares del Plan de Acción Ejecutivo de la iniciativa </w:t>
      </w:r>
      <w:hyperlink r:id="rId10">
        <w:r w:rsidRPr="001B0771">
          <w:rPr>
            <w:rFonts w:ascii="Arial" w:eastAsia="Arial" w:hAnsi="Arial" w:cs="Arial"/>
            <w:sz w:val="24"/>
            <w:szCs w:val="24"/>
            <w:u w:val="single"/>
          </w:rPr>
          <w:t>Alertas Tempranas para Todos</w:t>
        </w:r>
      </w:hyperlink>
      <w:r w:rsidRPr="001B0771">
        <w:rPr>
          <w:rFonts w:ascii="Arial" w:eastAsia="Arial" w:hAnsi="Arial" w:cs="Arial"/>
          <w:sz w:val="24"/>
          <w:szCs w:val="24"/>
        </w:rPr>
        <w:t xml:space="preserve"> y las prioridades del Marco Sendai para la Reducción del Riesgo de Desastre 2015-2030, las cuales deberán tener como objetivo último el bienestar de las y los mexiquenses más vulnerables y que se encuentran expuestos a los mayores riesgos derivados de las inundaciones, ello sin excluir lo relativo a los diversos fenómenos perturbadores de potencial ocurrencia en el Estado de México. </w:t>
      </w:r>
    </w:p>
    <w:p w:rsidR="00031F2C" w:rsidRPr="001B0771" w:rsidRDefault="0014440E" w:rsidP="00702E3B">
      <w:pPr>
        <w:pBdr>
          <w:top w:val="nil"/>
          <w:left w:val="nil"/>
          <w:bottom w:val="nil"/>
          <w:right w:val="nil"/>
          <w:between w:val="nil"/>
        </w:pBdr>
        <w:spacing w:line="360" w:lineRule="auto"/>
        <w:jc w:val="both"/>
        <w:rPr>
          <w:rFonts w:ascii="Arial" w:eastAsia="Arial" w:hAnsi="Arial" w:cs="Arial"/>
          <w:sz w:val="24"/>
          <w:szCs w:val="24"/>
        </w:rPr>
      </w:pPr>
      <w:r w:rsidRPr="001B0771">
        <w:rPr>
          <w:rFonts w:ascii="Arial" w:eastAsia="Arial" w:hAnsi="Arial" w:cs="Arial"/>
          <w:sz w:val="24"/>
          <w:szCs w:val="24"/>
        </w:rPr>
        <w:t>Entre todas y todos promovamos una cultura de la protección civil preventiva en el que las comunidades conozcan los riesgos y las vulnerabilidades a las que se encuentran expuestas y que tengan las herramientas necesarias para una reacción efectiva y oportuna; y sobre todo garanticemos que las circunstancias de precariedad no lleven a las familias a asentarse en zonas de alto riesgo, por el contrario, promovamos políticas públicas que garanticen una urbanización ordenada, respetuosa del medio ambiente, equilibrada y sobre todo que</w:t>
      </w:r>
      <w:r w:rsidR="00BD00A8">
        <w:rPr>
          <w:rFonts w:ascii="Arial" w:eastAsia="Arial" w:hAnsi="Arial" w:cs="Arial"/>
          <w:sz w:val="24"/>
          <w:szCs w:val="24"/>
        </w:rPr>
        <w:t xml:space="preserve"> </w:t>
      </w:r>
      <w:r w:rsidRPr="001B0771">
        <w:rPr>
          <w:rFonts w:ascii="Arial" w:eastAsia="Arial" w:hAnsi="Arial" w:cs="Arial"/>
          <w:sz w:val="24"/>
          <w:szCs w:val="24"/>
        </w:rPr>
        <w:t>la solidaridad social entre las y los integrantes de las comunidades. </w:t>
      </w:r>
    </w:p>
    <w:p w:rsidR="00031F2C" w:rsidRPr="001B0771" w:rsidRDefault="00031F2C">
      <w:pPr>
        <w:spacing w:after="0" w:line="360" w:lineRule="auto"/>
        <w:jc w:val="both"/>
        <w:rPr>
          <w:rFonts w:ascii="Arial" w:eastAsia="Arial" w:hAnsi="Arial" w:cs="Arial"/>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A T E N T A M E N T E</w:t>
      </w:r>
    </w:p>
    <w:p w:rsidR="00031F2C" w:rsidRDefault="00031F2C">
      <w:pPr>
        <w:spacing w:after="0" w:line="360" w:lineRule="auto"/>
        <w:jc w:val="center"/>
        <w:rPr>
          <w:rFonts w:ascii="Arial" w:eastAsia="Arial" w:hAnsi="Arial" w:cs="Arial"/>
          <w:b/>
          <w:sz w:val="24"/>
          <w:szCs w:val="24"/>
        </w:rPr>
      </w:pPr>
    </w:p>
    <w:p w:rsidR="001B0771" w:rsidRPr="001B0771" w:rsidRDefault="001B0771">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ISAAC MARTÍN MONTOYA MÁRQUEZ</w:t>
      </w:r>
    </w:p>
    <w:p w:rsidR="00031F2C" w:rsidRPr="001B0771" w:rsidRDefault="0014440E">
      <w:pPr>
        <w:spacing w:after="0" w:line="360" w:lineRule="auto"/>
        <w:jc w:val="center"/>
        <w:rPr>
          <w:rFonts w:ascii="Arial" w:eastAsia="Arial" w:hAnsi="Arial" w:cs="Arial"/>
          <w:sz w:val="24"/>
          <w:szCs w:val="24"/>
        </w:rPr>
      </w:pPr>
      <w:r w:rsidRPr="001B0771">
        <w:rPr>
          <w:rFonts w:ascii="Arial" w:eastAsia="Arial" w:hAnsi="Arial" w:cs="Arial"/>
          <w:sz w:val="24"/>
          <w:szCs w:val="24"/>
        </w:rPr>
        <w:t>DIPUTADO PRESENTANTE</w:t>
      </w:r>
    </w:p>
    <w:p w:rsidR="00031F2C" w:rsidRPr="001B0771" w:rsidRDefault="00031F2C">
      <w:pPr>
        <w:spacing w:after="0" w:line="360" w:lineRule="auto"/>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GRUPO PARLAMENTARIO MORENA</w:t>
      </w:r>
    </w:p>
    <w:p w:rsidR="00031F2C" w:rsidRPr="001B0771" w:rsidRDefault="00031F2C">
      <w:pPr>
        <w:spacing w:after="0" w:line="360" w:lineRule="auto"/>
        <w:jc w:val="both"/>
        <w:rPr>
          <w:rFonts w:ascii="Arial" w:eastAsia="Arial" w:hAnsi="Arial" w:cs="Arial"/>
          <w:sz w:val="24"/>
          <w:szCs w:val="24"/>
        </w:rPr>
      </w:pPr>
    </w:p>
    <w:tbl>
      <w:tblPr>
        <w:tblStyle w:val="a"/>
        <w:tblW w:w="990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75"/>
        <w:gridCol w:w="4830"/>
      </w:tblGrid>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ANAIS MIRIAM BURGOS HERNÁNDEZ</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ADRIAN MANUEL GALICIA SALCEDA</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ELBA ALDANA DUARTE</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AZUCENA CISNEROS COSS</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MAURILIO HERNÁNDEZ GONZÁLEZ</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MARCO ANTONIO CRUZ CRUZ</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MARIO ARIEL JUAREZ RODRÍGUEZ</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FAUSTINO DE LA CRUZ PÉREZ</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CAMILO MURILLO ZAVALA</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NAZARIO GUTIÉRREZ MARTÍNEZ</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VALENTIN GONZÁLEZ BAUTISTA</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GERARDO ULLOA PÉREZ</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YESICA YANET ROJAS HERNÁNDEZ</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BEATRIZ GARCÍA VILLEGAS</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Default="00031F2C">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Pr="001B0771" w:rsidRDefault="001B0771">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MARIA DEL ROSARIO ELIZALDE VAZQUEZ</w:t>
            </w:r>
          </w:p>
        </w:tc>
        <w:tc>
          <w:tcPr>
            <w:tcW w:w="4830" w:type="dxa"/>
            <w:vAlign w:val="center"/>
          </w:tcPr>
          <w:p w:rsidR="00031F2C" w:rsidRPr="001B0771" w:rsidRDefault="00031F2C">
            <w:pPr>
              <w:spacing w:after="0" w:line="360" w:lineRule="auto"/>
              <w:jc w:val="left"/>
              <w:rPr>
                <w:rFonts w:ascii="Arial" w:eastAsia="Arial" w:hAnsi="Arial" w:cs="Arial"/>
                <w:b/>
                <w:sz w:val="24"/>
                <w:szCs w:val="24"/>
              </w:rPr>
            </w:pPr>
          </w:p>
          <w:p w:rsidR="00031F2C" w:rsidRDefault="00031F2C">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Pr="001B0771" w:rsidRDefault="001B0771">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ROSA MARÍA ZETINA GONZÁLEZ</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DANIEL ANDRÉS SIBAJA GONZÁLEZ</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KARINA LABASTIDA SOTELO</w:t>
            </w:r>
          </w:p>
        </w:tc>
      </w:tr>
      <w:tr w:rsidR="001B0771" w:rsidRPr="001B0771">
        <w:trPr>
          <w:trHeight w:val="1134"/>
        </w:trPr>
        <w:tc>
          <w:tcPr>
            <w:tcW w:w="5075" w:type="dxa"/>
            <w:vAlign w:val="center"/>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DIONICIO JORGE GARCÍA SÁNCHEZ</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MÓNICA ANGÉLICA ÁLVAREZ NEMER</w:t>
            </w:r>
          </w:p>
        </w:tc>
      </w:tr>
      <w:tr w:rsidR="001B0771" w:rsidRPr="001B0771">
        <w:trPr>
          <w:trHeight w:val="1134"/>
        </w:trPr>
        <w:tc>
          <w:tcPr>
            <w:tcW w:w="5075" w:type="dxa"/>
            <w:vAlign w:val="bottom"/>
          </w:tcPr>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LUZ MA. HERNÁNDEZ BERMUDEZ</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Default="00031F2C">
            <w:pPr>
              <w:spacing w:after="0" w:line="360" w:lineRule="auto"/>
              <w:jc w:val="center"/>
              <w:rPr>
                <w:rFonts w:ascii="Arial" w:eastAsia="Arial" w:hAnsi="Arial" w:cs="Arial"/>
                <w:b/>
                <w:sz w:val="24"/>
                <w:szCs w:val="24"/>
              </w:rPr>
            </w:pPr>
          </w:p>
          <w:p w:rsidR="001B0771" w:rsidRPr="001B0771" w:rsidRDefault="001B0771">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MAX AGUSTÍN CORREA HERNÁNDEZ</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ABRAHAM SARONE CAMPOS</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ALICIA MERCADO MORENO</w:t>
            </w:r>
          </w:p>
        </w:tc>
      </w:tr>
      <w:tr w:rsidR="001B0771" w:rsidRPr="001B0771">
        <w:trPr>
          <w:trHeight w:val="1134"/>
        </w:trPr>
        <w:tc>
          <w:tcPr>
            <w:tcW w:w="5075" w:type="dxa"/>
            <w:vAlign w:val="bottom"/>
          </w:tcPr>
          <w:p w:rsidR="00031F2C" w:rsidRPr="001B0771" w:rsidRDefault="00031F2C">
            <w:pPr>
              <w:spacing w:after="0" w:line="360" w:lineRule="auto"/>
              <w:jc w:val="center"/>
              <w:rPr>
                <w:rFonts w:ascii="Arial" w:eastAsia="Arial" w:hAnsi="Arial" w:cs="Arial"/>
                <w:b/>
                <w:sz w:val="24"/>
                <w:szCs w:val="24"/>
              </w:rPr>
            </w:pPr>
          </w:p>
          <w:p w:rsidR="00031F2C" w:rsidRDefault="00031F2C">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Pr="001B0771" w:rsidRDefault="001B0771">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LOURDES JEZABEL DELGADO FLORES</w:t>
            </w:r>
          </w:p>
        </w:tc>
        <w:tc>
          <w:tcPr>
            <w:tcW w:w="4830" w:type="dxa"/>
            <w:vAlign w:val="bottom"/>
          </w:tcPr>
          <w:p w:rsidR="00031F2C" w:rsidRDefault="00031F2C">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Default="001B0771">
            <w:pPr>
              <w:spacing w:after="0" w:line="360" w:lineRule="auto"/>
              <w:jc w:val="center"/>
              <w:rPr>
                <w:rFonts w:ascii="Arial" w:eastAsia="Arial" w:hAnsi="Arial" w:cs="Arial"/>
                <w:b/>
                <w:sz w:val="24"/>
                <w:szCs w:val="24"/>
              </w:rPr>
            </w:pPr>
          </w:p>
          <w:p w:rsidR="001B0771" w:rsidRPr="001B0771" w:rsidRDefault="001B0771">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EDITH MARISOL MERCADO TORRES</w:t>
            </w:r>
          </w:p>
        </w:tc>
      </w:tr>
      <w:tr w:rsidR="001B0771" w:rsidRPr="001B0771">
        <w:trPr>
          <w:trHeight w:val="1134"/>
        </w:trPr>
        <w:tc>
          <w:tcPr>
            <w:tcW w:w="5075" w:type="dxa"/>
            <w:vAlign w:val="center"/>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DIP. EMILIANO AGUIRRE CRUZ</w:t>
            </w:r>
          </w:p>
        </w:tc>
        <w:tc>
          <w:tcPr>
            <w:tcW w:w="4830" w:type="dxa"/>
            <w:vAlign w:val="bottom"/>
          </w:tcPr>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031F2C">
            <w:pPr>
              <w:spacing w:after="0" w:line="360" w:lineRule="auto"/>
              <w:jc w:val="center"/>
              <w:rPr>
                <w:rFonts w:ascii="Arial" w:eastAsia="Arial" w:hAnsi="Arial" w:cs="Arial"/>
                <w:b/>
                <w:sz w:val="24"/>
                <w:szCs w:val="24"/>
              </w:rPr>
            </w:pPr>
          </w:p>
          <w:p w:rsidR="00031F2C" w:rsidRPr="001B0771" w:rsidRDefault="0014440E">
            <w:pPr>
              <w:spacing w:after="0" w:line="360" w:lineRule="auto"/>
              <w:jc w:val="center"/>
              <w:rPr>
                <w:rFonts w:ascii="Arial" w:eastAsia="Arial" w:hAnsi="Arial" w:cs="Arial"/>
                <w:sz w:val="24"/>
                <w:szCs w:val="24"/>
              </w:rPr>
            </w:pPr>
            <w:r w:rsidRPr="001B0771">
              <w:rPr>
                <w:rFonts w:ascii="Arial" w:eastAsia="Arial" w:hAnsi="Arial" w:cs="Arial"/>
                <w:b/>
                <w:sz w:val="24"/>
                <w:szCs w:val="24"/>
              </w:rPr>
              <w:t>DIP. MARÍA DEL CARMEN DE LA ROSA MENDOZA</w:t>
            </w:r>
          </w:p>
        </w:tc>
      </w:tr>
    </w:tbl>
    <w:p w:rsidR="00031F2C" w:rsidRPr="001B0771" w:rsidRDefault="00031F2C">
      <w:pPr>
        <w:spacing w:after="0" w:line="360" w:lineRule="auto"/>
        <w:jc w:val="both"/>
        <w:rPr>
          <w:rFonts w:ascii="Arial" w:eastAsia="Arial" w:hAnsi="Arial" w:cs="Arial"/>
          <w:sz w:val="24"/>
          <w:szCs w:val="24"/>
        </w:rPr>
      </w:pPr>
    </w:p>
    <w:p w:rsidR="00031F2C" w:rsidRPr="001B0771" w:rsidRDefault="0014440E" w:rsidP="00702E3B">
      <w:pPr>
        <w:spacing w:after="0" w:line="360" w:lineRule="auto"/>
        <w:rPr>
          <w:rFonts w:ascii="Arial" w:eastAsia="Arial" w:hAnsi="Arial" w:cs="Arial"/>
          <w:sz w:val="24"/>
          <w:szCs w:val="24"/>
        </w:rPr>
      </w:pPr>
      <w:r w:rsidRPr="001B0771">
        <w:rPr>
          <w:rFonts w:ascii="Arial" w:hAnsi="Arial" w:cs="Arial"/>
          <w:sz w:val="24"/>
          <w:szCs w:val="24"/>
        </w:rPr>
        <w:br w:type="page"/>
      </w:r>
    </w:p>
    <w:p w:rsidR="00031F2C" w:rsidRPr="001B0771" w:rsidRDefault="0014440E" w:rsidP="00702E3B">
      <w:pPr>
        <w:spacing w:after="0" w:line="360" w:lineRule="auto"/>
        <w:jc w:val="center"/>
        <w:rPr>
          <w:rFonts w:ascii="Arial" w:eastAsia="Arial" w:hAnsi="Arial" w:cs="Arial"/>
          <w:b/>
          <w:sz w:val="24"/>
          <w:szCs w:val="24"/>
        </w:rPr>
      </w:pPr>
      <w:r w:rsidRPr="001B0771">
        <w:rPr>
          <w:rFonts w:ascii="Arial" w:eastAsia="Arial" w:hAnsi="Arial" w:cs="Arial"/>
          <w:b/>
          <w:sz w:val="24"/>
          <w:szCs w:val="24"/>
        </w:rPr>
        <w:t>PROYECTO DE PUNTO DE ACUERDO</w:t>
      </w:r>
    </w:p>
    <w:p w:rsidR="00031F2C" w:rsidRPr="001B0771" w:rsidRDefault="00031F2C" w:rsidP="00702E3B">
      <w:pPr>
        <w:spacing w:after="0" w:line="360" w:lineRule="auto"/>
        <w:jc w:val="both"/>
        <w:rPr>
          <w:rFonts w:ascii="Arial" w:eastAsia="Arial" w:hAnsi="Arial" w:cs="Arial"/>
          <w:sz w:val="24"/>
          <w:szCs w:val="24"/>
        </w:rPr>
      </w:pPr>
    </w:p>
    <w:p w:rsidR="00031F2C" w:rsidRPr="001B0771" w:rsidRDefault="0014440E" w:rsidP="00702E3B">
      <w:pPr>
        <w:spacing w:after="0" w:line="360" w:lineRule="auto"/>
        <w:jc w:val="both"/>
        <w:rPr>
          <w:rFonts w:ascii="Arial" w:eastAsia="Arial" w:hAnsi="Arial" w:cs="Arial"/>
          <w:sz w:val="24"/>
          <w:szCs w:val="24"/>
        </w:rPr>
      </w:pPr>
      <w:r w:rsidRPr="001B0771">
        <w:rPr>
          <w:rFonts w:ascii="Arial" w:eastAsia="Arial" w:hAnsi="Arial" w:cs="Arial"/>
          <w:sz w:val="24"/>
          <w:szCs w:val="24"/>
        </w:rPr>
        <w:t>LA H. "LXI" LEGISLATURA EN EJERCICIO DE LAS FACULTADES QUE LE CONFIEREN LOS ARTÍCULOS</w:t>
      </w:r>
      <w:r w:rsidR="00C03CE2">
        <w:rPr>
          <w:rFonts w:ascii="Arial" w:eastAsia="Arial" w:hAnsi="Arial" w:cs="Arial"/>
          <w:sz w:val="24"/>
          <w:szCs w:val="24"/>
        </w:rPr>
        <w:t xml:space="preserve"> 55,</w:t>
      </w:r>
      <w:r w:rsidR="00C03CE2" w:rsidRPr="001B0771">
        <w:rPr>
          <w:rFonts w:ascii="Arial" w:eastAsia="Arial" w:hAnsi="Arial" w:cs="Arial"/>
          <w:sz w:val="24"/>
          <w:szCs w:val="24"/>
        </w:rPr>
        <w:t xml:space="preserve"> 57 Y 61 FRACCIÓN I DE LA CONSTITUCIÓN POLÍTICA DEL ESTADO LIBRE Y SOBERANO DE MÉXICO; </w:t>
      </w:r>
      <w:r w:rsidR="00C03CE2">
        <w:rPr>
          <w:rFonts w:ascii="Arial" w:eastAsia="Arial" w:hAnsi="Arial" w:cs="Arial"/>
          <w:sz w:val="24"/>
          <w:szCs w:val="24"/>
        </w:rPr>
        <w:t xml:space="preserve">83 </w:t>
      </w:r>
      <w:r w:rsidR="00C03CE2" w:rsidRPr="001B0771">
        <w:rPr>
          <w:rFonts w:ascii="Arial" w:eastAsia="Arial" w:hAnsi="Arial" w:cs="Arial"/>
          <w:sz w:val="24"/>
          <w:szCs w:val="24"/>
        </w:rPr>
        <w:t>DE LA LEY ORGÁNICA DEL PODER LEGISLATIVO; Y 7</w:t>
      </w:r>
      <w:r w:rsidR="00C03CE2">
        <w:rPr>
          <w:rFonts w:ascii="Arial" w:eastAsia="Arial" w:hAnsi="Arial" w:cs="Arial"/>
          <w:sz w:val="24"/>
          <w:szCs w:val="24"/>
        </w:rPr>
        <w:t>4</w:t>
      </w:r>
      <w:r w:rsidR="00C03CE2" w:rsidRPr="001B0771">
        <w:rPr>
          <w:rFonts w:ascii="Arial" w:eastAsia="Arial" w:hAnsi="Arial" w:cs="Arial"/>
          <w:sz w:val="24"/>
          <w:szCs w:val="24"/>
        </w:rPr>
        <w:t xml:space="preserve"> DEL REGLAMENTO DEL PODER LEGISLATIVO DEL ESTADO LIBRE Y SOBERANO DE MÉXICO</w:t>
      </w:r>
      <w:r w:rsidRPr="001B0771">
        <w:rPr>
          <w:rFonts w:ascii="Arial" w:eastAsia="Arial" w:hAnsi="Arial" w:cs="Arial"/>
          <w:sz w:val="24"/>
          <w:szCs w:val="24"/>
        </w:rPr>
        <w:t>, HA TENIDO A BIEN EMITIR EL SIGUIENTE:</w:t>
      </w:r>
    </w:p>
    <w:p w:rsidR="00031F2C" w:rsidRPr="001B0771" w:rsidRDefault="00031F2C">
      <w:pPr>
        <w:spacing w:after="0" w:line="360" w:lineRule="auto"/>
        <w:jc w:val="both"/>
        <w:rPr>
          <w:rFonts w:ascii="Arial" w:eastAsia="Arial" w:hAnsi="Arial" w:cs="Arial"/>
          <w:sz w:val="24"/>
          <w:szCs w:val="24"/>
        </w:rPr>
      </w:pPr>
    </w:p>
    <w:p w:rsidR="00031F2C" w:rsidRPr="001B0771" w:rsidRDefault="0014440E">
      <w:pPr>
        <w:spacing w:after="0" w:line="360" w:lineRule="auto"/>
        <w:jc w:val="center"/>
        <w:rPr>
          <w:rFonts w:ascii="Arial" w:eastAsia="Arial" w:hAnsi="Arial" w:cs="Arial"/>
          <w:b/>
          <w:sz w:val="24"/>
          <w:szCs w:val="24"/>
        </w:rPr>
      </w:pPr>
      <w:r w:rsidRPr="001B0771">
        <w:rPr>
          <w:rFonts w:ascii="Arial" w:eastAsia="Arial" w:hAnsi="Arial" w:cs="Arial"/>
          <w:b/>
          <w:sz w:val="24"/>
          <w:szCs w:val="24"/>
        </w:rPr>
        <w:t>PUNTO DE ACUERDO</w:t>
      </w:r>
    </w:p>
    <w:p w:rsidR="00031F2C" w:rsidRPr="001B0771" w:rsidRDefault="00031F2C">
      <w:pPr>
        <w:spacing w:after="0" w:line="360" w:lineRule="auto"/>
        <w:jc w:val="both"/>
        <w:rPr>
          <w:rFonts w:ascii="Arial" w:eastAsia="Arial" w:hAnsi="Arial" w:cs="Arial"/>
          <w:sz w:val="24"/>
          <w:szCs w:val="24"/>
        </w:rPr>
      </w:pPr>
    </w:p>
    <w:p w:rsidR="00031F2C" w:rsidRPr="001B0771" w:rsidRDefault="0014440E" w:rsidP="00702E3B">
      <w:pPr>
        <w:pBdr>
          <w:top w:val="nil"/>
          <w:left w:val="nil"/>
          <w:bottom w:val="nil"/>
          <w:right w:val="nil"/>
          <w:between w:val="nil"/>
        </w:pBdr>
        <w:spacing w:after="0" w:line="360" w:lineRule="auto"/>
        <w:jc w:val="both"/>
        <w:rPr>
          <w:rFonts w:ascii="Arial" w:eastAsia="Times New Roman" w:hAnsi="Arial" w:cs="Arial"/>
          <w:sz w:val="24"/>
          <w:szCs w:val="24"/>
        </w:rPr>
      </w:pPr>
      <w:r w:rsidRPr="001B0771">
        <w:rPr>
          <w:rFonts w:ascii="Arial" w:eastAsia="Arial" w:hAnsi="Arial" w:cs="Arial"/>
          <w:b/>
          <w:sz w:val="24"/>
          <w:szCs w:val="24"/>
        </w:rPr>
        <w:t>PRIMERO.</w:t>
      </w:r>
      <w:r w:rsidRPr="001B0771">
        <w:rPr>
          <w:rFonts w:ascii="Arial" w:eastAsia="Arial" w:hAnsi="Arial" w:cs="Arial"/>
          <w:sz w:val="24"/>
          <w:szCs w:val="24"/>
        </w:rPr>
        <w:t xml:space="preserve"> Se </w:t>
      </w:r>
      <w:r w:rsidR="00CE3618" w:rsidRPr="001B0771">
        <w:rPr>
          <w:rFonts w:ascii="Arial" w:eastAsia="Arial" w:hAnsi="Arial" w:cs="Arial"/>
          <w:sz w:val="24"/>
          <w:szCs w:val="24"/>
        </w:rPr>
        <w:t xml:space="preserve">exhorta </w:t>
      </w:r>
      <w:r w:rsidRPr="001B0771">
        <w:rPr>
          <w:rFonts w:ascii="Arial" w:eastAsia="Arial" w:hAnsi="Arial" w:cs="Arial"/>
          <w:sz w:val="24"/>
          <w:szCs w:val="24"/>
        </w:rPr>
        <w:t>respetuosamente a</w:t>
      </w:r>
      <w:r w:rsidR="00C426EE">
        <w:rPr>
          <w:rFonts w:ascii="Arial" w:eastAsia="Arial" w:hAnsi="Arial" w:cs="Arial"/>
          <w:sz w:val="24"/>
          <w:szCs w:val="24"/>
        </w:rPr>
        <w:t xml:space="preserve"> los titulares de</w:t>
      </w:r>
      <w:r w:rsidRPr="001B0771">
        <w:rPr>
          <w:rFonts w:ascii="Arial" w:eastAsia="Arial" w:hAnsi="Arial" w:cs="Arial"/>
          <w:sz w:val="24"/>
          <w:szCs w:val="24"/>
        </w:rPr>
        <w:t xml:space="preserve"> la </w:t>
      </w:r>
      <w:r w:rsidRPr="001B0771">
        <w:rPr>
          <w:rFonts w:ascii="Arial" w:eastAsia="Arial" w:hAnsi="Arial" w:cs="Arial"/>
          <w:b/>
          <w:sz w:val="24"/>
          <w:szCs w:val="24"/>
        </w:rPr>
        <w:t xml:space="preserve">Comisión del Agua del Estado de México, </w:t>
      </w:r>
      <w:r w:rsidR="00C426EE">
        <w:rPr>
          <w:rFonts w:ascii="Arial" w:eastAsia="Arial" w:hAnsi="Arial" w:cs="Arial"/>
          <w:b/>
          <w:sz w:val="24"/>
          <w:szCs w:val="24"/>
        </w:rPr>
        <w:t>de</w:t>
      </w:r>
      <w:r w:rsidRPr="001B0771">
        <w:rPr>
          <w:rFonts w:ascii="Arial" w:eastAsia="Arial" w:hAnsi="Arial" w:cs="Arial"/>
          <w:b/>
          <w:sz w:val="24"/>
          <w:szCs w:val="24"/>
        </w:rPr>
        <w:t xml:space="preserve"> la Coordinación General de Protección Civil y Gestión Integral del Riesgo, </w:t>
      </w:r>
      <w:r w:rsidR="00C426EE">
        <w:rPr>
          <w:rFonts w:ascii="Arial" w:eastAsia="Arial" w:hAnsi="Arial" w:cs="Arial"/>
          <w:b/>
          <w:sz w:val="24"/>
          <w:szCs w:val="24"/>
        </w:rPr>
        <w:t>de</w:t>
      </w:r>
      <w:r w:rsidRPr="001B0771">
        <w:rPr>
          <w:rFonts w:ascii="Arial" w:eastAsia="Arial" w:hAnsi="Arial" w:cs="Arial"/>
          <w:b/>
          <w:sz w:val="24"/>
          <w:szCs w:val="24"/>
        </w:rPr>
        <w:t xml:space="preserve"> </w:t>
      </w:r>
      <w:r w:rsidR="008C3A7F" w:rsidRPr="001B0771">
        <w:rPr>
          <w:rFonts w:ascii="Arial" w:eastAsia="Arial" w:hAnsi="Arial" w:cs="Arial"/>
          <w:b/>
          <w:sz w:val="24"/>
          <w:szCs w:val="24"/>
        </w:rPr>
        <w:t>los</w:t>
      </w:r>
      <w:r w:rsidRPr="001B0771">
        <w:rPr>
          <w:rFonts w:ascii="Arial" w:eastAsia="Arial" w:hAnsi="Arial" w:cs="Arial"/>
          <w:b/>
          <w:sz w:val="24"/>
          <w:szCs w:val="24"/>
        </w:rPr>
        <w:t xml:space="preserve"> 125 Ayuntamientos del estado de México y </w:t>
      </w:r>
      <w:r w:rsidR="00C426EE">
        <w:rPr>
          <w:rFonts w:ascii="Arial" w:eastAsia="Arial" w:hAnsi="Arial" w:cs="Arial"/>
          <w:b/>
          <w:sz w:val="24"/>
          <w:szCs w:val="24"/>
        </w:rPr>
        <w:t xml:space="preserve">de </w:t>
      </w:r>
      <w:r w:rsidRPr="001B0771">
        <w:rPr>
          <w:rFonts w:ascii="Arial" w:eastAsia="Arial" w:hAnsi="Arial" w:cs="Arial"/>
          <w:b/>
          <w:sz w:val="24"/>
          <w:szCs w:val="24"/>
        </w:rPr>
        <w:t>sus respectivas Coordinaciones Municipales de Protección Civil</w:t>
      </w:r>
      <w:r w:rsidRPr="001B0771">
        <w:rPr>
          <w:rFonts w:ascii="Arial" w:eastAsia="Arial" w:hAnsi="Arial" w:cs="Arial"/>
          <w:sz w:val="24"/>
          <w:szCs w:val="24"/>
        </w:rPr>
        <w:t xml:space="preserve"> para que en la planificación del ejercicio fiscal 2023 se contemple la implementación de medidas estructurales, no estructurales y funcionales en materia de protección civil suficientes que se sumen al cumplimiento de los cuatro pilares del Plan de Acción Ejecutivo de la iniciativa </w:t>
      </w:r>
      <w:hyperlink r:id="rId11">
        <w:r w:rsidRPr="001B0771">
          <w:rPr>
            <w:rFonts w:ascii="Arial" w:eastAsia="Arial" w:hAnsi="Arial" w:cs="Arial"/>
            <w:sz w:val="24"/>
            <w:szCs w:val="24"/>
            <w:u w:val="single"/>
          </w:rPr>
          <w:t>Alertas Tempranas para Todos</w:t>
        </w:r>
      </w:hyperlink>
      <w:r w:rsidRPr="001B0771">
        <w:rPr>
          <w:rFonts w:ascii="Arial" w:eastAsia="Arial" w:hAnsi="Arial" w:cs="Arial"/>
          <w:sz w:val="24"/>
          <w:szCs w:val="24"/>
        </w:rPr>
        <w:t xml:space="preserve"> y las prioridades del Marco Sendai para la Reducción del Riesgo de Desastre 2015-2030, las cuales deberán tener como objetivo último el bienestar de las y los mexiquenses más vulnerables y que se encuentran expuestos a los mayores riesgos derivados de las inundaciones.</w:t>
      </w:r>
    </w:p>
    <w:p w:rsidR="008C3A7F" w:rsidRPr="001B0771" w:rsidRDefault="008C3A7F" w:rsidP="00702E3B">
      <w:pPr>
        <w:pBdr>
          <w:top w:val="nil"/>
          <w:left w:val="nil"/>
          <w:bottom w:val="nil"/>
          <w:right w:val="nil"/>
          <w:between w:val="nil"/>
        </w:pBdr>
        <w:spacing w:after="0" w:line="360" w:lineRule="auto"/>
        <w:jc w:val="both"/>
        <w:rPr>
          <w:rFonts w:ascii="Arial" w:eastAsia="Arial" w:hAnsi="Arial" w:cs="Arial"/>
          <w:b/>
          <w:sz w:val="24"/>
          <w:szCs w:val="24"/>
        </w:rPr>
      </w:pPr>
    </w:p>
    <w:p w:rsidR="00031F2C" w:rsidRPr="001B0771" w:rsidRDefault="0014440E" w:rsidP="00702E3B">
      <w:pPr>
        <w:pBdr>
          <w:top w:val="nil"/>
          <w:left w:val="nil"/>
          <w:bottom w:val="nil"/>
          <w:right w:val="nil"/>
          <w:between w:val="nil"/>
        </w:pBdr>
        <w:spacing w:after="0" w:line="360" w:lineRule="auto"/>
        <w:jc w:val="both"/>
        <w:rPr>
          <w:rFonts w:ascii="Arial" w:eastAsia="Arial" w:hAnsi="Arial" w:cs="Arial"/>
          <w:sz w:val="24"/>
          <w:szCs w:val="24"/>
        </w:rPr>
      </w:pPr>
      <w:r w:rsidRPr="001B0771">
        <w:rPr>
          <w:rFonts w:ascii="Arial" w:eastAsia="Arial" w:hAnsi="Arial" w:cs="Arial"/>
          <w:b/>
          <w:sz w:val="24"/>
          <w:szCs w:val="24"/>
        </w:rPr>
        <w:t xml:space="preserve">SEGUNDO. </w:t>
      </w:r>
      <w:r w:rsidRPr="001B0771">
        <w:rPr>
          <w:rFonts w:ascii="Arial" w:eastAsia="Arial" w:hAnsi="Arial" w:cs="Arial"/>
          <w:sz w:val="24"/>
          <w:szCs w:val="24"/>
        </w:rPr>
        <w:t xml:space="preserve">Se </w:t>
      </w:r>
      <w:r w:rsidR="00CE3618" w:rsidRPr="001B0771">
        <w:rPr>
          <w:rFonts w:ascii="Arial" w:eastAsia="Arial" w:hAnsi="Arial" w:cs="Arial"/>
          <w:sz w:val="24"/>
          <w:szCs w:val="24"/>
        </w:rPr>
        <w:t>exhorta</w:t>
      </w:r>
      <w:r w:rsidRPr="001B0771">
        <w:rPr>
          <w:rFonts w:ascii="Arial" w:eastAsia="Arial" w:hAnsi="Arial" w:cs="Arial"/>
          <w:sz w:val="24"/>
          <w:szCs w:val="24"/>
        </w:rPr>
        <w:t xml:space="preserve"> respetuosamente a</w:t>
      </w:r>
      <w:r w:rsidR="00C426EE">
        <w:rPr>
          <w:rFonts w:ascii="Arial" w:eastAsia="Arial" w:hAnsi="Arial" w:cs="Arial"/>
          <w:sz w:val="24"/>
          <w:szCs w:val="24"/>
        </w:rPr>
        <w:t xml:space="preserve"> los titulares de</w:t>
      </w:r>
      <w:r w:rsidRPr="001B0771">
        <w:rPr>
          <w:rFonts w:ascii="Arial" w:eastAsia="Arial" w:hAnsi="Arial" w:cs="Arial"/>
          <w:sz w:val="24"/>
          <w:szCs w:val="24"/>
        </w:rPr>
        <w:t xml:space="preserve"> la </w:t>
      </w:r>
      <w:r w:rsidRPr="001B0771">
        <w:rPr>
          <w:rFonts w:ascii="Arial" w:eastAsia="Arial" w:hAnsi="Arial" w:cs="Arial"/>
          <w:b/>
          <w:sz w:val="24"/>
          <w:szCs w:val="24"/>
        </w:rPr>
        <w:t xml:space="preserve">Comisión del Agua del Estado de México, </w:t>
      </w:r>
      <w:r w:rsidR="00C426EE">
        <w:rPr>
          <w:rFonts w:ascii="Arial" w:eastAsia="Arial" w:hAnsi="Arial" w:cs="Arial"/>
          <w:b/>
          <w:sz w:val="24"/>
          <w:szCs w:val="24"/>
        </w:rPr>
        <w:t>de</w:t>
      </w:r>
      <w:r w:rsidRPr="001B0771">
        <w:rPr>
          <w:rFonts w:ascii="Arial" w:eastAsia="Arial" w:hAnsi="Arial" w:cs="Arial"/>
          <w:b/>
          <w:sz w:val="24"/>
          <w:szCs w:val="24"/>
        </w:rPr>
        <w:t xml:space="preserve"> la Coordinación General de Protección Civil y Gestión Integral del Riesgo, </w:t>
      </w:r>
      <w:r w:rsidR="00C426EE">
        <w:rPr>
          <w:rFonts w:ascii="Arial" w:eastAsia="Arial" w:hAnsi="Arial" w:cs="Arial"/>
          <w:b/>
          <w:sz w:val="24"/>
          <w:szCs w:val="24"/>
        </w:rPr>
        <w:t>de</w:t>
      </w:r>
      <w:r w:rsidRPr="001B0771">
        <w:rPr>
          <w:rFonts w:ascii="Arial" w:eastAsia="Arial" w:hAnsi="Arial" w:cs="Arial"/>
          <w:b/>
          <w:sz w:val="24"/>
          <w:szCs w:val="24"/>
        </w:rPr>
        <w:t xml:space="preserve"> </w:t>
      </w:r>
      <w:r w:rsidR="008C3A7F" w:rsidRPr="001B0771">
        <w:rPr>
          <w:rFonts w:ascii="Arial" w:eastAsia="Arial" w:hAnsi="Arial" w:cs="Arial"/>
          <w:b/>
          <w:sz w:val="24"/>
          <w:szCs w:val="24"/>
        </w:rPr>
        <w:t>los</w:t>
      </w:r>
      <w:r w:rsidRPr="001B0771">
        <w:rPr>
          <w:rFonts w:ascii="Arial" w:eastAsia="Arial" w:hAnsi="Arial" w:cs="Arial"/>
          <w:b/>
          <w:sz w:val="24"/>
          <w:szCs w:val="24"/>
        </w:rPr>
        <w:t xml:space="preserve"> 125 Ayuntamientos del estado de México y </w:t>
      </w:r>
      <w:r w:rsidR="00C426EE">
        <w:rPr>
          <w:rFonts w:ascii="Arial" w:eastAsia="Arial" w:hAnsi="Arial" w:cs="Arial"/>
          <w:b/>
          <w:sz w:val="24"/>
          <w:szCs w:val="24"/>
        </w:rPr>
        <w:t xml:space="preserve">de </w:t>
      </w:r>
      <w:r w:rsidRPr="001B0771">
        <w:rPr>
          <w:rFonts w:ascii="Arial" w:eastAsia="Arial" w:hAnsi="Arial" w:cs="Arial"/>
          <w:b/>
          <w:sz w:val="24"/>
          <w:szCs w:val="24"/>
        </w:rPr>
        <w:t>sus respectivas Coordinaciones Municipales de Protección Civil</w:t>
      </w:r>
      <w:r w:rsidRPr="001B0771">
        <w:rPr>
          <w:rFonts w:ascii="Arial" w:eastAsia="Arial" w:hAnsi="Arial" w:cs="Arial"/>
          <w:sz w:val="24"/>
          <w:szCs w:val="24"/>
        </w:rPr>
        <w:t xml:space="preserve">, para que en el ámbito de sus atribuciones se </w:t>
      </w:r>
      <w:bookmarkStart w:id="2" w:name="_Hlk120186730"/>
      <w:r w:rsidRPr="001B0771">
        <w:rPr>
          <w:rFonts w:ascii="Arial" w:eastAsia="Arial" w:hAnsi="Arial" w:cs="Arial"/>
          <w:sz w:val="24"/>
          <w:szCs w:val="24"/>
        </w:rPr>
        <w:t>coordinen con las instancias correspondientes a nivel federal</w:t>
      </w:r>
      <w:bookmarkEnd w:id="2"/>
      <w:r w:rsidRPr="001B0771">
        <w:rPr>
          <w:rFonts w:ascii="Arial" w:eastAsia="Arial" w:hAnsi="Arial" w:cs="Arial"/>
          <w:sz w:val="24"/>
          <w:szCs w:val="24"/>
        </w:rPr>
        <w:t xml:space="preserve"> tales como la </w:t>
      </w:r>
      <w:r w:rsidRPr="001B0771">
        <w:rPr>
          <w:rFonts w:ascii="Arial" w:eastAsia="Arial" w:hAnsi="Arial" w:cs="Arial"/>
          <w:b/>
          <w:sz w:val="24"/>
          <w:szCs w:val="24"/>
        </w:rPr>
        <w:t>Secretaría de Medio Ambiente y Recursos Naturales, la Comisión Nacional del Agua,</w:t>
      </w:r>
      <w:r w:rsidR="008C3A7F" w:rsidRPr="001B0771">
        <w:rPr>
          <w:rFonts w:ascii="Arial" w:eastAsia="Arial" w:hAnsi="Arial" w:cs="Arial"/>
          <w:b/>
          <w:sz w:val="24"/>
          <w:szCs w:val="24"/>
        </w:rPr>
        <w:t xml:space="preserve"> </w:t>
      </w:r>
      <w:r w:rsidRPr="001B0771">
        <w:rPr>
          <w:rFonts w:ascii="Arial" w:eastAsia="Arial" w:hAnsi="Arial" w:cs="Arial"/>
          <w:b/>
          <w:sz w:val="24"/>
          <w:szCs w:val="24"/>
        </w:rPr>
        <w:t xml:space="preserve">el Centro Nacional de Prevención de Desastre </w:t>
      </w:r>
      <w:r w:rsidRPr="001B0771">
        <w:rPr>
          <w:rFonts w:ascii="Arial" w:eastAsia="Arial" w:hAnsi="Arial" w:cs="Arial"/>
          <w:sz w:val="24"/>
          <w:szCs w:val="24"/>
        </w:rPr>
        <w:t>para la generación de estrategias integrales que permitan el</w:t>
      </w:r>
      <w:r w:rsidRPr="001B0771">
        <w:rPr>
          <w:rFonts w:ascii="Arial" w:eastAsia="Arial" w:hAnsi="Arial" w:cs="Arial"/>
          <w:b/>
          <w:sz w:val="24"/>
          <w:szCs w:val="24"/>
        </w:rPr>
        <w:t xml:space="preserve"> </w:t>
      </w:r>
      <w:r w:rsidRPr="001B0771">
        <w:rPr>
          <w:rFonts w:ascii="Arial" w:eastAsia="Arial" w:hAnsi="Arial" w:cs="Arial"/>
          <w:sz w:val="24"/>
          <w:szCs w:val="24"/>
        </w:rPr>
        <w:t xml:space="preserve">cumplimiento de los cuatro pilares del Plan de Acción Ejecutivo de la iniciativa </w:t>
      </w:r>
      <w:hyperlink r:id="rId12">
        <w:r w:rsidRPr="001B0771">
          <w:rPr>
            <w:rFonts w:ascii="Arial" w:eastAsia="Arial" w:hAnsi="Arial" w:cs="Arial"/>
            <w:sz w:val="24"/>
            <w:szCs w:val="24"/>
            <w:u w:val="single"/>
          </w:rPr>
          <w:t>Alertas Tempranas para Todos</w:t>
        </w:r>
      </w:hyperlink>
      <w:r w:rsidRPr="001B0771">
        <w:rPr>
          <w:rFonts w:ascii="Arial" w:eastAsia="Arial" w:hAnsi="Arial" w:cs="Arial"/>
          <w:sz w:val="24"/>
          <w:szCs w:val="24"/>
        </w:rPr>
        <w:t xml:space="preserve"> y las prioridades del Marco Sendai para la Reducción del Riesgo de Desastre 2015-2030.</w:t>
      </w:r>
    </w:p>
    <w:p w:rsidR="00031F2C" w:rsidRPr="001B0771" w:rsidRDefault="00031F2C" w:rsidP="00702E3B">
      <w:pPr>
        <w:pBdr>
          <w:top w:val="nil"/>
          <w:left w:val="nil"/>
          <w:bottom w:val="nil"/>
          <w:right w:val="nil"/>
          <w:between w:val="nil"/>
        </w:pBdr>
        <w:spacing w:after="0" w:line="360" w:lineRule="auto"/>
        <w:jc w:val="both"/>
        <w:rPr>
          <w:rFonts w:ascii="Arial" w:eastAsia="Arial" w:hAnsi="Arial" w:cs="Arial"/>
          <w:sz w:val="24"/>
          <w:szCs w:val="24"/>
        </w:rPr>
      </w:pPr>
    </w:p>
    <w:p w:rsidR="00031F2C" w:rsidRPr="001B0771" w:rsidRDefault="0014440E">
      <w:pPr>
        <w:spacing w:after="0" w:line="360" w:lineRule="auto"/>
        <w:jc w:val="both"/>
        <w:rPr>
          <w:rFonts w:ascii="Arial" w:eastAsia="Arial" w:hAnsi="Arial" w:cs="Arial"/>
          <w:sz w:val="24"/>
          <w:szCs w:val="24"/>
        </w:rPr>
      </w:pPr>
      <w:r w:rsidRPr="001B0771">
        <w:rPr>
          <w:rFonts w:ascii="Arial" w:eastAsia="Arial" w:hAnsi="Arial" w:cs="Arial"/>
          <w:sz w:val="24"/>
          <w:szCs w:val="24"/>
        </w:rPr>
        <w:t xml:space="preserve">Dado en el Palacio del Poder Legislativo, en la ciudad de Toluca de Lerdo, capital del Estado de México, al ___ día del mes de </w:t>
      </w:r>
      <w:r w:rsidR="00CE3618">
        <w:rPr>
          <w:rFonts w:ascii="Arial" w:eastAsia="Arial" w:hAnsi="Arial" w:cs="Arial"/>
          <w:sz w:val="24"/>
          <w:szCs w:val="24"/>
        </w:rPr>
        <w:t>diciembre</w:t>
      </w:r>
      <w:r w:rsidRPr="001B0771">
        <w:rPr>
          <w:rFonts w:ascii="Arial" w:eastAsia="Arial" w:hAnsi="Arial" w:cs="Arial"/>
          <w:sz w:val="24"/>
          <w:szCs w:val="24"/>
        </w:rPr>
        <w:t xml:space="preserve"> del año 2022.</w:t>
      </w:r>
    </w:p>
    <w:sectPr w:rsidR="00031F2C" w:rsidRPr="001B0771">
      <w:headerReference w:type="default" r:id="rId13"/>
      <w:pgSz w:w="12240" w:h="15840"/>
      <w:pgMar w:top="2552" w:right="1304" w:bottom="1701" w:left="124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9E1" w:rsidRDefault="003749E1">
      <w:pPr>
        <w:spacing w:after="0" w:line="240" w:lineRule="auto"/>
      </w:pPr>
      <w:r>
        <w:separator/>
      </w:r>
    </w:p>
  </w:endnote>
  <w:endnote w:type="continuationSeparator" w:id="0">
    <w:p w:rsidR="003749E1" w:rsidRDefault="00374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9E1" w:rsidRDefault="003749E1">
      <w:pPr>
        <w:spacing w:after="0" w:line="240" w:lineRule="auto"/>
      </w:pPr>
      <w:r>
        <w:separator/>
      </w:r>
    </w:p>
  </w:footnote>
  <w:footnote w:type="continuationSeparator" w:id="0">
    <w:p w:rsidR="003749E1" w:rsidRDefault="003749E1">
      <w:pPr>
        <w:spacing w:after="0" w:line="240" w:lineRule="auto"/>
      </w:pPr>
      <w:r>
        <w:continuationSeparator/>
      </w:r>
    </w:p>
  </w:footnote>
  <w:footnote w:id="1">
    <w:p w:rsidR="00031F2C" w:rsidRDefault="0014440E">
      <w:pPr>
        <w:spacing w:after="0" w:line="240" w:lineRule="auto"/>
        <w:jc w:val="both"/>
        <w:rPr>
          <w:rFonts w:ascii="Arial" w:eastAsia="Arial" w:hAnsi="Arial" w:cs="Arial"/>
          <w:sz w:val="20"/>
          <w:szCs w:val="20"/>
        </w:rPr>
      </w:pPr>
      <w:r>
        <w:rPr>
          <w:vertAlign w:val="superscript"/>
        </w:rPr>
        <w:footnoteRef/>
      </w:r>
      <w:r w:rsidRPr="00861D62">
        <w:rPr>
          <w:rFonts w:ascii="Arial" w:eastAsia="Arial" w:hAnsi="Arial" w:cs="Arial"/>
          <w:sz w:val="20"/>
          <w:szCs w:val="20"/>
          <w:lang w:val="en-US"/>
        </w:rPr>
        <w:t xml:space="preserve"> EARLY WARNINGS FOR ALL The UN Global Early Warning Initiative for the Implementation of Climate Adaptation. </w:t>
      </w:r>
      <w:r>
        <w:rPr>
          <w:rFonts w:ascii="Arial" w:eastAsia="Arial" w:hAnsi="Arial" w:cs="Arial"/>
          <w:sz w:val="20"/>
          <w:szCs w:val="20"/>
        </w:rPr>
        <w:t xml:space="preserve">Consultado el 07 de noviembre de 2022 en: </w:t>
      </w:r>
      <w:r w:rsidR="001B0771" w:rsidRPr="001B0771">
        <w:rPr>
          <w:rFonts w:ascii="Arial" w:eastAsia="Arial" w:hAnsi="Arial" w:cs="Arial"/>
          <w:color w:val="1155CC"/>
          <w:sz w:val="20"/>
          <w:szCs w:val="20"/>
          <w:u w:val="single"/>
        </w:rPr>
        <w:t>https://qrcgcustomers.s3-eu-west-1.amazonaws.com/account22055985/32227251_1.pdf?0.03383685517574864</w:t>
      </w:r>
      <w:r w:rsidR="001B0771">
        <w:rPr>
          <w:rFonts w:ascii="Arial" w:eastAsia="Arial" w:hAnsi="Arial" w:cs="Arial"/>
          <w:color w:val="1155CC"/>
          <w:sz w:val="20"/>
          <w:szCs w:val="20"/>
          <w:u w:val="single"/>
        </w:rPr>
        <w:t xml:space="preserve"> </w:t>
      </w:r>
    </w:p>
  </w:footnote>
  <w:footnote w:id="2">
    <w:p w:rsidR="00031F2C" w:rsidRDefault="0014440E">
      <w:pPr>
        <w:spacing w:after="0" w:line="240" w:lineRule="auto"/>
        <w:jc w:val="both"/>
        <w:rPr>
          <w:rFonts w:ascii="Arial" w:eastAsia="Arial" w:hAnsi="Arial" w:cs="Arial"/>
          <w:color w:val="191919"/>
          <w:sz w:val="20"/>
          <w:szCs w:val="20"/>
        </w:rPr>
      </w:pPr>
      <w:r>
        <w:rPr>
          <w:vertAlign w:val="superscript"/>
        </w:rPr>
        <w:footnoteRef/>
      </w:r>
      <w:r>
        <w:rPr>
          <w:rFonts w:ascii="Arial" w:eastAsia="Arial" w:hAnsi="Arial" w:cs="Arial"/>
          <w:sz w:val="20"/>
          <w:szCs w:val="20"/>
        </w:rPr>
        <w:t xml:space="preserve"> Los Municipios con afectaciones fueron: </w:t>
      </w:r>
      <w:r>
        <w:rPr>
          <w:rFonts w:ascii="Arial" w:eastAsia="Arial" w:hAnsi="Arial" w:cs="Arial"/>
          <w:color w:val="191919"/>
          <w:sz w:val="20"/>
          <w:szCs w:val="20"/>
        </w:rPr>
        <w:t>Apaxco, Atizapán de Zaragoza Chalco, Coyotepec, Ecatepec de Morelos, Hueypoxtla, Naucalpan de Juárez, Nezahualcóyotl, Temascalapa,</w:t>
      </w:r>
      <w:r w:rsidR="001B0771">
        <w:rPr>
          <w:rFonts w:ascii="Arial" w:eastAsia="Arial" w:hAnsi="Arial" w:cs="Arial"/>
          <w:color w:val="191919"/>
          <w:sz w:val="20"/>
          <w:szCs w:val="20"/>
        </w:rPr>
        <w:t xml:space="preserve"> </w:t>
      </w:r>
      <w:r>
        <w:rPr>
          <w:rFonts w:ascii="Arial" w:eastAsia="Arial" w:hAnsi="Arial" w:cs="Arial"/>
          <w:color w:val="191919"/>
          <w:sz w:val="20"/>
          <w:szCs w:val="20"/>
        </w:rPr>
        <w:t>Tlalnepantla de Baz, Valle de Chalco Solidaridad, Almoloya de Juárez Ixtlahuaca, Jiquipilco, Lerma, Metepec, Mexicaltzingo, Ocoyoacac, San Felipe del Progreso, San Mateo Atenco, Tenango del Valle, Toluca, Xonacatlán, Zinacantepec, Joquicingo y Tejupilco</w:t>
      </w:r>
    </w:p>
    <w:p w:rsidR="00031F2C" w:rsidRDefault="00031F2C">
      <w:pPr>
        <w:spacing w:after="0" w:line="240" w:lineRule="auto"/>
        <w:rPr>
          <w:sz w:val="20"/>
          <w:szCs w:val="20"/>
        </w:rPr>
      </w:pPr>
    </w:p>
    <w:p w:rsidR="00031F2C" w:rsidRDefault="00031F2C">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F2C" w:rsidRDefault="0014440E">
    <w:pPr>
      <w:pBdr>
        <w:top w:val="nil"/>
        <w:left w:val="nil"/>
        <w:bottom w:val="nil"/>
        <w:right w:val="nil"/>
        <w:between w:val="nil"/>
      </w:pBdr>
      <w:tabs>
        <w:tab w:val="center" w:pos="4419"/>
        <w:tab w:val="right" w:pos="8838"/>
      </w:tabs>
      <w:spacing w:after="0" w:line="240" w:lineRule="auto"/>
      <w:rPr>
        <w:color w:val="000000"/>
        <w:sz w:val="24"/>
        <w:szCs w:val="24"/>
      </w:rPr>
    </w:pPr>
    <w:r>
      <w:rPr>
        <w:noProof/>
        <w:lang w:val="en-US"/>
      </w:rPr>
      <w:drawing>
        <wp:anchor distT="0" distB="0" distL="0" distR="0" simplePos="0" relativeHeight="251658240" behindDoc="1" locked="0" layoutInCell="1" hidden="0" allowOverlap="1">
          <wp:simplePos x="0" y="0"/>
          <wp:positionH relativeFrom="column">
            <wp:posOffset>-807719</wp:posOffset>
          </wp:positionH>
          <wp:positionV relativeFrom="paragraph">
            <wp:posOffset>-465454</wp:posOffset>
          </wp:positionV>
          <wp:extent cx="7794654" cy="10087199"/>
          <wp:effectExtent l="0" t="0" r="0" b="0"/>
          <wp:wrapNone/>
          <wp:docPr id="2" name="image1.png"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Texto, Aplicación&#10;&#10;Descripción generada automáticamente"/>
                  <pic:cNvPicPr preferRelativeResize="0"/>
                </pic:nvPicPr>
                <pic:blipFill>
                  <a:blip r:embed="rId1"/>
                  <a:srcRect/>
                  <a:stretch>
                    <a:fillRect/>
                  </a:stretch>
                </pic:blipFill>
                <pic:spPr>
                  <a:xfrm>
                    <a:off x="0" y="0"/>
                    <a:ext cx="7794654" cy="1008719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33BEE"/>
    <w:multiLevelType w:val="multilevel"/>
    <w:tmpl w:val="D96C86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665224EB"/>
    <w:multiLevelType w:val="multilevel"/>
    <w:tmpl w:val="297AA8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F2C"/>
    <w:rsid w:val="00031F2C"/>
    <w:rsid w:val="000A4688"/>
    <w:rsid w:val="0014440E"/>
    <w:rsid w:val="001B0771"/>
    <w:rsid w:val="003749E1"/>
    <w:rsid w:val="00421EFF"/>
    <w:rsid w:val="0044152B"/>
    <w:rsid w:val="004E4B6C"/>
    <w:rsid w:val="00702E3B"/>
    <w:rsid w:val="00861D62"/>
    <w:rsid w:val="008C3872"/>
    <w:rsid w:val="008C3A7F"/>
    <w:rsid w:val="008D2409"/>
    <w:rsid w:val="00907DF8"/>
    <w:rsid w:val="00B57D05"/>
    <w:rsid w:val="00BD00A8"/>
    <w:rsid w:val="00C03CE2"/>
    <w:rsid w:val="00C426EE"/>
    <w:rsid w:val="00CE3618"/>
    <w:rsid w:val="00D11979"/>
    <w:rsid w:val="00E53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9B057-BA7E-4EFF-B6B9-97049ABB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6F8"/>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2776E3"/>
    <w:pPr>
      <w:tabs>
        <w:tab w:val="center" w:pos="4419"/>
        <w:tab w:val="right" w:pos="8838"/>
      </w:tabs>
      <w:spacing w:after="0" w:line="240" w:lineRule="auto"/>
    </w:pPr>
    <w:rPr>
      <w:sz w:val="24"/>
      <w:szCs w:val="24"/>
    </w:rPr>
  </w:style>
  <w:style w:type="character" w:customStyle="1" w:styleId="EncabezadoCar">
    <w:name w:val="Encabezado Car"/>
    <w:basedOn w:val="Fuentedeprrafopredeter"/>
    <w:link w:val="Encabezado"/>
    <w:uiPriority w:val="99"/>
    <w:rsid w:val="002776E3"/>
  </w:style>
  <w:style w:type="paragraph" w:styleId="Piedepgina">
    <w:name w:val="footer"/>
    <w:basedOn w:val="Normal"/>
    <w:link w:val="PiedepginaCar"/>
    <w:uiPriority w:val="99"/>
    <w:unhideWhenUsed/>
    <w:rsid w:val="002776E3"/>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2776E3"/>
  </w:style>
  <w:style w:type="paragraph" w:styleId="Prrafodelista">
    <w:name w:val="List Paragraph"/>
    <w:basedOn w:val="Normal"/>
    <w:uiPriority w:val="34"/>
    <w:qFormat/>
    <w:rsid w:val="00170238"/>
    <w:pPr>
      <w:spacing w:after="200" w:line="276" w:lineRule="auto"/>
      <w:ind w:left="720"/>
      <w:contextualSpacing/>
    </w:pPr>
  </w:style>
  <w:style w:type="paragraph" w:styleId="Sinespaciado">
    <w:name w:val="No Spacing"/>
    <w:uiPriority w:val="1"/>
    <w:qFormat/>
    <w:rsid w:val="009A1E3A"/>
  </w:style>
  <w:style w:type="table" w:styleId="Tablaconcuadrcula">
    <w:name w:val="Table Grid"/>
    <w:basedOn w:val="Tablanormal"/>
    <w:uiPriority w:val="39"/>
    <w:rsid w:val="00B87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759D"/>
    <w:rPr>
      <w:lang w:val="es-ES_tradnl"/>
    </w:rPr>
  </w:style>
  <w:style w:type="paragraph" w:customStyle="1" w:styleId="Predeterminado">
    <w:name w:val="Predeterminado"/>
    <w:rsid w:val="00B8759D"/>
    <w:pPr>
      <w:pBdr>
        <w:top w:val="nil"/>
        <w:left w:val="nil"/>
        <w:bottom w:val="nil"/>
        <w:right w:val="nil"/>
        <w:between w:val="nil"/>
        <w:bar w:val="nil"/>
      </w:pBdr>
      <w:spacing w:before="160"/>
    </w:pPr>
    <w:rPr>
      <w:rFonts w:ascii="Arial" w:eastAsia="Arial" w:hAnsi="Arial" w:cs="Arial"/>
      <w:color w:val="000000"/>
      <w:sz w:val="26"/>
      <w:szCs w:val="26"/>
      <w:bdr w:val="nil"/>
      <w:lang w:eastAsia="es-MX"/>
    </w:rPr>
  </w:style>
  <w:style w:type="table" w:customStyle="1" w:styleId="Cuadrculadetablaclara1">
    <w:name w:val="Cuadrícula de tabla clara1"/>
    <w:basedOn w:val="Tablanormal"/>
    <w:uiPriority w:val="40"/>
    <w:rsid w:val="00B8759D"/>
    <w:pPr>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B00C3A"/>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2006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06F8"/>
    <w:rPr>
      <w:sz w:val="20"/>
      <w:szCs w:val="20"/>
    </w:rPr>
  </w:style>
  <w:style w:type="character" w:styleId="Refdenotaalpie">
    <w:name w:val="footnote reference"/>
    <w:basedOn w:val="Fuentedeprrafopredeter"/>
    <w:uiPriority w:val="99"/>
    <w:semiHidden/>
    <w:unhideWhenUsed/>
    <w:rsid w:val="002006F8"/>
    <w:rPr>
      <w:vertAlign w:val="superscript"/>
    </w:rPr>
  </w:style>
  <w:style w:type="character" w:styleId="Hipervnculo">
    <w:name w:val="Hyperlink"/>
    <w:basedOn w:val="Fuentedeprrafopredeter"/>
    <w:uiPriority w:val="99"/>
    <w:unhideWhenUsed/>
    <w:rsid w:val="00532B52"/>
    <w:rPr>
      <w:color w:val="0563C1" w:themeColor="hyperlink"/>
      <w:u w:val="single"/>
    </w:rPr>
  </w:style>
  <w:style w:type="character" w:customStyle="1" w:styleId="Mencinsinresolver1">
    <w:name w:val="Mención sin resolver1"/>
    <w:basedOn w:val="Fuentedeprrafopredeter"/>
    <w:uiPriority w:val="99"/>
    <w:semiHidden/>
    <w:unhideWhenUsed/>
    <w:rsid w:val="00532B52"/>
    <w:rPr>
      <w:color w:val="605E5C"/>
      <w:shd w:val="clear" w:color="auto" w:fill="E1DFDD"/>
    </w:rPr>
  </w:style>
  <w:style w:type="paragraph" w:styleId="Textodeglobo">
    <w:name w:val="Balloon Text"/>
    <w:basedOn w:val="Normal"/>
    <w:link w:val="TextodegloboCar"/>
    <w:uiPriority w:val="99"/>
    <w:semiHidden/>
    <w:unhideWhenUsed/>
    <w:rsid w:val="004930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30A2"/>
    <w:rPr>
      <w:rFonts w:ascii="Segoe UI" w:hAnsi="Segoe UI" w:cs="Segoe UI"/>
      <w:sz w:val="18"/>
      <w:szCs w:val="18"/>
    </w:rPr>
  </w:style>
  <w:style w:type="paragraph" w:styleId="NormalWeb">
    <w:name w:val="Normal (Web)"/>
    <w:basedOn w:val="Normal"/>
    <w:uiPriority w:val="99"/>
    <w:semiHidden/>
    <w:unhideWhenUsed/>
    <w:rsid w:val="000018A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jc w:val="both"/>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wmo.int/en/earlywarningsforal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wmo.int/en/earlywarningsforal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wmo.int/en/earlywarningsforal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ublic.wmo.int/en/earlywarningsforall" TargetMode="External"/><Relationship Id="rId4" Type="http://schemas.openxmlformats.org/officeDocument/2006/relationships/settings" Target="settings.xml"/><Relationship Id="rId9" Type="http://schemas.openxmlformats.org/officeDocument/2006/relationships/hyperlink" Target="https://public.wmo.int/en/earlywarningsforal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x4/EqXka8M9aYxDCKfpYYqZ6Iw==">AMUW2mWawf0pjl7nsECicxzGGX7/6j4WfKe6kjrIAkof72Y6xutjwFqk/dIsGzZg7wcqktYExP5CUVpGhH6BQ9neVxydlgbqSgAKcanTSTF9Qogwfp18eFyi9d0WSwRtpgzrLLDI4Ldj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2757</Words>
  <Characters>15165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del Carmen Alverde Altamira</dc:creator>
  <cp:lastModifiedBy>PRODESK</cp:lastModifiedBy>
  <cp:revision>2</cp:revision>
  <cp:lastPrinted>2022-11-24T18:59:00Z</cp:lastPrinted>
  <dcterms:created xsi:type="dcterms:W3CDTF">2022-11-30T20:06:00Z</dcterms:created>
  <dcterms:modified xsi:type="dcterms:W3CDTF">2022-11-30T20:06:00Z</dcterms:modified>
</cp:coreProperties>
</file>