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35A91" w14:textId="7E0442AD" w:rsidR="00274A1D" w:rsidRDefault="006746B5" w:rsidP="00C16CD9">
      <w:pPr>
        <w:pStyle w:val="Ttulo1"/>
        <w:sectPr w:rsidR="00274A1D" w:rsidSect="00274A1D">
          <w:headerReference w:type="default" r:id="rId8"/>
          <w:headerReference w:type="first" r:id="rId9"/>
          <w:pgSz w:w="12240" w:h="15840"/>
          <w:pgMar w:top="3119" w:right="1701" w:bottom="2268" w:left="1701" w:header="709" w:footer="709" w:gutter="0"/>
          <w:cols w:space="708"/>
          <w:docGrid w:linePitch="360"/>
        </w:sectPr>
      </w:pPr>
      <w:r>
        <w:rPr>
          <w:noProof/>
        </w:rPr>
        <mc:AlternateContent>
          <mc:Choice Requires="wps">
            <w:drawing>
              <wp:anchor distT="0" distB="0" distL="114300" distR="114300" simplePos="0" relativeHeight="251661312" behindDoc="0" locked="0" layoutInCell="1" allowOverlap="1" wp14:anchorId="73D1B683" wp14:editId="46E0F0CA">
                <wp:simplePos x="0" y="0"/>
                <wp:positionH relativeFrom="column">
                  <wp:posOffset>1962868</wp:posOffset>
                </wp:positionH>
                <wp:positionV relativeFrom="paragraph">
                  <wp:posOffset>4052976</wp:posOffset>
                </wp:positionV>
                <wp:extent cx="4148455" cy="620385"/>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4148455" cy="620385"/>
                        </a:xfrm>
                        <a:prstGeom prst="rect">
                          <a:avLst/>
                        </a:prstGeom>
                        <a:noFill/>
                        <a:ln w="6350">
                          <a:noFill/>
                        </a:ln>
                      </wps:spPr>
                      <wps:txbx>
                        <w:txbxContent>
                          <w:p w14:paraId="229FBDB7" w14:textId="7BBC6E18" w:rsidR="006746B5" w:rsidRPr="00411788" w:rsidRDefault="00C16CD9" w:rsidP="005A7A9C">
                            <w:pPr>
                              <w:jc w:val="left"/>
                              <w:rPr>
                                <w:rFonts w:ascii="Helvetica Neue Light" w:hAnsi="Helvetica Neue Light"/>
                                <w:color w:val="565858"/>
                                <w:sz w:val="20"/>
                                <w:szCs w:val="20"/>
                                <w:lang w:val="es-ES"/>
                              </w:rPr>
                            </w:pPr>
                            <w:r w:rsidRPr="00C16CD9">
                              <w:rPr>
                                <w:rFonts w:ascii="Helvetica Neue Light" w:hAnsi="Helvetica Neue Light"/>
                                <w:color w:val="565858"/>
                                <w:sz w:val="24"/>
                                <w:lang w:val="es-ES"/>
                              </w:rPr>
                              <w:t>Paulina Alejandra Corona Mendoza</w:t>
                            </w:r>
                            <w:r w:rsidR="006746B5">
                              <w:rPr>
                                <w:rFonts w:ascii="Helvetica Neue Light" w:hAnsi="Helvetica Neue Light"/>
                                <w:color w:val="565858"/>
                                <w:sz w:val="30"/>
                                <w:szCs w:val="30"/>
                                <w:lang w:val="es-ES"/>
                              </w:rPr>
                              <w:br/>
                            </w:r>
                            <w:r w:rsidRPr="00C16CD9">
                              <w:rPr>
                                <w:rFonts w:ascii="Helvetica Neue Light" w:hAnsi="Helvetica Neue Light"/>
                                <w:color w:val="565858"/>
                                <w:sz w:val="20"/>
                                <w:szCs w:val="20"/>
                                <w:lang w:val="es-ES"/>
                              </w:rPr>
                              <w:t>Estudiante de la Licenciatura en Sociología</w:t>
                            </w:r>
                          </w:p>
                          <w:p w14:paraId="644A98AA" w14:textId="3CDDC372" w:rsidR="00274A1D" w:rsidRPr="00274A1D" w:rsidRDefault="00274A1D" w:rsidP="00274A1D">
                            <w:pPr>
                              <w:rPr>
                                <w:rFonts w:ascii="Helvetica Neue Light" w:hAnsi="Helvetica Neue Light"/>
                                <w:color w:val="565858"/>
                                <w:sz w:val="36"/>
                                <w:szCs w:val="36"/>
                                <w:lang w:val="es-E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D1B683" id="_x0000_t202" coordsize="21600,21600" o:spt="202" path="m,l,21600r21600,l21600,xe">
                <v:stroke joinstyle="miter"/>
                <v:path gradientshapeok="t" o:connecttype="rect"/>
              </v:shapetype>
              <v:shape id="Cuadro de texto 5" o:spid="_x0000_s1026" type="#_x0000_t202" style="position:absolute;margin-left:154.55pt;margin-top:319.15pt;width:326.65pt;height:4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" filled="f" stroked="f" strokeweight=".5pt">
                <v:textbox>
                  <w:txbxContent>
                    <w:p w14:paraId="229FBDB7" w14:textId="7BBC6E18" w:rsidR="006746B5" w:rsidRPr="00411788" w:rsidRDefault="00C16CD9" w:rsidP="005A7A9C">
                      <w:pPr>
                        <w:jc w:val="left"/>
                        <w:rPr>
                          <w:rFonts w:ascii="Helvetica Neue Light" w:hAnsi="Helvetica Neue Light"/>
                          <w:color w:val="565858"/>
                          <w:sz w:val="20"/>
                          <w:szCs w:val="20"/>
                          <w:lang w:val="es-ES"/>
                        </w:rPr>
                      </w:pPr>
                      <w:r w:rsidRPr="00C16CD9">
                        <w:rPr>
                          <w:rFonts w:ascii="Helvetica Neue Light" w:hAnsi="Helvetica Neue Light"/>
                          <w:color w:val="565858"/>
                          <w:sz w:val="24"/>
                          <w:lang w:val="es-ES"/>
                        </w:rPr>
                        <w:t>Paulina Alejandra Corona Mendoza</w:t>
                      </w:r>
                      <w:r w:rsidR="006746B5">
                        <w:rPr>
                          <w:rFonts w:ascii="Helvetica Neue Light" w:hAnsi="Helvetica Neue Light"/>
                          <w:color w:val="565858"/>
                          <w:sz w:val="30"/>
                          <w:szCs w:val="30"/>
                          <w:lang w:val="es-ES"/>
                        </w:rPr>
                        <w:br/>
                      </w:r>
                      <w:r w:rsidRPr="00C16CD9">
                        <w:rPr>
                          <w:rFonts w:ascii="Helvetica Neue Light" w:hAnsi="Helvetica Neue Light"/>
                          <w:color w:val="565858"/>
                          <w:sz w:val="20"/>
                          <w:szCs w:val="20"/>
                          <w:lang w:val="es-ES"/>
                        </w:rPr>
                        <w:t>Estudiante de la Licenciatura en Sociología</w:t>
                      </w:r>
                    </w:p>
                    <w:p w14:paraId="644A98AA" w14:textId="3CDDC372" w:rsidR="00274A1D" w:rsidRPr="00274A1D" w:rsidRDefault="00274A1D" w:rsidP="00274A1D">
                      <w:pPr>
                        <w:rPr>
                          <w:rFonts w:ascii="Helvetica Neue Light" w:hAnsi="Helvetica Neue Light"/>
                          <w:color w:val="565858"/>
                          <w:sz w:val="36"/>
                          <w:szCs w:val="36"/>
                          <w:lang w:val="es-ES"/>
                        </w:rPr>
                      </w:pPr>
                    </w:p>
                  </w:txbxContent>
                </v:textbox>
              </v:shape>
            </w:pict>
          </mc:Fallback>
        </mc:AlternateContent>
      </w:r>
      <w:r w:rsidR="00274A1D">
        <w:rPr>
          <w:noProof/>
        </w:rPr>
        <mc:AlternateContent>
          <mc:Choice Requires="wps">
            <w:drawing>
              <wp:anchor distT="0" distB="0" distL="114300" distR="114300" simplePos="0" relativeHeight="251662336" behindDoc="0" locked="0" layoutInCell="1" allowOverlap="1" wp14:anchorId="48C49293" wp14:editId="5547E546">
                <wp:simplePos x="0" y="0"/>
                <wp:positionH relativeFrom="column">
                  <wp:posOffset>1955165</wp:posOffset>
                </wp:positionH>
                <wp:positionV relativeFrom="paragraph">
                  <wp:posOffset>3973195</wp:posOffset>
                </wp:positionV>
                <wp:extent cx="4148455" cy="0"/>
                <wp:effectExtent l="0" t="0" r="17145" b="12700"/>
                <wp:wrapNone/>
                <wp:docPr id="6" name="Conector recto 6"/>
                <wp:cNvGraphicFramePr/>
                <a:graphic xmlns:a="http://schemas.openxmlformats.org/drawingml/2006/main">
                  <a:graphicData uri="http://schemas.microsoft.com/office/word/2010/wordprocessingShape">
                    <wps:wsp>
                      <wps:cNvCnPr/>
                      <wps:spPr>
                        <a:xfrm>
                          <a:off x="0" y="0"/>
                          <a:ext cx="4148455" cy="0"/>
                        </a:xfrm>
                        <a:prstGeom prst="line">
                          <a:avLst/>
                        </a:prstGeom>
                        <a:ln w="12700">
                          <a:solidFill>
                            <a:srgbClr val="A4CBC9"/>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545EB7" id="Conector recto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3.95pt,312.85pt" to="480.6pt,312.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" strokecolor="#a4cbc9" strokeweight="1pt">
                <v:stroke joinstyle="miter"/>
              </v:line>
            </w:pict>
          </mc:Fallback>
        </mc:AlternateContent>
      </w:r>
      <w:r w:rsidR="00274A1D" w:rsidRPr="000F6FBD">
        <w:rPr>
          <w:noProof/>
        </w:rPr>
        <w:drawing>
          <wp:anchor distT="0" distB="0" distL="114300" distR="114300" simplePos="0" relativeHeight="251658240" behindDoc="1" locked="0" layoutInCell="1" allowOverlap="1" wp14:anchorId="4C8E7945" wp14:editId="5DCD2D3F">
            <wp:simplePos x="0" y="0"/>
            <wp:positionH relativeFrom="margin">
              <wp:posOffset>-1105535</wp:posOffset>
            </wp:positionH>
            <wp:positionV relativeFrom="paragraph">
              <wp:posOffset>-2032940</wp:posOffset>
            </wp:positionV>
            <wp:extent cx="7822565" cy="10123805"/>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22565" cy="10123805"/>
                    </a:xfrm>
                    <a:prstGeom prst="rect">
                      <a:avLst/>
                    </a:prstGeom>
                  </pic:spPr>
                </pic:pic>
              </a:graphicData>
            </a:graphic>
            <wp14:sizeRelH relativeFrom="page">
              <wp14:pctWidth>0</wp14:pctWidth>
            </wp14:sizeRelH>
            <wp14:sizeRelV relativeFrom="page">
              <wp14:pctHeight>0</wp14:pctHeight>
            </wp14:sizeRelV>
          </wp:anchor>
        </w:drawing>
      </w:r>
      <w:r w:rsidR="00274A1D">
        <w:rPr>
          <w:noProof/>
        </w:rPr>
        <mc:AlternateContent>
          <mc:Choice Requires="wps">
            <w:drawing>
              <wp:anchor distT="0" distB="0" distL="114300" distR="114300" simplePos="0" relativeHeight="251659264" behindDoc="0" locked="0" layoutInCell="1" allowOverlap="1" wp14:anchorId="19E53EB8" wp14:editId="4D89B60A">
                <wp:simplePos x="0" y="0"/>
                <wp:positionH relativeFrom="column">
                  <wp:posOffset>1961016</wp:posOffset>
                </wp:positionH>
                <wp:positionV relativeFrom="paragraph">
                  <wp:posOffset>1615390</wp:posOffset>
                </wp:positionV>
                <wp:extent cx="4148455" cy="2276889"/>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4148455" cy="2276889"/>
                        </a:xfrm>
                        <a:prstGeom prst="rect">
                          <a:avLst/>
                        </a:prstGeom>
                        <a:noFill/>
                        <a:ln w="6350">
                          <a:noFill/>
                        </a:ln>
                      </wps:spPr>
                      <wps:txbx>
                        <w:txbxContent>
                          <w:p w14:paraId="084DDCB5" w14:textId="38564571" w:rsidR="00274A1D" w:rsidRPr="00274A1D" w:rsidRDefault="00C16CD9"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Sistema de pensiones en el Estado de México</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E53EB8" id="Cuadro de texto 4" o:spid="_x0000_s1027" type="#_x0000_t202" style="position:absolute;margin-left:154.4pt;margin-top:127.2pt;width:326.65pt;height:17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" filled="f" stroked="f" strokeweight=".5pt">
                <v:textbox>
                  <w:txbxContent>
                    <w:p w14:paraId="084DDCB5" w14:textId="38564571" w:rsidR="00274A1D" w:rsidRPr="00274A1D" w:rsidRDefault="00C16CD9" w:rsidP="00274A1D">
                      <w:pPr>
                        <w:rPr>
                          <w:rFonts w:ascii="HELVETICA NEUE CONDENSED" w:hAnsi="HELVETICA NEUE CONDENSED"/>
                          <w:b/>
                          <w:bCs/>
                          <w:color w:val="00285F"/>
                          <w:sz w:val="60"/>
                          <w:szCs w:val="60"/>
                          <w:lang w:val="es-ES"/>
                        </w:rPr>
                      </w:pPr>
                      <w:r>
                        <w:rPr>
                          <w:rFonts w:ascii="HELVETICA NEUE CONDENSED" w:hAnsi="HELVETICA NEUE CONDENSED"/>
                          <w:b/>
                          <w:bCs/>
                          <w:color w:val="00285F"/>
                          <w:sz w:val="60"/>
                          <w:szCs w:val="60"/>
                          <w:lang w:val="es-ES"/>
                        </w:rPr>
                        <w:t>Sistema de pensiones en el Estado de México</w:t>
                      </w:r>
                    </w:p>
                  </w:txbxContent>
                </v:textbox>
              </v:shape>
            </w:pict>
          </mc:Fallback>
        </mc:AlternateContent>
      </w:r>
    </w:p>
    <w:p w14:paraId="1A9F6BD0" w14:textId="77777777" w:rsidR="00C16CD9" w:rsidRDefault="00C16CD9" w:rsidP="00C16CD9">
      <w:pPr>
        <w:rPr>
          <w:rFonts w:ascii="Arial" w:hAnsi="Arial" w:cs="Arial"/>
          <w:sz w:val="24"/>
        </w:rPr>
      </w:pPr>
    </w:p>
    <w:p w14:paraId="6D3F2069" w14:textId="77777777" w:rsidR="00C16CD9" w:rsidRDefault="00C16CD9" w:rsidP="00C16CD9">
      <w:pPr>
        <w:rPr>
          <w:rFonts w:ascii="Arial" w:hAnsi="Arial" w:cs="Arial"/>
          <w:sz w:val="24"/>
        </w:rPr>
      </w:pPr>
    </w:p>
    <w:p w14:paraId="798015A1" w14:textId="77777777" w:rsidR="00C16CD9" w:rsidRDefault="00C16CD9" w:rsidP="00C16CD9">
      <w:pPr>
        <w:rPr>
          <w:rFonts w:ascii="Arial" w:hAnsi="Arial" w:cs="Arial"/>
          <w:sz w:val="24"/>
        </w:rPr>
      </w:pPr>
    </w:p>
    <w:p w14:paraId="175938F3" w14:textId="77777777" w:rsidR="00C16CD9" w:rsidRDefault="00C16CD9" w:rsidP="00C16CD9">
      <w:pPr>
        <w:rPr>
          <w:rFonts w:ascii="Arial" w:hAnsi="Arial" w:cs="Arial"/>
          <w:sz w:val="24"/>
        </w:rPr>
      </w:pPr>
    </w:p>
    <w:p w14:paraId="425257AC" w14:textId="77777777" w:rsidR="00C16CD9" w:rsidRDefault="00C16CD9" w:rsidP="00C16CD9">
      <w:pPr>
        <w:rPr>
          <w:rFonts w:ascii="Arial" w:hAnsi="Arial" w:cs="Arial"/>
          <w:sz w:val="24"/>
        </w:rPr>
      </w:pPr>
    </w:p>
    <w:p w14:paraId="7A388B85" w14:textId="77777777" w:rsidR="00C16CD9" w:rsidRDefault="00C16CD9" w:rsidP="00C16CD9">
      <w:pPr>
        <w:rPr>
          <w:rFonts w:ascii="Arial" w:hAnsi="Arial" w:cs="Arial"/>
          <w:sz w:val="24"/>
        </w:rPr>
      </w:pPr>
    </w:p>
    <w:p w14:paraId="410DF47B" w14:textId="77777777" w:rsidR="00C16CD9" w:rsidRDefault="00C16CD9" w:rsidP="00C16CD9">
      <w:pPr>
        <w:rPr>
          <w:rFonts w:ascii="Arial" w:hAnsi="Arial" w:cs="Arial"/>
          <w:sz w:val="24"/>
        </w:rPr>
      </w:pPr>
    </w:p>
    <w:p w14:paraId="06F3461B" w14:textId="77777777" w:rsidR="00C16CD9" w:rsidRDefault="00C16CD9" w:rsidP="00C16CD9">
      <w:pPr>
        <w:rPr>
          <w:rFonts w:ascii="Arial" w:hAnsi="Arial" w:cs="Arial"/>
          <w:sz w:val="24"/>
        </w:rPr>
      </w:pPr>
    </w:p>
    <w:p w14:paraId="36CF7457" w14:textId="77777777" w:rsidR="00C16CD9" w:rsidRDefault="00C16CD9" w:rsidP="00C16CD9">
      <w:pPr>
        <w:rPr>
          <w:rFonts w:ascii="Arial" w:hAnsi="Arial" w:cs="Arial"/>
          <w:sz w:val="24"/>
        </w:rPr>
      </w:pPr>
    </w:p>
    <w:p w14:paraId="04AFC0C7" w14:textId="77777777" w:rsidR="00C16CD9" w:rsidRDefault="00C16CD9" w:rsidP="00C16CD9">
      <w:pPr>
        <w:rPr>
          <w:rFonts w:ascii="Arial" w:hAnsi="Arial" w:cs="Arial"/>
          <w:sz w:val="24"/>
        </w:rPr>
      </w:pPr>
    </w:p>
    <w:p w14:paraId="76C257A0" w14:textId="77777777" w:rsidR="00C16CD9" w:rsidRDefault="00C16CD9" w:rsidP="00C16CD9">
      <w:pPr>
        <w:rPr>
          <w:rFonts w:ascii="Arial" w:hAnsi="Arial" w:cs="Arial"/>
          <w:sz w:val="24"/>
        </w:rPr>
      </w:pPr>
    </w:p>
    <w:p w14:paraId="15253879" w14:textId="77777777" w:rsidR="00C16CD9" w:rsidRDefault="00C16CD9" w:rsidP="00C16CD9">
      <w:pPr>
        <w:rPr>
          <w:rFonts w:ascii="Arial" w:hAnsi="Arial" w:cs="Arial"/>
          <w:sz w:val="24"/>
        </w:rPr>
      </w:pPr>
    </w:p>
    <w:p w14:paraId="6509F24C" w14:textId="77777777" w:rsidR="00C16CD9" w:rsidRDefault="00C16CD9" w:rsidP="00C16CD9">
      <w:pPr>
        <w:rPr>
          <w:rFonts w:ascii="Arial" w:hAnsi="Arial" w:cs="Arial"/>
          <w:sz w:val="24"/>
        </w:rPr>
      </w:pPr>
    </w:p>
    <w:p w14:paraId="48B4FE74" w14:textId="77777777" w:rsidR="00C16CD9" w:rsidRDefault="00C16CD9" w:rsidP="00C16CD9">
      <w:pPr>
        <w:rPr>
          <w:rFonts w:ascii="Arial" w:hAnsi="Arial" w:cs="Arial"/>
          <w:sz w:val="24"/>
        </w:rPr>
      </w:pPr>
    </w:p>
    <w:p w14:paraId="2BD8D19B" w14:textId="77777777" w:rsidR="00C16CD9" w:rsidRDefault="00C16CD9" w:rsidP="00C16CD9">
      <w:pPr>
        <w:rPr>
          <w:rFonts w:ascii="Arial" w:hAnsi="Arial" w:cs="Arial"/>
          <w:sz w:val="24"/>
        </w:rPr>
      </w:pPr>
    </w:p>
    <w:p w14:paraId="3BFA76AA" w14:textId="77777777" w:rsidR="00C16CD9" w:rsidRDefault="00C16CD9" w:rsidP="00C16CD9">
      <w:pPr>
        <w:rPr>
          <w:rFonts w:ascii="Arial" w:hAnsi="Arial" w:cs="Arial"/>
          <w:sz w:val="24"/>
        </w:rPr>
      </w:pPr>
    </w:p>
    <w:p w14:paraId="3323AC62" w14:textId="77777777" w:rsidR="00C16CD9" w:rsidRDefault="00C16CD9" w:rsidP="00C16CD9">
      <w:pPr>
        <w:rPr>
          <w:rFonts w:ascii="Arial" w:hAnsi="Arial" w:cs="Arial"/>
          <w:sz w:val="24"/>
        </w:rPr>
      </w:pPr>
    </w:p>
    <w:p w14:paraId="5BFF6B62" w14:textId="77777777" w:rsidR="00C16CD9" w:rsidRDefault="00C16CD9" w:rsidP="00C16CD9">
      <w:pPr>
        <w:rPr>
          <w:rFonts w:ascii="Arial" w:hAnsi="Arial" w:cs="Arial"/>
          <w:sz w:val="24"/>
        </w:rPr>
      </w:pPr>
    </w:p>
    <w:p w14:paraId="312BD89D" w14:textId="77777777" w:rsidR="00C16CD9" w:rsidRDefault="00C16CD9" w:rsidP="00C16CD9">
      <w:pPr>
        <w:rPr>
          <w:rFonts w:ascii="Arial" w:hAnsi="Arial" w:cs="Arial"/>
          <w:sz w:val="24"/>
        </w:rPr>
      </w:pPr>
    </w:p>
    <w:p w14:paraId="7FB7D8F9" w14:textId="77777777" w:rsidR="00C16CD9" w:rsidRDefault="00C16CD9" w:rsidP="00C16CD9">
      <w:pPr>
        <w:rPr>
          <w:rFonts w:ascii="Arial" w:hAnsi="Arial" w:cs="Arial"/>
          <w:sz w:val="24"/>
        </w:rPr>
      </w:pPr>
    </w:p>
    <w:p w14:paraId="1FB03B0A" w14:textId="77777777" w:rsidR="00C16CD9" w:rsidRDefault="00C16CD9" w:rsidP="00C16CD9">
      <w:pPr>
        <w:rPr>
          <w:rFonts w:ascii="Arial" w:hAnsi="Arial" w:cs="Arial"/>
          <w:sz w:val="24"/>
        </w:rPr>
      </w:pPr>
    </w:p>
    <w:p w14:paraId="0D79752F" w14:textId="77777777" w:rsidR="00C16CD9" w:rsidRDefault="00C16CD9" w:rsidP="00C16CD9">
      <w:pPr>
        <w:rPr>
          <w:rFonts w:ascii="Arial" w:hAnsi="Arial" w:cs="Arial"/>
          <w:sz w:val="24"/>
        </w:rPr>
      </w:pPr>
    </w:p>
    <w:p w14:paraId="690C43BB" w14:textId="77777777" w:rsidR="00C16CD9" w:rsidRDefault="00C16CD9" w:rsidP="00C16CD9">
      <w:pPr>
        <w:rPr>
          <w:rFonts w:ascii="Arial" w:hAnsi="Arial" w:cs="Arial"/>
          <w:sz w:val="24"/>
        </w:rPr>
      </w:pPr>
    </w:p>
    <w:p w14:paraId="11FB1BA9" w14:textId="77777777" w:rsidR="00C16CD9" w:rsidRDefault="00C16CD9" w:rsidP="00C16CD9">
      <w:pPr>
        <w:rPr>
          <w:rFonts w:ascii="Arial" w:hAnsi="Arial" w:cs="Arial"/>
          <w:sz w:val="24"/>
        </w:rPr>
      </w:pPr>
    </w:p>
    <w:p w14:paraId="45975F8D" w14:textId="77777777" w:rsidR="00C16CD9" w:rsidRDefault="00C16CD9" w:rsidP="00C16CD9">
      <w:pPr>
        <w:rPr>
          <w:rFonts w:ascii="Arial" w:hAnsi="Arial" w:cs="Arial"/>
          <w:sz w:val="24"/>
        </w:rPr>
      </w:pPr>
    </w:p>
    <w:p w14:paraId="4769A033" w14:textId="77777777" w:rsidR="00C16CD9" w:rsidRDefault="00C16CD9" w:rsidP="00C16CD9">
      <w:pPr>
        <w:rPr>
          <w:rFonts w:ascii="Arial" w:hAnsi="Arial" w:cs="Arial"/>
          <w:sz w:val="24"/>
        </w:rPr>
      </w:pPr>
    </w:p>
    <w:p w14:paraId="6AB69DA7" w14:textId="77777777" w:rsidR="00C16CD9" w:rsidRDefault="00C16CD9" w:rsidP="00C16CD9">
      <w:pPr>
        <w:rPr>
          <w:rFonts w:ascii="Arial" w:hAnsi="Arial" w:cs="Arial"/>
          <w:sz w:val="24"/>
        </w:rPr>
      </w:pPr>
    </w:p>
    <w:p w14:paraId="58A5ECC8" w14:textId="77777777" w:rsidR="00C16CD9" w:rsidRDefault="00C16CD9" w:rsidP="00C16CD9">
      <w:pPr>
        <w:rPr>
          <w:rFonts w:ascii="Arial" w:hAnsi="Arial" w:cs="Arial"/>
          <w:sz w:val="24"/>
        </w:rPr>
      </w:pPr>
    </w:p>
    <w:p w14:paraId="03482535" w14:textId="77777777" w:rsidR="00C16CD9" w:rsidRDefault="00C16CD9" w:rsidP="00C16CD9">
      <w:pPr>
        <w:rPr>
          <w:rFonts w:ascii="Arial" w:hAnsi="Arial" w:cs="Arial"/>
          <w:sz w:val="24"/>
        </w:rPr>
      </w:pPr>
    </w:p>
    <w:p w14:paraId="74FEECB5" w14:textId="77777777" w:rsidR="00C16CD9" w:rsidRDefault="00C16CD9" w:rsidP="00C16CD9">
      <w:pPr>
        <w:rPr>
          <w:rFonts w:ascii="Arial" w:hAnsi="Arial" w:cs="Arial"/>
          <w:sz w:val="24"/>
        </w:rPr>
      </w:pPr>
    </w:p>
    <w:p w14:paraId="100FDD5A" w14:textId="77777777" w:rsidR="00C16CD9" w:rsidRDefault="00C16CD9" w:rsidP="00C16CD9">
      <w:pPr>
        <w:rPr>
          <w:rFonts w:ascii="Arial" w:hAnsi="Arial" w:cs="Arial"/>
          <w:sz w:val="24"/>
        </w:rPr>
      </w:pPr>
    </w:p>
    <w:p w14:paraId="4512BB2B" w14:textId="1D166654" w:rsidR="00C16CD9" w:rsidRDefault="00C16CD9" w:rsidP="00C16CD9">
      <w:pPr>
        <w:rPr>
          <w:rFonts w:ascii="Arial" w:hAnsi="Arial" w:cs="Arial"/>
          <w:sz w:val="24"/>
        </w:rPr>
      </w:pPr>
    </w:p>
    <w:p w14:paraId="7F605584" w14:textId="2DBDA137" w:rsidR="00C16CD9" w:rsidRDefault="00C16CD9" w:rsidP="00C16CD9">
      <w:pPr>
        <w:rPr>
          <w:rFonts w:ascii="Arial" w:hAnsi="Arial" w:cs="Arial"/>
          <w:sz w:val="24"/>
        </w:rPr>
      </w:pPr>
    </w:p>
    <w:p w14:paraId="5EDE82FC" w14:textId="1953ECBE" w:rsidR="00C16CD9" w:rsidRDefault="00C16CD9" w:rsidP="00C16CD9">
      <w:pPr>
        <w:rPr>
          <w:rFonts w:ascii="Arial" w:hAnsi="Arial" w:cs="Arial"/>
          <w:sz w:val="24"/>
        </w:rPr>
      </w:pPr>
    </w:p>
    <w:p w14:paraId="43ADFDC7" w14:textId="04EDA372" w:rsidR="00C16CD9" w:rsidRDefault="00C16CD9" w:rsidP="00C16CD9">
      <w:pPr>
        <w:rPr>
          <w:rFonts w:ascii="Arial" w:hAnsi="Arial" w:cs="Arial"/>
          <w:sz w:val="24"/>
        </w:rPr>
      </w:pPr>
    </w:p>
    <w:p w14:paraId="2BA41253" w14:textId="505FBFAF" w:rsidR="00C16CD9" w:rsidRDefault="00C16CD9" w:rsidP="00C16CD9">
      <w:pPr>
        <w:rPr>
          <w:rFonts w:ascii="Arial" w:hAnsi="Arial" w:cs="Arial"/>
          <w:sz w:val="24"/>
        </w:rPr>
      </w:pPr>
    </w:p>
    <w:p w14:paraId="6A3BE89C" w14:textId="77777777" w:rsidR="00C16CD9" w:rsidRDefault="00C16CD9" w:rsidP="00C16CD9">
      <w:pPr>
        <w:rPr>
          <w:rFonts w:ascii="Arial" w:hAnsi="Arial" w:cs="Arial"/>
          <w:sz w:val="24"/>
        </w:rPr>
      </w:pPr>
    </w:p>
    <w:p w14:paraId="57B48E5E" w14:textId="77777777" w:rsidR="00C16CD9" w:rsidRDefault="00C16CD9" w:rsidP="00C16CD9">
      <w:pPr>
        <w:rPr>
          <w:rFonts w:ascii="Arial" w:hAnsi="Arial" w:cs="Arial"/>
          <w:sz w:val="24"/>
        </w:rPr>
      </w:pPr>
    </w:p>
    <w:p w14:paraId="023385E5" w14:textId="21D90CAB" w:rsidR="00C16CD9" w:rsidRPr="00C16CD9" w:rsidRDefault="00C16CD9" w:rsidP="00C16CD9">
      <w:pPr>
        <w:rPr>
          <w:rFonts w:ascii="Arial" w:hAnsi="Arial" w:cs="Arial"/>
          <w:sz w:val="24"/>
        </w:rPr>
      </w:pPr>
      <w:r w:rsidRPr="00541CD0">
        <w:rPr>
          <w:rFonts w:ascii="Arial" w:hAnsi="Arial" w:cs="Arial"/>
          <w:sz w:val="24"/>
        </w:rPr>
        <w:t>Instituto de Estudios Legislativos, Estado de México, Av. Hidalgo Poniente, Número 313, Colonia de la Merced Alameda, C.P. 50080, Toluca, Estado de México “Sistema de pensiones en el Estado de México”.</w:t>
      </w:r>
    </w:p>
    <w:p w14:paraId="064BE9D0" w14:textId="17579612" w:rsidR="00C16CD9" w:rsidRPr="00541CD0" w:rsidRDefault="00C16CD9" w:rsidP="00C16CD9">
      <w:pPr>
        <w:pStyle w:val="Ttulo1"/>
      </w:pPr>
      <w:r w:rsidRPr="00541CD0">
        <w:lastRenderedPageBreak/>
        <w:t>Investigación recopilatoria</w:t>
      </w:r>
    </w:p>
    <w:p w14:paraId="29558B02" w14:textId="77777777" w:rsidR="00C16CD9" w:rsidRPr="00541CD0" w:rsidRDefault="00C16CD9" w:rsidP="00C16CD9">
      <w:pPr>
        <w:jc w:val="center"/>
        <w:rPr>
          <w:rFonts w:ascii="Arial" w:hAnsi="Arial" w:cs="Arial"/>
          <w:b/>
          <w:bCs/>
          <w:sz w:val="24"/>
        </w:rPr>
      </w:pPr>
    </w:p>
    <w:p w14:paraId="51C29947" w14:textId="77777777" w:rsidR="00C16CD9" w:rsidRPr="00541CD0" w:rsidRDefault="00C16CD9" w:rsidP="00C16CD9">
      <w:pPr>
        <w:jc w:val="center"/>
        <w:rPr>
          <w:rFonts w:ascii="Arial" w:hAnsi="Arial" w:cs="Arial"/>
          <w:b/>
          <w:bCs/>
          <w:sz w:val="24"/>
        </w:rPr>
      </w:pPr>
      <w:r w:rsidRPr="00541CD0">
        <w:rPr>
          <w:rFonts w:ascii="Arial" w:hAnsi="Arial" w:cs="Arial"/>
          <w:b/>
          <w:bCs/>
          <w:sz w:val="24"/>
        </w:rPr>
        <w:t>MAP Ma. Isabel Selene Clemente Muñoz</w:t>
      </w:r>
    </w:p>
    <w:p w14:paraId="317F128F" w14:textId="77777777" w:rsidR="00C16CD9" w:rsidRPr="00541CD0" w:rsidRDefault="00C16CD9" w:rsidP="00C16CD9">
      <w:pPr>
        <w:jc w:val="center"/>
        <w:rPr>
          <w:rFonts w:ascii="Arial" w:hAnsi="Arial" w:cs="Arial"/>
          <w:b/>
          <w:bCs/>
          <w:sz w:val="24"/>
        </w:rPr>
      </w:pPr>
      <w:r w:rsidRPr="00541CD0">
        <w:rPr>
          <w:rFonts w:ascii="Arial" w:hAnsi="Arial" w:cs="Arial"/>
          <w:b/>
          <w:bCs/>
          <w:sz w:val="24"/>
        </w:rPr>
        <w:t>Vocal Ejecutivo del Instituto de Estudios Legislativos</w:t>
      </w:r>
    </w:p>
    <w:p w14:paraId="0470D891" w14:textId="77777777" w:rsidR="00C16CD9" w:rsidRPr="00541CD0" w:rsidRDefault="00C16CD9" w:rsidP="00C16CD9">
      <w:pPr>
        <w:rPr>
          <w:rFonts w:ascii="Arial" w:hAnsi="Arial" w:cs="Arial"/>
          <w:b/>
          <w:bCs/>
          <w:sz w:val="24"/>
        </w:rPr>
      </w:pPr>
    </w:p>
    <w:p w14:paraId="7830DB95" w14:textId="77777777" w:rsidR="00C16CD9" w:rsidRPr="00541CD0" w:rsidRDefault="00C16CD9" w:rsidP="00C16CD9">
      <w:pPr>
        <w:jc w:val="center"/>
        <w:rPr>
          <w:rFonts w:ascii="Arial" w:hAnsi="Arial" w:cs="Arial"/>
          <w:b/>
          <w:bCs/>
          <w:sz w:val="24"/>
        </w:rPr>
      </w:pPr>
    </w:p>
    <w:p w14:paraId="0564EA14" w14:textId="77777777" w:rsidR="00C16CD9" w:rsidRPr="00541CD0" w:rsidRDefault="00C16CD9" w:rsidP="00C16CD9">
      <w:pPr>
        <w:jc w:val="center"/>
        <w:rPr>
          <w:rFonts w:ascii="Arial" w:hAnsi="Arial" w:cs="Arial"/>
          <w:b/>
          <w:bCs/>
          <w:sz w:val="24"/>
        </w:rPr>
      </w:pPr>
      <w:r w:rsidRPr="00541CD0">
        <w:rPr>
          <w:rFonts w:ascii="Arial" w:hAnsi="Arial" w:cs="Arial"/>
          <w:b/>
          <w:bCs/>
          <w:sz w:val="24"/>
        </w:rPr>
        <w:t>M. I. Imelda Araceli Robles Pérez</w:t>
      </w:r>
    </w:p>
    <w:p w14:paraId="0B74B9FD" w14:textId="77777777" w:rsidR="00C16CD9" w:rsidRPr="00541CD0" w:rsidRDefault="00C16CD9" w:rsidP="00C16CD9">
      <w:pPr>
        <w:jc w:val="center"/>
        <w:rPr>
          <w:rFonts w:ascii="Arial" w:hAnsi="Arial" w:cs="Arial"/>
          <w:b/>
          <w:bCs/>
          <w:sz w:val="24"/>
        </w:rPr>
      </w:pPr>
      <w:r w:rsidRPr="00541CD0">
        <w:rPr>
          <w:rFonts w:ascii="Arial" w:hAnsi="Arial" w:cs="Arial"/>
          <w:b/>
          <w:bCs/>
          <w:sz w:val="24"/>
        </w:rPr>
        <w:t>Supervisor de Capacitación del Instituto de Estudios Legislativos</w:t>
      </w:r>
    </w:p>
    <w:p w14:paraId="34E9B067" w14:textId="77777777" w:rsidR="00C16CD9" w:rsidRPr="00541CD0" w:rsidRDefault="00C16CD9" w:rsidP="00C16CD9">
      <w:pPr>
        <w:rPr>
          <w:rFonts w:ascii="Arial" w:hAnsi="Arial" w:cs="Arial"/>
          <w:b/>
          <w:bCs/>
          <w:sz w:val="24"/>
        </w:rPr>
      </w:pPr>
    </w:p>
    <w:p w14:paraId="04212182" w14:textId="77777777" w:rsidR="00C16CD9" w:rsidRPr="00541CD0" w:rsidRDefault="00C16CD9" w:rsidP="00C16CD9">
      <w:pPr>
        <w:jc w:val="center"/>
        <w:rPr>
          <w:rFonts w:ascii="Arial" w:hAnsi="Arial" w:cs="Arial"/>
          <w:b/>
          <w:bCs/>
          <w:sz w:val="24"/>
        </w:rPr>
      </w:pPr>
    </w:p>
    <w:p w14:paraId="060F33A6" w14:textId="77777777" w:rsidR="00C16CD9" w:rsidRPr="00541CD0" w:rsidRDefault="00C16CD9" w:rsidP="00C16CD9">
      <w:pPr>
        <w:jc w:val="center"/>
        <w:rPr>
          <w:rFonts w:ascii="Arial" w:hAnsi="Arial" w:cs="Arial"/>
          <w:b/>
          <w:bCs/>
          <w:sz w:val="24"/>
        </w:rPr>
      </w:pPr>
      <w:r w:rsidRPr="00541CD0">
        <w:rPr>
          <w:rFonts w:ascii="Arial" w:hAnsi="Arial" w:cs="Arial"/>
          <w:b/>
          <w:bCs/>
          <w:sz w:val="24"/>
        </w:rPr>
        <w:t xml:space="preserve">Paulina Alejandra Corona Mendoza </w:t>
      </w:r>
    </w:p>
    <w:p w14:paraId="103D1C5B" w14:textId="77777777" w:rsidR="00C16CD9" w:rsidRPr="00541CD0" w:rsidRDefault="00C16CD9" w:rsidP="00C16CD9">
      <w:pPr>
        <w:jc w:val="center"/>
        <w:rPr>
          <w:rFonts w:ascii="Arial" w:hAnsi="Arial" w:cs="Arial"/>
          <w:b/>
          <w:bCs/>
          <w:sz w:val="24"/>
        </w:rPr>
      </w:pPr>
      <w:r w:rsidRPr="00541CD0">
        <w:rPr>
          <w:rFonts w:ascii="Arial" w:hAnsi="Arial" w:cs="Arial"/>
          <w:b/>
          <w:bCs/>
          <w:sz w:val="24"/>
        </w:rPr>
        <w:t xml:space="preserve">Estudiante de la Licenciatura en Sociología </w:t>
      </w:r>
    </w:p>
    <w:p w14:paraId="1375999E" w14:textId="77777777" w:rsidR="00C16CD9" w:rsidRPr="00541CD0" w:rsidRDefault="00C16CD9" w:rsidP="00C16CD9">
      <w:pPr>
        <w:jc w:val="center"/>
        <w:rPr>
          <w:rFonts w:ascii="Arial" w:hAnsi="Arial" w:cs="Arial"/>
          <w:b/>
          <w:bCs/>
          <w:sz w:val="24"/>
        </w:rPr>
      </w:pPr>
    </w:p>
    <w:p w14:paraId="2192EB9C" w14:textId="77777777" w:rsidR="00C16CD9" w:rsidRPr="00541CD0" w:rsidRDefault="00C16CD9" w:rsidP="00C16CD9">
      <w:pPr>
        <w:jc w:val="center"/>
        <w:rPr>
          <w:rFonts w:ascii="Arial" w:hAnsi="Arial" w:cs="Arial"/>
          <w:b/>
          <w:bCs/>
          <w:sz w:val="24"/>
        </w:rPr>
      </w:pPr>
    </w:p>
    <w:p w14:paraId="1C6595C4" w14:textId="77777777" w:rsidR="00C16CD9" w:rsidRDefault="00C16CD9" w:rsidP="00C16CD9">
      <w:pPr>
        <w:jc w:val="center"/>
        <w:rPr>
          <w:rFonts w:ascii="Arial" w:hAnsi="Arial" w:cs="Arial"/>
          <w:b/>
          <w:bCs/>
          <w:sz w:val="24"/>
        </w:rPr>
      </w:pPr>
    </w:p>
    <w:p w14:paraId="002F4EBB" w14:textId="77777777" w:rsidR="00C16CD9" w:rsidRPr="00541CD0" w:rsidRDefault="00C16CD9" w:rsidP="00C16CD9">
      <w:pPr>
        <w:jc w:val="center"/>
        <w:rPr>
          <w:rFonts w:ascii="Arial" w:hAnsi="Arial" w:cs="Arial"/>
          <w:b/>
          <w:bCs/>
          <w:sz w:val="24"/>
        </w:rPr>
      </w:pPr>
    </w:p>
    <w:p w14:paraId="4A28E906" w14:textId="77777777" w:rsidR="00C16CD9" w:rsidRPr="00541CD0" w:rsidRDefault="00C16CD9" w:rsidP="00C16CD9">
      <w:pPr>
        <w:rPr>
          <w:rFonts w:ascii="Arial" w:hAnsi="Arial" w:cs="Arial"/>
          <w:b/>
          <w:bCs/>
          <w:sz w:val="24"/>
        </w:rPr>
      </w:pPr>
    </w:p>
    <w:p w14:paraId="1E805596" w14:textId="77777777" w:rsidR="00C16CD9" w:rsidRPr="00541CD0" w:rsidRDefault="00C16CD9" w:rsidP="00C16CD9">
      <w:pPr>
        <w:jc w:val="center"/>
        <w:rPr>
          <w:rFonts w:ascii="Arial" w:hAnsi="Arial" w:cs="Arial"/>
          <w:b/>
          <w:bCs/>
          <w:sz w:val="24"/>
        </w:rPr>
      </w:pPr>
    </w:p>
    <w:p w14:paraId="757E7CC4" w14:textId="0A3FFACE" w:rsidR="00C16CD9" w:rsidRDefault="00AC5E3E" w:rsidP="00C16CD9">
      <w:pPr>
        <w:jc w:val="center"/>
        <w:rPr>
          <w:rFonts w:ascii="Arial" w:hAnsi="Arial" w:cs="Arial"/>
          <w:b/>
          <w:bCs/>
          <w:sz w:val="24"/>
        </w:rPr>
      </w:pPr>
      <w:r>
        <w:rPr>
          <w:rFonts w:ascii="Arial" w:hAnsi="Arial" w:cs="Arial"/>
          <w:b/>
          <w:bCs/>
          <w:sz w:val="24"/>
        </w:rPr>
        <w:t>Julio</w:t>
      </w:r>
      <w:r w:rsidR="00C16CD9" w:rsidRPr="00541CD0">
        <w:rPr>
          <w:rFonts w:ascii="Arial" w:hAnsi="Arial" w:cs="Arial"/>
          <w:b/>
          <w:bCs/>
          <w:sz w:val="24"/>
        </w:rPr>
        <w:t xml:space="preserve"> 202</w:t>
      </w:r>
      <w:r w:rsidR="00C16CD9">
        <w:rPr>
          <w:rFonts w:ascii="Arial" w:hAnsi="Arial" w:cs="Arial"/>
          <w:b/>
          <w:bCs/>
          <w:sz w:val="24"/>
        </w:rPr>
        <w:t>1</w:t>
      </w:r>
    </w:p>
    <w:p w14:paraId="7243EC24" w14:textId="32C71392" w:rsidR="00C16CD9" w:rsidRDefault="00C16CD9" w:rsidP="00C16CD9">
      <w:pPr>
        <w:jc w:val="center"/>
        <w:rPr>
          <w:rFonts w:ascii="Arial" w:hAnsi="Arial" w:cs="Arial"/>
          <w:b/>
          <w:bCs/>
          <w:sz w:val="24"/>
        </w:rPr>
      </w:pPr>
    </w:p>
    <w:sdt>
      <w:sdtPr>
        <w:rPr>
          <w:rFonts w:asciiTheme="minorHAnsi" w:eastAsiaTheme="minorHAnsi" w:hAnsiTheme="minorHAnsi" w:cstheme="minorBidi"/>
          <w:color w:val="auto"/>
          <w:sz w:val="22"/>
          <w:szCs w:val="22"/>
          <w:lang w:val="es-ES" w:eastAsia="en-US"/>
        </w:rPr>
        <w:id w:val="-482387439"/>
        <w:docPartObj>
          <w:docPartGallery w:val="Table of Contents"/>
          <w:docPartUnique/>
        </w:docPartObj>
      </w:sdtPr>
      <w:sdtEndPr>
        <w:rPr>
          <w:rFonts w:ascii="Helvetica Neue" w:eastAsia="Times New Roman" w:hAnsi="Helvetica Neue" w:cs="Times New Roman"/>
          <w:b/>
          <w:bCs/>
          <w:szCs w:val="24"/>
          <w:lang w:eastAsia="es-ES_tradnl"/>
        </w:rPr>
      </w:sdtEndPr>
      <w:sdtContent>
        <w:p w14:paraId="6287DBA8" w14:textId="77777777" w:rsidR="00C16CD9" w:rsidRDefault="00C16CD9" w:rsidP="00C16CD9">
          <w:pPr>
            <w:pStyle w:val="TtuloTDC"/>
            <w:rPr>
              <w:lang w:val="es-ES"/>
            </w:rPr>
          </w:pPr>
          <w:r w:rsidRPr="00BE1834">
            <w:rPr>
              <w:lang w:val="es-ES"/>
            </w:rPr>
            <w:t>Contenido</w:t>
          </w:r>
        </w:p>
        <w:p w14:paraId="11029A38" w14:textId="77777777" w:rsidR="00C16CD9" w:rsidRDefault="00C16CD9" w:rsidP="00C16CD9">
          <w:pPr>
            <w:rPr>
              <w:lang w:val="es-ES" w:eastAsia="es-MX"/>
            </w:rPr>
          </w:pPr>
        </w:p>
        <w:p w14:paraId="2BE3162F" w14:textId="77777777" w:rsidR="00C16CD9" w:rsidRPr="00F421B2" w:rsidRDefault="00C16CD9" w:rsidP="00C16CD9">
          <w:pPr>
            <w:rPr>
              <w:lang w:val="es-ES" w:eastAsia="es-MX"/>
            </w:rPr>
          </w:pPr>
        </w:p>
        <w:p w14:paraId="41D6D99F" w14:textId="408A67C1" w:rsidR="00C16CD9" w:rsidRDefault="00C16CD9" w:rsidP="00C16CD9">
          <w:pPr>
            <w:pStyle w:val="TDC1"/>
            <w:tabs>
              <w:tab w:val="right" w:leader="dot" w:pos="8828"/>
            </w:tabs>
            <w:rPr>
              <w:rFonts w:eastAsiaTheme="minorEastAsia"/>
              <w:noProof/>
              <w:lang w:eastAsia="es-MX"/>
            </w:rPr>
          </w:pPr>
          <w:r>
            <w:fldChar w:fldCharType="begin"/>
          </w:r>
          <w:r>
            <w:instrText xml:space="preserve"> TOC \o "1-3" \h \z \u </w:instrText>
          </w:r>
          <w:r>
            <w:fldChar w:fldCharType="separate"/>
          </w:r>
          <w:hyperlink w:anchor="_Toc73966310" w:history="1">
            <w:r w:rsidRPr="00931CAF">
              <w:rPr>
                <w:rStyle w:val="Hipervnculo"/>
                <w:noProof/>
              </w:rPr>
              <w:t>Introducción</w:t>
            </w:r>
            <w:r>
              <w:rPr>
                <w:noProof/>
                <w:webHidden/>
              </w:rPr>
              <w:tab/>
            </w:r>
            <w:r>
              <w:rPr>
                <w:noProof/>
                <w:webHidden/>
              </w:rPr>
              <w:fldChar w:fldCharType="begin"/>
            </w:r>
            <w:r>
              <w:rPr>
                <w:noProof/>
                <w:webHidden/>
              </w:rPr>
              <w:instrText xml:space="preserve"> PAGEREF _Toc73966310 \h </w:instrText>
            </w:r>
            <w:r>
              <w:rPr>
                <w:noProof/>
                <w:webHidden/>
              </w:rPr>
            </w:r>
            <w:r>
              <w:rPr>
                <w:noProof/>
                <w:webHidden/>
              </w:rPr>
              <w:fldChar w:fldCharType="separate"/>
            </w:r>
            <w:r w:rsidR="00426378">
              <w:rPr>
                <w:noProof/>
                <w:webHidden/>
              </w:rPr>
              <w:t>1</w:t>
            </w:r>
            <w:r>
              <w:rPr>
                <w:noProof/>
                <w:webHidden/>
              </w:rPr>
              <w:fldChar w:fldCharType="end"/>
            </w:r>
          </w:hyperlink>
        </w:p>
        <w:p w14:paraId="6A678CB7" w14:textId="2C0D33FE" w:rsidR="00C16CD9" w:rsidRDefault="001D6A5E" w:rsidP="00C16CD9">
          <w:pPr>
            <w:pStyle w:val="TDC1"/>
            <w:tabs>
              <w:tab w:val="right" w:leader="dot" w:pos="8828"/>
            </w:tabs>
            <w:rPr>
              <w:rFonts w:eastAsiaTheme="minorEastAsia"/>
              <w:noProof/>
              <w:lang w:eastAsia="es-MX"/>
            </w:rPr>
          </w:pPr>
          <w:hyperlink w:anchor="_Toc73966311" w:history="1">
            <w:r w:rsidR="00C16CD9" w:rsidRPr="00931CAF">
              <w:rPr>
                <w:rStyle w:val="Hipervnculo"/>
                <w:noProof/>
              </w:rPr>
              <w:t>Seguridad social</w:t>
            </w:r>
            <w:r w:rsidR="00C16CD9">
              <w:rPr>
                <w:noProof/>
                <w:webHidden/>
              </w:rPr>
              <w:tab/>
            </w:r>
            <w:r w:rsidR="00C16CD9">
              <w:rPr>
                <w:noProof/>
                <w:webHidden/>
              </w:rPr>
              <w:fldChar w:fldCharType="begin"/>
            </w:r>
            <w:r w:rsidR="00C16CD9">
              <w:rPr>
                <w:noProof/>
                <w:webHidden/>
              </w:rPr>
              <w:instrText xml:space="preserve"> PAGEREF _Toc73966311 \h </w:instrText>
            </w:r>
            <w:r w:rsidR="00C16CD9">
              <w:rPr>
                <w:noProof/>
                <w:webHidden/>
              </w:rPr>
            </w:r>
            <w:r w:rsidR="00C16CD9">
              <w:rPr>
                <w:noProof/>
                <w:webHidden/>
              </w:rPr>
              <w:fldChar w:fldCharType="separate"/>
            </w:r>
            <w:r w:rsidR="00426378">
              <w:rPr>
                <w:noProof/>
                <w:webHidden/>
              </w:rPr>
              <w:t>2</w:t>
            </w:r>
            <w:r w:rsidR="00C16CD9">
              <w:rPr>
                <w:noProof/>
                <w:webHidden/>
              </w:rPr>
              <w:fldChar w:fldCharType="end"/>
            </w:r>
          </w:hyperlink>
        </w:p>
        <w:p w14:paraId="218E2E29" w14:textId="6856D07F" w:rsidR="00C16CD9" w:rsidRDefault="001D6A5E" w:rsidP="00C16CD9">
          <w:pPr>
            <w:pStyle w:val="TDC1"/>
            <w:tabs>
              <w:tab w:val="right" w:leader="dot" w:pos="8828"/>
            </w:tabs>
            <w:rPr>
              <w:rFonts w:eastAsiaTheme="minorEastAsia"/>
              <w:noProof/>
              <w:lang w:eastAsia="es-MX"/>
            </w:rPr>
          </w:pPr>
          <w:hyperlink w:anchor="_Toc73966312" w:history="1">
            <w:r w:rsidR="00C16CD9" w:rsidRPr="00931CAF">
              <w:rPr>
                <w:rStyle w:val="Hipervnculo"/>
                <w:noProof/>
              </w:rPr>
              <w:t>Sistema de pensiones en México</w:t>
            </w:r>
            <w:r w:rsidR="00C16CD9">
              <w:rPr>
                <w:noProof/>
                <w:webHidden/>
              </w:rPr>
              <w:tab/>
            </w:r>
            <w:r w:rsidR="00C16CD9">
              <w:rPr>
                <w:noProof/>
                <w:webHidden/>
              </w:rPr>
              <w:fldChar w:fldCharType="begin"/>
            </w:r>
            <w:r w:rsidR="00C16CD9">
              <w:rPr>
                <w:noProof/>
                <w:webHidden/>
              </w:rPr>
              <w:instrText xml:space="preserve"> PAGEREF _Toc73966312 \h </w:instrText>
            </w:r>
            <w:r w:rsidR="00C16CD9">
              <w:rPr>
                <w:noProof/>
                <w:webHidden/>
              </w:rPr>
            </w:r>
            <w:r w:rsidR="00C16CD9">
              <w:rPr>
                <w:noProof/>
                <w:webHidden/>
              </w:rPr>
              <w:fldChar w:fldCharType="separate"/>
            </w:r>
            <w:r w:rsidR="00426378">
              <w:rPr>
                <w:noProof/>
                <w:webHidden/>
              </w:rPr>
              <w:t>4</w:t>
            </w:r>
            <w:r w:rsidR="00C16CD9">
              <w:rPr>
                <w:noProof/>
                <w:webHidden/>
              </w:rPr>
              <w:fldChar w:fldCharType="end"/>
            </w:r>
          </w:hyperlink>
        </w:p>
        <w:p w14:paraId="668DA106" w14:textId="68364F57" w:rsidR="00C16CD9" w:rsidRDefault="001D6A5E" w:rsidP="00C16CD9">
          <w:pPr>
            <w:pStyle w:val="TDC1"/>
            <w:tabs>
              <w:tab w:val="left" w:pos="440"/>
              <w:tab w:val="right" w:leader="dot" w:pos="8828"/>
            </w:tabs>
            <w:rPr>
              <w:rFonts w:eastAsiaTheme="minorEastAsia"/>
              <w:noProof/>
              <w:lang w:eastAsia="es-MX"/>
            </w:rPr>
          </w:pPr>
          <w:hyperlink w:anchor="_Toc73966313" w:history="1">
            <w:r w:rsidR="00C16CD9" w:rsidRPr="001B7214">
              <w:rPr>
                <w:rStyle w:val="Hipervnculo"/>
                <w:noProof/>
              </w:rPr>
              <w:t>Situación del sistema de pensiones a nivel nacional</w:t>
            </w:r>
            <w:r w:rsidR="00C16CD9">
              <w:rPr>
                <w:noProof/>
                <w:webHidden/>
              </w:rPr>
              <w:tab/>
            </w:r>
            <w:r w:rsidR="00C16CD9">
              <w:rPr>
                <w:noProof/>
                <w:webHidden/>
              </w:rPr>
              <w:fldChar w:fldCharType="begin"/>
            </w:r>
            <w:r w:rsidR="00C16CD9">
              <w:rPr>
                <w:noProof/>
                <w:webHidden/>
              </w:rPr>
              <w:instrText xml:space="preserve"> PAGEREF _Toc73966313 \h </w:instrText>
            </w:r>
            <w:r w:rsidR="00C16CD9">
              <w:rPr>
                <w:noProof/>
                <w:webHidden/>
              </w:rPr>
            </w:r>
            <w:r w:rsidR="00C16CD9">
              <w:rPr>
                <w:noProof/>
                <w:webHidden/>
              </w:rPr>
              <w:fldChar w:fldCharType="separate"/>
            </w:r>
            <w:r w:rsidR="00426378">
              <w:rPr>
                <w:noProof/>
                <w:webHidden/>
              </w:rPr>
              <w:t>8</w:t>
            </w:r>
            <w:r w:rsidR="00C16CD9">
              <w:rPr>
                <w:noProof/>
                <w:webHidden/>
              </w:rPr>
              <w:fldChar w:fldCharType="end"/>
            </w:r>
          </w:hyperlink>
        </w:p>
        <w:p w14:paraId="626763FB" w14:textId="28E6314D" w:rsidR="00C16CD9" w:rsidRDefault="001D6A5E" w:rsidP="00C16CD9">
          <w:pPr>
            <w:pStyle w:val="TDC1"/>
            <w:tabs>
              <w:tab w:val="right" w:leader="dot" w:pos="8828"/>
            </w:tabs>
            <w:rPr>
              <w:rFonts w:eastAsiaTheme="minorEastAsia"/>
              <w:noProof/>
              <w:lang w:eastAsia="es-MX"/>
            </w:rPr>
          </w:pPr>
          <w:hyperlink w:anchor="_Toc73966314" w:history="1">
            <w:r w:rsidR="00C16CD9" w:rsidRPr="00931CAF">
              <w:rPr>
                <w:rStyle w:val="Hipervnculo"/>
                <w:noProof/>
              </w:rPr>
              <w:t>Situación del sistema de pensiones a nivel estatal</w:t>
            </w:r>
            <w:r w:rsidR="00C16CD9">
              <w:rPr>
                <w:noProof/>
                <w:webHidden/>
              </w:rPr>
              <w:tab/>
            </w:r>
            <w:r w:rsidR="00C16CD9">
              <w:rPr>
                <w:noProof/>
                <w:webHidden/>
              </w:rPr>
              <w:fldChar w:fldCharType="begin"/>
            </w:r>
            <w:r w:rsidR="00C16CD9">
              <w:rPr>
                <w:noProof/>
                <w:webHidden/>
              </w:rPr>
              <w:instrText xml:space="preserve"> PAGEREF _Toc73966314 \h </w:instrText>
            </w:r>
            <w:r w:rsidR="00C16CD9">
              <w:rPr>
                <w:noProof/>
                <w:webHidden/>
              </w:rPr>
            </w:r>
            <w:r w:rsidR="00C16CD9">
              <w:rPr>
                <w:noProof/>
                <w:webHidden/>
              </w:rPr>
              <w:fldChar w:fldCharType="separate"/>
            </w:r>
            <w:r w:rsidR="00426378">
              <w:rPr>
                <w:noProof/>
                <w:webHidden/>
              </w:rPr>
              <w:t>16</w:t>
            </w:r>
            <w:r w:rsidR="00C16CD9">
              <w:rPr>
                <w:noProof/>
                <w:webHidden/>
              </w:rPr>
              <w:fldChar w:fldCharType="end"/>
            </w:r>
          </w:hyperlink>
        </w:p>
        <w:p w14:paraId="3373773D" w14:textId="2D112ADA" w:rsidR="00C16CD9" w:rsidRDefault="001D6A5E" w:rsidP="00C16CD9">
          <w:pPr>
            <w:pStyle w:val="TDC1"/>
            <w:tabs>
              <w:tab w:val="right" w:leader="dot" w:pos="8828"/>
            </w:tabs>
            <w:rPr>
              <w:rFonts w:eastAsiaTheme="minorEastAsia"/>
              <w:noProof/>
              <w:lang w:eastAsia="es-MX"/>
            </w:rPr>
          </w:pPr>
          <w:hyperlink w:anchor="_Toc73966315" w:history="1">
            <w:r w:rsidR="00C16CD9" w:rsidRPr="00931CAF">
              <w:rPr>
                <w:rStyle w:val="Hipervnculo"/>
                <w:noProof/>
              </w:rPr>
              <w:t>Referencias</w:t>
            </w:r>
            <w:r w:rsidR="00C16CD9">
              <w:rPr>
                <w:noProof/>
                <w:webHidden/>
              </w:rPr>
              <w:tab/>
            </w:r>
            <w:r w:rsidR="00C16CD9">
              <w:rPr>
                <w:noProof/>
                <w:webHidden/>
              </w:rPr>
              <w:fldChar w:fldCharType="begin"/>
            </w:r>
            <w:r w:rsidR="00C16CD9">
              <w:rPr>
                <w:noProof/>
                <w:webHidden/>
              </w:rPr>
              <w:instrText xml:space="preserve"> PAGEREF _Toc73966315 \h </w:instrText>
            </w:r>
            <w:r w:rsidR="00C16CD9">
              <w:rPr>
                <w:noProof/>
                <w:webHidden/>
              </w:rPr>
            </w:r>
            <w:r w:rsidR="00C16CD9">
              <w:rPr>
                <w:noProof/>
                <w:webHidden/>
              </w:rPr>
              <w:fldChar w:fldCharType="separate"/>
            </w:r>
            <w:r w:rsidR="00426378">
              <w:rPr>
                <w:noProof/>
                <w:webHidden/>
              </w:rPr>
              <w:t>22</w:t>
            </w:r>
            <w:r w:rsidR="00C16CD9">
              <w:rPr>
                <w:noProof/>
                <w:webHidden/>
              </w:rPr>
              <w:fldChar w:fldCharType="end"/>
            </w:r>
          </w:hyperlink>
        </w:p>
        <w:p w14:paraId="6FB23DF1" w14:textId="77777777" w:rsidR="00C16CD9" w:rsidRDefault="00C16CD9" w:rsidP="00C16CD9">
          <w:r>
            <w:rPr>
              <w:b/>
              <w:bCs/>
              <w:lang w:val="es-ES"/>
            </w:rPr>
            <w:fldChar w:fldCharType="end"/>
          </w:r>
        </w:p>
      </w:sdtContent>
    </w:sdt>
    <w:p w14:paraId="23FF3E23" w14:textId="77777777" w:rsidR="00C16CD9" w:rsidRPr="00541CD0" w:rsidRDefault="00C16CD9" w:rsidP="00C16CD9">
      <w:pPr>
        <w:rPr>
          <w:rFonts w:ascii="Arial" w:hAnsi="Arial" w:cs="Arial"/>
          <w:b/>
          <w:bCs/>
          <w:sz w:val="24"/>
        </w:rPr>
      </w:pPr>
    </w:p>
    <w:p w14:paraId="11FF9AA9" w14:textId="77777777" w:rsidR="00C16CD9" w:rsidRPr="00541CD0" w:rsidRDefault="00C16CD9" w:rsidP="00C16CD9">
      <w:pPr>
        <w:rPr>
          <w:rFonts w:ascii="Arial" w:hAnsi="Arial" w:cs="Arial"/>
          <w:b/>
          <w:bCs/>
          <w:sz w:val="24"/>
        </w:rPr>
      </w:pPr>
    </w:p>
    <w:p w14:paraId="15DD05FC" w14:textId="77777777" w:rsidR="00C16CD9" w:rsidRDefault="00C16CD9" w:rsidP="00C16CD9">
      <w:pPr>
        <w:rPr>
          <w:b/>
          <w:bCs/>
        </w:rPr>
      </w:pPr>
    </w:p>
    <w:p w14:paraId="5B3B5E0D" w14:textId="77777777" w:rsidR="00C16CD9" w:rsidRDefault="00C16CD9" w:rsidP="00C16CD9">
      <w:pPr>
        <w:rPr>
          <w:b/>
          <w:bCs/>
        </w:rPr>
      </w:pPr>
    </w:p>
    <w:p w14:paraId="0F93F9D5" w14:textId="77777777" w:rsidR="00C16CD9" w:rsidRDefault="00C16CD9" w:rsidP="00C16CD9">
      <w:pPr>
        <w:rPr>
          <w:b/>
          <w:bCs/>
        </w:rPr>
      </w:pPr>
    </w:p>
    <w:p w14:paraId="3AE42371" w14:textId="77777777" w:rsidR="00C16CD9" w:rsidRDefault="00C16CD9" w:rsidP="00C16CD9">
      <w:pPr>
        <w:rPr>
          <w:b/>
          <w:bCs/>
        </w:rPr>
      </w:pPr>
    </w:p>
    <w:p w14:paraId="5D306F54" w14:textId="77777777" w:rsidR="00C16CD9" w:rsidRDefault="00C16CD9" w:rsidP="00C16CD9">
      <w:pPr>
        <w:rPr>
          <w:b/>
          <w:bCs/>
        </w:rPr>
      </w:pPr>
    </w:p>
    <w:p w14:paraId="262BDC15" w14:textId="77777777" w:rsidR="00C16CD9" w:rsidRDefault="00C16CD9" w:rsidP="00C16CD9">
      <w:pPr>
        <w:rPr>
          <w:b/>
          <w:bCs/>
        </w:rPr>
      </w:pPr>
    </w:p>
    <w:p w14:paraId="4E07875D" w14:textId="77777777" w:rsidR="00C16CD9" w:rsidRDefault="00C16CD9" w:rsidP="00C16CD9">
      <w:pPr>
        <w:rPr>
          <w:b/>
          <w:bCs/>
        </w:rPr>
        <w:sectPr w:rsidR="00C16CD9" w:rsidSect="00C16CD9">
          <w:headerReference w:type="default" r:id="rId11"/>
          <w:footerReference w:type="default" r:id="rId12"/>
          <w:footerReference w:type="first" r:id="rId13"/>
          <w:pgSz w:w="12240" w:h="15840"/>
          <w:pgMar w:top="3119" w:right="1701" w:bottom="2552" w:left="1701" w:header="709" w:footer="709" w:gutter="0"/>
          <w:pgNumType w:start="1"/>
          <w:cols w:space="708"/>
          <w:titlePg/>
          <w:docGrid w:linePitch="360"/>
        </w:sectPr>
      </w:pPr>
    </w:p>
    <w:p w14:paraId="11E0E8A2" w14:textId="77777777" w:rsidR="00C16CD9" w:rsidRPr="00542EF0" w:rsidRDefault="00C16CD9" w:rsidP="00C16CD9">
      <w:pPr>
        <w:pStyle w:val="Ttulo1"/>
      </w:pPr>
      <w:bookmarkStart w:id="0" w:name="_Toc73966310"/>
      <w:r w:rsidRPr="00542EF0">
        <w:lastRenderedPageBreak/>
        <w:t>Introducción</w:t>
      </w:r>
      <w:bookmarkEnd w:id="0"/>
    </w:p>
    <w:p w14:paraId="7C494D43" w14:textId="77777777" w:rsidR="00C16CD9" w:rsidRDefault="00C16CD9" w:rsidP="00C16CD9">
      <w:pPr>
        <w:spacing w:line="360" w:lineRule="auto"/>
        <w:rPr>
          <w:rFonts w:ascii="Arial" w:hAnsi="Arial" w:cs="Arial"/>
          <w:sz w:val="24"/>
        </w:rPr>
      </w:pPr>
      <w:r w:rsidRPr="009E0E76">
        <w:rPr>
          <w:rFonts w:ascii="Arial" w:hAnsi="Arial" w:cs="Arial"/>
          <w:sz w:val="24"/>
        </w:rPr>
        <w:t>De acuerdo a proyecciones poblacionales del Instituto Nacional de Estadística y Geografía (INEGI) y el Consejo Nacional de Población (CONAPO) la pirámide de población se invertirá en los próximos años lo que significa un aumento de la población con m</w:t>
      </w:r>
      <w:r>
        <w:rPr>
          <w:rFonts w:ascii="Arial" w:hAnsi="Arial" w:cs="Arial"/>
          <w:sz w:val="24"/>
        </w:rPr>
        <w:t>ás</w:t>
      </w:r>
      <w:r w:rsidRPr="009E0E76">
        <w:rPr>
          <w:rFonts w:ascii="Arial" w:hAnsi="Arial" w:cs="Arial"/>
          <w:sz w:val="24"/>
        </w:rPr>
        <w:t xml:space="preserve"> de 65 años, es decir </w:t>
      </w:r>
      <w:r>
        <w:rPr>
          <w:rFonts w:ascii="Arial" w:hAnsi="Arial" w:cs="Arial"/>
          <w:sz w:val="24"/>
        </w:rPr>
        <w:t xml:space="preserve">de </w:t>
      </w:r>
      <w:r w:rsidRPr="009E0E76">
        <w:rPr>
          <w:rFonts w:ascii="Arial" w:hAnsi="Arial" w:cs="Arial"/>
          <w:sz w:val="24"/>
        </w:rPr>
        <w:t>adultos mayores, que implica</w:t>
      </w:r>
      <w:r>
        <w:rPr>
          <w:rFonts w:ascii="Arial" w:hAnsi="Arial" w:cs="Arial"/>
          <w:sz w:val="24"/>
        </w:rPr>
        <w:t>rá</w:t>
      </w:r>
      <w:r w:rsidRPr="009E0E76">
        <w:rPr>
          <w:rFonts w:ascii="Arial" w:hAnsi="Arial" w:cs="Arial"/>
          <w:sz w:val="24"/>
        </w:rPr>
        <w:t xml:space="preserve"> para </w:t>
      </w:r>
      <w:r>
        <w:rPr>
          <w:rFonts w:ascii="Arial" w:hAnsi="Arial" w:cs="Arial"/>
          <w:sz w:val="24"/>
        </w:rPr>
        <w:t xml:space="preserve">las </w:t>
      </w:r>
      <w:r w:rsidRPr="009E0E76">
        <w:rPr>
          <w:rFonts w:ascii="Arial" w:hAnsi="Arial" w:cs="Arial"/>
          <w:sz w:val="24"/>
        </w:rPr>
        <w:t xml:space="preserve">instituciones nacionales y estatales el reto de asegurar la vejez digna de los y las mexicanas. </w:t>
      </w:r>
      <w:r>
        <w:rPr>
          <w:rFonts w:ascii="Arial" w:hAnsi="Arial" w:cs="Arial"/>
          <w:sz w:val="24"/>
        </w:rPr>
        <w:t xml:space="preserve">De acuerdo a lo anterior en la presente investigación se analizará el concepto de seguridad social, se describirá el sistema de pensiones en México y finalmente se presentará la situación del sistema de pensiones tanto a nivel nacional como </w:t>
      </w:r>
      <w:r w:rsidRPr="00D15772">
        <w:rPr>
          <w:rFonts w:ascii="Arial" w:hAnsi="Arial" w:cs="Arial"/>
          <w:sz w:val="24"/>
        </w:rPr>
        <w:t>a nivel</w:t>
      </w:r>
      <w:r>
        <w:rPr>
          <w:rFonts w:ascii="Arial" w:hAnsi="Arial" w:cs="Arial"/>
          <w:sz w:val="24"/>
        </w:rPr>
        <w:t xml:space="preserve"> estatal. </w:t>
      </w:r>
    </w:p>
    <w:p w14:paraId="23260F4F" w14:textId="77777777" w:rsidR="00C16CD9" w:rsidRDefault="00C16CD9" w:rsidP="00C16CD9">
      <w:pPr>
        <w:spacing w:line="360" w:lineRule="auto"/>
        <w:rPr>
          <w:rFonts w:ascii="Arial" w:hAnsi="Arial" w:cs="Arial"/>
          <w:sz w:val="24"/>
        </w:rPr>
      </w:pPr>
      <w:r>
        <w:rPr>
          <w:rFonts w:ascii="Arial" w:hAnsi="Arial" w:cs="Arial"/>
          <w:sz w:val="24"/>
        </w:rPr>
        <w:t>La seguridad social, que son políticas gubernamentales que buscan dignificar la vida de las personas, se compone de tres elementos: salud, pensión y riegos profesionales.</w:t>
      </w:r>
    </w:p>
    <w:p w14:paraId="062608DE" w14:textId="77777777" w:rsidR="00C16CD9" w:rsidRDefault="00C16CD9" w:rsidP="00C16CD9">
      <w:pPr>
        <w:spacing w:line="360" w:lineRule="auto"/>
        <w:rPr>
          <w:rFonts w:ascii="Arial" w:hAnsi="Arial" w:cs="Arial"/>
          <w:sz w:val="24"/>
        </w:rPr>
      </w:pPr>
      <w:r>
        <w:rPr>
          <w:rFonts w:ascii="Arial" w:hAnsi="Arial" w:cs="Arial"/>
          <w:sz w:val="24"/>
        </w:rPr>
        <w:t>a partir de 2007 el gobierno considera la pensión no contributiva en el gasto dirigido a las pensiones, así mismo el</w:t>
      </w:r>
      <w:r w:rsidRPr="007C520E">
        <w:t xml:space="preserve"> </w:t>
      </w:r>
      <w:r w:rsidRPr="007C520E">
        <w:rPr>
          <w:rFonts w:ascii="Arial" w:hAnsi="Arial" w:cs="Arial"/>
          <w:sz w:val="24"/>
        </w:rPr>
        <w:t xml:space="preserve">gasto de las pensiones corresponde de cinco instituciones: dos provienen de Empresas Productivas del Estado y tres proveedoras de seguridad social (salud y pensiones), por otro lado, el gobierno federal, a través de la Secretaria de Hacienda y Crédito Público (SHCP) destina recursos para el pago de instituciones desaparecidas o para las aportaciones de capitalización individual. </w:t>
      </w:r>
    </w:p>
    <w:p w14:paraId="7C2EE4D7" w14:textId="77777777" w:rsidR="00C16CD9" w:rsidRDefault="00C16CD9" w:rsidP="00C16CD9">
      <w:pPr>
        <w:spacing w:line="360" w:lineRule="auto"/>
        <w:rPr>
          <w:rFonts w:ascii="Arial" w:hAnsi="Arial" w:cs="Arial"/>
          <w:sz w:val="24"/>
        </w:rPr>
      </w:pPr>
      <w:proofErr w:type="gramStart"/>
      <w:r w:rsidRPr="005A5C3C">
        <w:rPr>
          <w:rFonts w:ascii="Arial" w:eastAsiaTheme="majorEastAsia" w:hAnsi="Arial" w:cs="Arial"/>
          <w:sz w:val="24"/>
          <w:lang w:val="es-ES" w:eastAsia="es-MX"/>
        </w:rPr>
        <w:t>De acuerdo al</w:t>
      </w:r>
      <w:proofErr w:type="gramEnd"/>
      <w:r w:rsidRPr="005A5C3C">
        <w:rPr>
          <w:rFonts w:ascii="Arial" w:eastAsiaTheme="majorEastAsia" w:hAnsi="Arial" w:cs="Arial"/>
          <w:sz w:val="24"/>
          <w:lang w:val="es-ES" w:eastAsia="es-MX"/>
        </w:rPr>
        <w:t xml:space="preserve"> estudio </w:t>
      </w:r>
      <w:r w:rsidRPr="001012A0">
        <w:rPr>
          <w:rFonts w:ascii="Arial" w:eastAsiaTheme="majorEastAsia" w:hAnsi="Arial" w:cs="Arial"/>
          <w:i/>
          <w:iCs/>
          <w:sz w:val="24"/>
          <w:lang w:val="es-ES" w:eastAsia="es-MX"/>
        </w:rPr>
        <w:t>Presupuesto del 2021 del Estado de México</w:t>
      </w:r>
      <w:r>
        <w:rPr>
          <w:rFonts w:ascii="Arial" w:eastAsiaTheme="majorEastAsia" w:hAnsi="Arial" w:cs="Arial"/>
          <w:sz w:val="24"/>
          <w:lang w:val="es-ES" w:eastAsia="es-MX"/>
        </w:rPr>
        <w:t>,</w:t>
      </w:r>
      <w:r w:rsidRPr="005A5C3C">
        <w:rPr>
          <w:rFonts w:ascii="Arial" w:eastAsiaTheme="majorEastAsia" w:hAnsi="Arial" w:cs="Arial"/>
          <w:sz w:val="24"/>
          <w:lang w:val="es-ES" w:eastAsia="es-MX"/>
        </w:rPr>
        <w:t xml:space="preserve"> realizado por la empresa Farell Grupo Consultoría S.C., el Instituto de Seguridad Social del Estado </w:t>
      </w:r>
      <w:r w:rsidRPr="005A5C3C">
        <w:rPr>
          <w:rFonts w:ascii="Arial" w:eastAsiaTheme="majorEastAsia" w:hAnsi="Arial" w:cs="Arial"/>
          <w:sz w:val="24"/>
          <w:lang w:val="es-ES" w:eastAsia="es-MX"/>
        </w:rPr>
        <w:lastRenderedPageBreak/>
        <w:t>de México y Municipios (</w:t>
      </w:r>
      <w:proofErr w:type="spellStart"/>
      <w:r w:rsidRPr="005A5C3C">
        <w:rPr>
          <w:rFonts w:ascii="Arial" w:eastAsiaTheme="majorEastAsia" w:hAnsi="Arial" w:cs="Arial"/>
          <w:sz w:val="24"/>
          <w:lang w:val="es-ES" w:eastAsia="es-MX"/>
        </w:rPr>
        <w:t>ISSEMyM</w:t>
      </w:r>
      <w:proofErr w:type="spellEnd"/>
      <w:r w:rsidRPr="005A5C3C">
        <w:rPr>
          <w:rFonts w:ascii="Arial" w:eastAsiaTheme="majorEastAsia" w:hAnsi="Arial" w:cs="Arial"/>
          <w:sz w:val="24"/>
          <w:lang w:val="es-ES" w:eastAsia="es-MX"/>
        </w:rPr>
        <w:t>) muestra un déficit superior a los 593 millones de pesos, debido al incremento del 13.48% en el número de personas pensionadas, del 10.07% jubilados y solo e</w:t>
      </w:r>
      <w:r>
        <w:rPr>
          <w:rFonts w:ascii="Arial" w:eastAsiaTheme="majorEastAsia" w:hAnsi="Arial" w:cs="Arial"/>
          <w:sz w:val="24"/>
          <w:lang w:val="es-ES" w:eastAsia="es-MX"/>
        </w:rPr>
        <w:t>l</w:t>
      </w:r>
      <w:r w:rsidRPr="005A5C3C">
        <w:rPr>
          <w:rFonts w:ascii="Arial" w:eastAsiaTheme="majorEastAsia" w:hAnsi="Arial" w:cs="Arial"/>
          <w:sz w:val="24"/>
          <w:lang w:val="es-ES" w:eastAsia="es-MX"/>
        </w:rPr>
        <w:t xml:space="preserve"> 4% de trabajadores activos. La edad promedio de los trabadores activos es de 42.35 años, de los pensionados de 59.32</w:t>
      </w:r>
      <w:r>
        <w:rPr>
          <w:rFonts w:ascii="Arial" w:eastAsiaTheme="majorEastAsia" w:hAnsi="Arial" w:cs="Arial"/>
          <w:sz w:val="24"/>
          <w:lang w:val="es-ES" w:eastAsia="es-MX"/>
        </w:rPr>
        <w:t xml:space="preserve"> </w:t>
      </w:r>
      <w:r w:rsidRPr="005A5C3C">
        <w:rPr>
          <w:rFonts w:ascii="Arial" w:eastAsiaTheme="majorEastAsia" w:hAnsi="Arial" w:cs="Arial"/>
          <w:sz w:val="24"/>
          <w:lang w:val="es-ES" w:eastAsia="es-MX"/>
        </w:rPr>
        <w:t>y de los jubilados de 65.36 años</w:t>
      </w:r>
      <w:r>
        <w:rPr>
          <w:rFonts w:ascii="Arial" w:eastAsiaTheme="majorEastAsia" w:hAnsi="Arial" w:cs="Arial"/>
          <w:sz w:val="24"/>
          <w:lang w:val="es-ES" w:eastAsia="es-MX"/>
        </w:rPr>
        <w:t>;</w:t>
      </w:r>
      <w:r w:rsidRPr="005A5C3C">
        <w:rPr>
          <w:rFonts w:ascii="Arial" w:eastAsiaTheme="majorEastAsia" w:hAnsi="Arial" w:cs="Arial"/>
          <w:sz w:val="24"/>
          <w:lang w:val="es-ES" w:eastAsia="es-MX"/>
        </w:rPr>
        <w:t xml:space="preserve"> Maurillo Hernández, presidente de la Junta de Coordinación Política de la Legislatura mexiquense, informo en 2020, que al menos 4,000 derechohabientes se encuentran en lista de espera para poder acceder a su jubilación, lo cuales sumarian en total 60,000 pensionados existentes</w:t>
      </w:r>
      <w:r>
        <w:rPr>
          <w:rFonts w:ascii="Arial" w:eastAsiaTheme="majorEastAsia" w:hAnsi="Arial" w:cs="Arial"/>
          <w:sz w:val="24"/>
          <w:lang w:val="es-ES" w:eastAsia="es-MX"/>
        </w:rPr>
        <w:t>.</w:t>
      </w:r>
    </w:p>
    <w:p w14:paraId="2E0E1527" w14:textId="77777777" w:rsidR="00C16CD9" w:rsidRPr="00D902A9" w:rsidRDefault="00C16CD9" w:rsidP="00C16CD9">
      <w:pPr>
        <w:pStyle w:val="Ttulo1"/>
      </w:pPr>
      <w:bookmarkStart w:id="1" w:name="_Toc73966311"/>
      <w:r>
        <w:t>Seguridad social</w:t>
      </w:r>
      <w:bookmarkEnd w:id="1"/>
    </w:p>
    <w:p w14:paraId="6D4E352F" w14:textId="77777777" w:rsidR="00C16CD9" w:rsidRDefault="00C16CD9" w:rsidP="00C16CD9">
      <w:pPr>
        <w:spacing w:line="360" w:lineRule="auto"/>
        <w:rPr>
          <w:rFonts w:ascii="Arial" w:hAnsi="Arial" w:cs="Arial"/>
          <w:sz w:val="24"/>
        </w:rPr>
      </w:pPr>
      <w:r w:rsidRPr="00504CD1">
        <w:rPr>
          <w:rFonts w:ascii="Arial" w:hAnsi="Arial" w:cs="Arial"/>
          <w:sz w:val="24"/>
        </w:rPr>
        <w:t>De acuerdo con la premisa de Aristóteles el hombre es social por naturaleza</w:t>
      </w:r>
      <w:r>
        <w:rPr>
          <w:rFonts w:ascii="Arial" w:hAnsi="Arial" w:cs="Arial"/>
          <w:sz w:val="24"/>
        </w:rPr>
        <w:t xml:space="preserve"> </w:t>
      </w:r>
      <w:r w:rsidRPr="00504CD1">
        <w:rPr>
          <w:rFonts w:ascii="Arial" w:hAnsi="Arial" w:cs="Arial"/>
          <w:sz w:val="24"/>
        </w:rPr>
        <w:t>esto es</w:t>
      </w:r>
      <w:r>
        <w:rPr>
          <w:rFonts w:ascii="Arial" w:hAnsi="Arial" w:cs="Arial"/>
          <w:sz w:val="24"/>
        </w:rPr>
        <w:t>,</w:t>
      </w:r>
      <w:r w:rsidRPr="00504CD1">
        <w:rPr>
          <w:rFonts w:ascii="Arial" w:hAnsi="Arial" w:cs="Arial"/>
          <w:sz w:val="24"/>
        </w:rPr>
        <w:t xml:space="preserve"> que todos los seres humanos necesitamos de otros para sobrevivir, la configuración de relaciones sociales genera protección y deriva la búsqueda del bien común. La organización social refiere un espacio de protección,</w:t>
      </w:r>
      <w:r>
        <w:rPr>
          <w:rFonts w:ascii="Arial" w:hAnsi="Arial" w:cs="Arial"/>
          <w:sz w:val="24"/>
        </w:rPr>
        <w:t xml:space="preserve"> en el que,</w:t>
      </w:r>
      <w:r w:rsidRPr="00504CD1">
        <w:rPr>
          <w:rFonts w:ascii="Arial" w:hAnsi="Arial" w:cs="Arial"/>
          <w:sz w:val="24"/>
        </w:rPr>
        <w:t xml:space="preserve"> mediante procesos de socialización,</w:t>
      </w:r>
      <w:r>
        <w:rPr>
          <w:rFonts w:ascii="Arial" w:hAnsi="Arial" w:cs="Arial"/>
          <w:sz w:val="24"/>
        </w:rPr>
        <w:t xml:space="preserve"> se adquieren herramientas que permiten</w:t>
      </w:r>
      <w:r w:rsidRPr="00504CD1">
        <w:rPr>
          <w:rFonts w:ascii="Arial" w:hAnsi="Arial" w:cs="Arial"/>
          <w:sz w:val="24"/>
        </w:rPr>
        <w:t xml:space="preserve"> enfrentar las circunstancias de la vida. Para Weber (1993) </w:t>
      </w:r>
      <w:r>
        <w:rPr>
          <w:rFonts w:ascii="Arial" w:hAnsi="Arial" w:cs="Arial"/>
          <w:sz w:val="24"/>
        </w:rPr>
        <w:t xml:space="preserve">las formas de asociación se basan en el principio de </w:t>
      </w:r>
      <w:r w:rsidRPr="00097941">
        <w:rPr>
          <w:rFonts w:ascii="Arial" w:hAnsi="Arial" w:cs="Arial"/>
          <w:i/>
          <w:iCs/>
          <w:sz w:val="24"/>
        </w:rPr>
        <w:t>solidaridad orgánica</w:t>
      </w:r>
      <w:r>
        <w:rPr>
          <w:rFonts w:ascii="Arial" w:hAnsi="Arial" w:cs="Arial"/>
          <w:sz w:val="24"/>
        </w:rPr>
        <w:t xml:space="preserve">, pilar del Estado Social de Derecho, del cual se derivan los principios de equidad, seguridad social o deberes, que permiten la subsistencia de un grupo. </w:t>
      </w:r>
    </w:p>
    <w:p w14:paraId="6C5B38DE" w14:textId="77777777" w:rsidR="00C16CD9" w:rsidRDefault="00C16CD9" w:rsidP="00C16CD9">
      <w:pPr>
        <w:spacing w:line="360" w:lineRule="auto"/>
        <w:rPr>
          <w:rFonts w:ascii="Arial" w:hAnsi="Arial" w:cs="Arial"/>
          <w:sz w:val="24"/>
        </w:rPr>
      </w:pPr>
      <w:r>
        <w:rPr>
          <w:rFonts w:ascii="Arial" w:hAnsi="Arial" w:cs="Arial"/>
          <w:sz w:val="24"/>
        </w:rPr>
        <w:t xml:space="preserve">A finales del siglo XIX, con la aparición del Estado de bienestar, surge el concepto de seguridad social, el cual se define como un conjunto de instituciones públicas destinadas a elevar la calidad de vida de la fuerza de trabajo o de una población y busca reducir las diferencias sociales derivadas del funcionamiento del mercado. </w:t>
      </w:r>
      <w:r>
        <w:rPr>
          <w:rFonts w:ascii="Arial" w:hAnsi="Arial" w:cs="Arial"/>
          <w:sz w:val="24"/>
        </w:rPr>
        <w:lastRenderedPageBreak/>
        <w:t xml:space="preserve">(Villareal y Macías, 2020).  La seguridad social surge en forma de instituciones ante la búsqueda por la prevalencia de la vida humana, tanto colectiva como individual. </w:t>
      </w:r>
    </w:p>
    <w:p w14:paraId="02A192F7" w14:textId="77777777" w:rsidR="00C16CD9" w:rsidRDefault="00C16CD9" w:rsidP="00C16CD9">
      <w:pPr>
        <w:spacing w:line="360" w:lineRule="auto"/>
        <w:rPr>
          <w:rFonts w:ascii="Arial" w:hAnsi="Arial" w:cs="Arial"/>
          <w:sz w:val="24"/>
        </w:rPr>
      </w:pPr>
      <w:r>
        <w:rPr>
          <w:rFonts w:ascii="Arial" w:hAnsi="Arial" w:cs="Arial"/>
          <w:sz w:val="24"/>
        </w:rPr>
        <w:t xml:space="preserve">Para Calderón y Pérez y Soto (2012) la seguridad social comúnmente se relaciona con la salud y los sistemas de pensiones, sin embargo, este concepto también engloba los derechos fundamentales de los ciudadanos, a las comunidades vulnerables que por diversas razones que no son capaces de valerse por sí mismas y con los cuales el Estado se encuentra comprometido a promover su bienestar digno e integral. </w:t>
      </w:r>
    </w:p>
    <w:p w14:paraId="0B8FBA04" w14:textId="77777777" w:rsidR="00C16CD9" w:rsidRDefault="00C16CD9" w:rsidP="00C16CD9">
      <w:pPr>
        <w:spacing w:line="360" w:lineRule="auto"/>
        <w:rPr>
          <w:rFonts w:ascii="Arial" w:hAnsi="Arial" w:cs="Arial"/>
          <w:sz w:val="24"/>
        </w:rPr>
      </w:pPr>
      <w:r>
        <w:rPr>
          <w:rFonts w:ascii="Arial" w:hAnsi="Arial" w:cs="Arial"/>
          <w:sz w:val="24"/>
        </w:rPr>
        <w:t xml:space="preserve">La revolución industrial que inicia en Inglaterra por las invenciones de maquinarias que sustituyeron la fuerza muscular y derivo el aumento de producción, provocó cambios económicos, sociales, técnicos y culturales. Ante las fuertes tensiones sociales derivadas por precarización de las condiciones laborales de la organización industrial mecanizada surgió, el ahorro privado, la mutualidad, el seguro privado y la responsabilidad de los riesgos profesionales. Por otro lado, en Alemania, el canciller </w:t>
      </w:r>
      <w:r w:rsidRPr="00522C29">
        <w:rPr>
          <w:rFonts w:ascii="Arial" w:hAnsi="Arial" w:cs="Arial"/>
          <w:i/>
          <w:iCs/>
          <w:sz w:val="24"/>
        </w:rPr>
        <w:t>Otto Von Bismarck</w:t>
      </w:r>
      <w:r>
        <w:rPr>
          <w:rFonts w:ascii="Arial" w:hAnsi="Arial" w:cs="Arial"/>
          <w:sz w:val="24"/>
        </w:rPr>
        <w:t xml:space="preserve">, crea el sistema de seguridad social, el cual fue dirigido y controlado por el Estado, dividido en tres áreas: La ley sobre el seguro de enfermedad (1883), la ley de seguro de accidentes de trabajo (1884) y la ley de seguro de vejez (1889), que finalmente en 1911 son unificadas el código de los Seguros Sociales, iniciativa que se convirtió en una fuente de inspiración para el desarrollo de instituciones de seguridad social en otros países </w:t>
      </w:r>
      <w:sdt>
        <w:sdtPr>
          <w:rPr>
            <w:rFonts w:ascii="Arial" w:hAnsi="Arial" w:cs="Arial"/>
            <w:sz w:val="24"/>
          </w:rPr>
          <w:id w:val="-135497391"/>
          <w:citation/>
        </w:sdtPr>
        <w:sdtEndPr/>
        <w:sdtContent>
          <w:r>
            <w:rPr>
              <w:rFonts w:ascii="Arial" w:hAnsi="Arial" w:cs="Arial"/>
              <w:sz w:val="24"/>
            </w:rPr>
            <w:fldChar w:fldCharType="begin"/>
          </w:r>
          <w:r>
            <w:rPr>
              <w:rFonts w:ascii="Arial" w:hAnsi="Arial" w:cs="Arial"/>
              <w:sz w:val="24"/>
            </w:rPr>
            <w:instrText xml:space="preserve"> CITATION Pér12 \l 2058 </w:instrText>
          </w:r>
          <w:r>
            <w:rPr>
              <w:rFonts w:ascii="Arial" w:hAnsi="Arial" w:cs="Arial"/>
              <w:sz w:val="24"/>
            </w:rPr>
            <w:fldChar w:fldCharType="separate"/>
          </w:r>
          <w:r w:rsidRPr="008A6C78">
            <w:rPr>
              <w:rFonts w:ascii="Arial" w:hAnsi="Arial" w:cs="Arial"/>
              <w:noProof/>
              <w:sz w:val="24"/>
            </w:rPr>
            <w:t>(Soto &amp; Calderón, 2012)</w:t>
          </w:r>
          <w:r>
            <w:rPr>
              <w:rFonts w:ascii="Arial" w:hAnsi="Arial" w:cs="Arial"/>
              <w:sz w:val="24"/>
            </w:rPr>
            <w:fldChar w:fldCharType="end"/>
          </w:r>
        </w:sdtContent>
      </w:sdt>
      <w:r>
        <w:rPr>
          <w:rFonts w:ascii="Arial" w:hAnsi="Arial" w:cs="Arial"/>
          <w:sz w:val="24"/>
        </w:rPr>
        <w:t xml:space="preserve">. </w:t>
      </w:r>
    </w:p>
    <w:p w14:paraId="23DFEC58" w14:textId="77777777" w:rsidR="00C16CD9" w:rsidRDefault="00C16CD9" w:rsidP="00C16CD9">
      <w:pPr>
        <w:spacing w:line="360" w:lineRule="auto"/>
        <w:rPr>
          <w:rFonts w:ascii="Arial" w:hAnsi="Arial" w:cs="Arial"/>
          <w:sz w:val="24"/>
        </w:rPr>
      </w:pPr>
      <w:r>
        <w:rPr>
          <w:rFonts w:ascii="Arial" w:hAnsi="Arial" w:cs="Arial"/>
          <w:sz w:val="24"/>
        </w:rPr>
        <w:t xml:space="preserve">La seguridad social, que son políticas gubernamentales que buscan dignificar la vida de las personas, se compone de tres elementos: salud, pensión y riegos </w:t>
      </w:r>
      <w:r>
        <w:rPr>
          <w:rFonts w:ascii="Arial" w:hAnsi="Arial" w:cs="Arial"/>
          <w:sz w:val="24"/>
        </w:rPr>
        <w:lastRenderedPageBreak/>
        <w:t>profesionales. De acuerdo a la Organización Internacional del Trabajo (OIT) la seguridad social es la protección de la sociedad a sus miembros a través de medidas publicas contra privaciones económicas y sociales</w:t>
      </w:r>
      <w:r>
        <w:rPr>
          <w:rStyle w:val="Refdenotaalpie"/>
          <w:rFonts w:ascii="Arial" w:hAnsi="Arial" w:cs="Arial"/>
          <w:sz w:val="24"/>
        </w:rPr>
        <w:footnoteReference w:id="1"/>
      </w:r>
      <w:r>
        <w:rPr>
          <w:rFonts w:ascii="Arial" w:hAnsi="Arial" w:cs="Arial"/>
          <w:sz w:val="24"/>
        </w:rPr>
        <w:t>.  Para la OIT esta protección debe ser entendida como un derecho humano que asegura el acceso a la asistencia médica y garantiza la seguridad durante la vejez, el desempleo, la enfermedad, la invalidez, los accidentes del trabajo, la maternidad o la pérdida del sostén de la familia</w:t>
      </w:r>
      <w:r>
        <w:rPr>
          <w:rStyle w:val="Refdenotaalpie"/>
          <w:rFonts w:ascii="Arial" w:hAnsi="Arial" w:cs="Arial"/>
          <w:sz w:val="24"/>
        </w:rPr>
        <w:footnoteReference w:id="2"/>
      </w:r>
      <w:r>
        <w:rPr>
          <w:rFonts w:ascii="Arial" w:hAnsi="Arial" w:cs="Arial"/>
          <w:sz w:val="24"/>
        </w:rPr>
        <w:t>.</w:t>
      </w:r>
    </w:p>
    <w:p w14:paraId="607AC1FA" w14:textId="77777777" w:rsidR="00C16CD9" w:rsidRDefault="00C16CD9" w:rsidP="00C16CD9">
      <w:pPr>
        <w:spacing w:line="360" w:lineRule="auto"/>
        <w:rPr>
          <w:rFonts w:ascii="Arial" w:hAnsi="Arial" w:cs="Arial"/>
          <w:sz w:val="24"/>
        </w:rPr>
      </w:pPr>
    </w:p>
    <w:p w14:paraId="6070727E" w14:textId="77777777" w:rsidR="00C16CD9" w:rsidRDefault="00C16CD9" w:rsidP="00C16CD9">
      <w:pPr>
        <w:pStyle w:val="Ttulo1"/>
      </w:pPr>
      <w:bookmarkStart w:id="2" w:name="_Toc73966312"/>
      <w:r w:rsidRPr="00541CD0">
        <w:t>Sistema de pensiones en México</w:t>
      </w:r>
      <w:bookmarkEnd w:id="2"/>
    </w:p>
    <w:p w14:paraId="54E525B0" w14:textId="77777777" w:rsidR="00C16CD9" w:rsidRPr="00541CD0" w:rsidRDefault="00C16CD9" w:rsidP="00C16CD9">
      <w:pPr>
        <w:pStyle w:val="Prrafodelista"/>
        <w:spacing w:line="360" w:lineRule="auto"/>
        <w:rPr>
          <w:rFonts w:ascii="Arial" w:hAnsi="Arial" w:cs="Arial"/>
          <w:b/>
          <w:bCs/>
          <w:sz w:val="24"/>
        </w:rPr>
      </w:pPr>
    </w:p>
    <w:p w14:paraId="75E3A993" w14:textId="77777777" w:rsidR="00C16CD9" w:rsidRDefault="00C16CD9" w:rsidP="00C16CD9">
      <w:pPr>
        <w:spacing w:line="360" w:lineRule="auto"/>
        <w:rPr>
          <w:rFonts w:ascii="Arial" w:hAnsi="Arial" w:cs="Arial"/>
          <w:sz w:val="24"/>
        </w:rPr>
      </w:pPr>
      <w:r>
        <w:rPr>
          <w:rFonts w:ascii="Arial" w:hAnsi="Arial" w:cs="Arial"/>
          <w:sz w:val="24"/>
        </w:rPr>
        <w:t xml:space="preserve">En México, la seguridad social aparece por primera vez en la fracción XXIX del artículo 123 de la Constitución Política de 1917, en la que se contempló el establecimiento de cajas de seguros populares de invalidez, de vida, de accidentes y de cesación involuntaria de trabajo. El 5 de diciembre de 1960 mediante la publicación en el Diario Oficial de la Federación, se reordena el articulo 123 creando dos apartados, en el apartado A se busca regular cuestiones de todas y todos los </w:t>
      </w:r>
      <w:r>
        <w:rPr>
          <w:rFonts w:ascii="Arial" w:hAnsi="Arial" w:cs="Arial"/>
          <w:sz w:val="24"/>
        </w:rPr>
        <w:lastRenderedPageBreak/>
        <w:t>trabajadores, consolidándose los seguros de invalidez, de vejez y de vida, mientras que, en el aparatado B, se refiere a los y las trabajadoras de del Distrito Federal (hoy Cuidad de México) en el que se establecen las bases mínimas de la seguridad social. Los ordenamientos principales que regulan la seguridad social en México son: La ley del Seguro Social y la Ley del Instituto de Seguridad y Servicios Sociales de los Trabajadores del Estado (ISSSTE). De esta forma, en el artículo 2 de la Ley del Seguro Social la seguridad social</w:t>
      </w:r>
      <w:r>
        <w:rPr>
          <w:rStyle w:val="Refdenotaalpie"/>
          <w:rFonts w:ascii="Arial" w:hAnsi="Arial" w:cs="Arial"/>
          <w:sz w:val="24"/>
        </w:rPr>
        <w:footnoteReference w:id="3"/>
      </w:r>
      <w:r>
        <w:rPr>
          <w:rFonts w:ascii="Arial" w:hAnsi="Arial" w:cs="Arial"/>
          <w:sz w:val="24"/>
        </w:rPr>
        <w:t>:</w:t>
      </w:r>
    </w:p>
    <w:p w14:paraId="39ED6809" w14:textId="77777777" w:rsidR="00C16CD9" w:rsidRDefault="00C16CD9" w:rsidP="00C16CD9">
      <w:pPr>
        <w:spacing w:line="360" w:lineRule="auto"/>
        <w:ind w:left="360"/>
        <w:rPr>
          <w:rFonts w:ascii="Arial" w:hAnsi="Arial" w:cs="Arial"/>
          <w:sz w:val="24"/>
        </w:rPr>
      </w:pPr>
      <w:r>
        <w:rPr>
          <w:rFonts w:ascii="Arial" w:hAnsi="Arial" w:cs="Arial"/>
          <w:sz w:val="24"/>
        </w:rPr>
        <w:t>“[…] consiste en garantizar el derecho a la salud, la asistencia médica, la protección de los medios de subsistencia y los servicios sociales necesarios para el bienestar individual y colectivo, y el otorgamiento de una pensión que será garantizada por el Estado, previo cumplimiento de los requisitos legales”</w:t>
      </w:r>
    </w:p>
    <w:p w14:paraId="63BCF004" w14:textId="77777777" w:rsidR="00C16CD9" w:rsidRDefault="00C16CD9" w:rsidP="00C16CD9">
      <w:pPr>
        <w:spacing w:line="360" w:lineRule="auto"/>
        <w:rPr>
          <w:rFonts w:ascii="Arial" w:hAnsi="Arial" w:cs="Arial"/>
          <w:sz w:val="24"/>
        </w:rPr>
      </w:pPr>
      <w:r>
        <w:rPr>
          <w:rFonts w:ascii="Arial" w:hAnsi="Arial" w:cs="Arial"/>
          <w:sz w:val="24"/>
        </w:rPr>
        <w:t xml:space="preserve">La característica principal de la seguridad social en México es que, desde sus inicios, no ofrece una cobertura universal, es decir que no es capaz de proteger a todos y todas las ciudadanas. Aunque para generalizar hablamos de un sistema de pensiones en México, es importante mencionar que cuando analizamos el tema nos enfrentamos a más de mil modelos, sistemas y esquemas de pensiones, cada uno con sus determinadas particularidades: tasas de cotización, tasas de reemplazo, reglas, incentivos, condiciones y beneficio.  Cuando nos referimos al sistema de </w:t>
      </w:r>
      <w:r>
        <w:rPr>
          <w:rFonts w:ascii="Arial" w:hAnsi="Arial" w:cs="Arial"/>
          <w:sz w:val="24"/>
        </w:rPr>
        <w:lastRenderedPageBreak/>
        <w:t>pensiones nos encontramos frente una fragmentación de instituciones y subsistemas</w:t>
      </w:r>
      <w:r>
        <w:rPr>
          <w:rStyle w:val="Refdenotaalpie"/>
          <w:rFonts w:ascii="Arial" w:hAnsi="Arial" w:cs="Arial"/>
          <w:sz w:val="24"/>
        </w:rPr>
        <w:footnoteReference w:id="4"/>
      </w:r>
      <w:r>
        <w:rPr>
          <w:rFonts w:ascii="Arial" w:hAnsi="Arial" w:cs="Arial"/>
          <w:sz w:val="24"/>
        </w:rPr>
        <w:t xml:space="preserve">. </w:t>
      </w:r>
    </w:p>
    <w:p w14:paraId="6250C5FB" w14:textId="77777777" w:rsidR="00C16CD9" w:rsidRDefault="00C16CD9" w:rsidP="00C16CD9">
      <w:pPr>
        <w:spacing w:line="360" w:lineRule="auto"/>
        <w:rPr>
          <w:rFonts w:ascii="Arial" w:hAnsi="Arial" w:cs="Arial"/>
          <w:sz w:val="24"/>
        </w:rPr>
      </w:pPr>
      <w:r>
        <w:rPr>
          <w:rFonts w:ascii="Arial" w:hAnsi="Arial" w:cs="Arial"/>
          <w:sz w:val="24"/>
        </w:rPr>
        <w:t>En México, el gasto de las pensiones corresponde de cinco instituciones: dos provienen de Empresas Productivas del Estado y tres proveedoras de seguridad social (salud y pensiones), por otro lado, el gobierno federal, a través de la Secretaria de Hacienda y Crédito Público (SHCP) destina recursos para el pago de instituciones desaparecidas o para las aportaciones de capitalización individual. Finalmente es importante mencionar, que a partir de 2007 el gobierno considera la pensión no contributiva en el gasto dirigido a las pensiones</w:t>
      </w:r>
      <w:r>
        <w:rPr>
          <w:rStyle w:val="Refdenotaalpie"/>
          <w:rFonts w:ascii="Arial" w:hAnsi="Arial" w:cs="Arial"/>
          <w:sz w:val="24"/>
        </w:rPr>
        <w:footnoteReference w:id="5"/>
      </w:r>
      <w:r>
        <w:rPr>
          <w:rFonts w:ascii="Arial" w:hAnsi="Arial" w:cs="Arial"/>
          <w:sz w:val="24"/>
        </w:rPr>
        <w:t xml:space="preserve">. </w:t>
      </w:r>
    </w:p>
    <w:p w14:paraId="4FC82A0A" w14:textId="77777777" w:rsidR="00C16CD9" w:rsidRDefault="00C16CD9" w:rsidP="00C16CD9">
      <w:pPr>
        <w:spacing w:line="360" w:lineRule="auto"/>
        <w:rPr>
          <w:rFonts w:ascii="Arial" w:hAnsi="Arial" w:cs="Arial"/>
          <w:sz w:val="24"/>
        </w:rPr>
      </w:pPr>
      <w:r>
        <w:rPr>
          <w:rFonts w:ascii="Arial" w:hAnsi="Arial" w:cs="Arial"/>
          <w:sz w:val="24"/>
        </w:rPr>
        <w:t>Actualmente el sistema de pensiones en México está compuesto por cuatro pilares</w:t>
      </w:r>
      <w:r>
        <w:rPr>
          <w:rStyle w:val="Refdenotaalpie"/>
          <w:rFonts w:ascii="Arial" w:hAnsi="Arial" w:cs="Arial"/>
          <w:sz w:val="24"/>
        </w:rPr>
        <w:footnoteReference w:id="6"/>
      </w:r>
      <w:r>
        <w:rPr>
          <w:rFonts w:ascii="Arial" w:hAnsi="Arial" w:cs="Arial"/>
          <w:sz w:val="24"/>
        </w:rPr>
        <w:t xml:space="preserve">: </w:t>
      </w:r>
    </w:p>
    <w:p w14:paraId="4D01A523" w14:textId="77777777" w:rsidR="00C16CD9" w:rsidRDefault="00C16CD9" w:rsidP="00C16CD9">
      <w:pPr>
        <w:pStyle w:val="Prrafodelista"/>
        <w:numPr>
          <w:ilvl w:val="0"/>
          <w:numId w:val="7"/>
        </w:numPr>
        <w:spacing w:before="0" w:after="160" w:line="360" w:lineRule="auto"/>
        <w:rPr>
          <w:rFonts w:ascii="Arial" w:hAnsi="Arial" w:cs="Arial"/>
          <w:sz w:val="24"/>
        </w:rPr>
      </w:pPr>
      <w:r w:rsidRPr="00522C29">
        <w:rPr>
          <w:rFonts w:ascii="Arial" w:hAnsi="Arial" w:cs="Arial"/>
          <w:b/>
          <w:bCs/>
          <w:sz w:val="24"/>
        </w:rPr>
        <w:t>Pensión mínima:</w:t>
      </w:r>
      <w:r>
        <w:rPr>
          <w:rFonts w:ascii="Arial" w:hAnsi="Arial" w:cs="Arial"/>
          <w:sz w:val="24"/>
        </w:rPr>
        <w:t xml:space="preserve"> Se otorga a adultos mayores con el objetivo de reducir la vulnerabilidad y enfrentar la pobreza mediante una presión no contributiva que puede ser universal o focalizada. Son financiadas por recursos públicos. </w:t>
      </w:r>
    </w:p>
    <w:p w14:paraId="532911F2" w14:textId="77777777" w:rsidR="00C16CD9" w:rsidRDefault="00C16CD9" w:rsidP="00C16CD9">
      <w:pPr>
        <w:pStyle w:val="Prrafodelista"/>
        <w:numPr>
          <w:ilvl w:val="0"/>
          <w:numId w:val="7"/>
        </w:numPr>
        <w:spacing w:before="0" w:after="160" w:line="360" w:lineRule="auto"/>
        <w:rPr>
          <w:rFonts w:ascii="Arial" w:hAnsi="Arial" w:cs="Arial"/>
          <w:sz w:val="24"/>
        </w:rPr>
      </w:pPr>
      <w:r w:rsidRPr="00522C29">
        <w:rPr>
          <w:rFonts w:ascii="Arial" w:hAnsi="Arial" w:cs="Arial"/>
          <w:b/>
          <w:bCs/>
          <w:sz w:val="24"/>
        </w:rPr>
        <w:t>Pensión de beneficio definido o pensión de reparto:</w:t>
      </w:r>
      <w:r>
        <w:rPr>
          <w:rFonts w:ascii="Arial" w:hAnsi="Arial" w:cs="Arial"/>
          <w:sz w:val="24"/>
        </w:rPr>
        <w:t xml:space="preserve"> Los trabajadores deben aportar obligatoriamente cuestas establecidas a través de la ley correspondiente. En el caso de México este pilar es financiado por el patrón, la federación y los trabajadores. </w:t>
      </w:r>
    </w:p>
    <w:p w14:paraId="69A24FC5" w14:textId="77777777" w:rsidR="00C16CD9" w:rsidRDefault="00C16CD9" w:rsidP="00C16CD9">
      <w:pPr>
        <w:pStyle w:val="Prrafodelista"/>
        <w:numPr>
          <w:ilvl w:val="0"/>
          <w:numId w:val="7"/>
        </w:numPr>
        <w:spacing w:before="0" w:after="160" w:line="360" w:lineRule="auto"/>
        <w:rPr>
          <w:rFonts w:ascii="Arial" w:hAnsi="Arial" w:cs="Arial"/>
          <w:sz w:val="24"/>
        </w:rPr>
      </w:pPr>
      <w:r w:rsidRPr="00522C29">
        <w:rPr>
          <w:rFonts w:ascii="Arial" w:hAnsi="Arial" w:cs="Arial"/>
          <w:b/>
          <w:bCs/>
          <w:sz w:val="24"/>
        </w:rPr>
        <w:lastRenderedPageBreak/>
        <w:t>Pensión de contribución definida o pensión de capacitación individuos:</w:t>
      </w:r>
      <w:r>
        <w:rPr>
          <w:rFonts w:ascii="Arial" w:hAnsi="Arial" w:cs="Arial"/>
          <w:sz w:val="24"/>
        </w:rPr>
        <w:t xml:space="preserve"> Es obligatorio y se encuentra vigente para la mayoría de los trabajadores formales del país. Establece los derechos de propiedad sobre los recursos, cuando cada individuo es dueño de sus ahorros que constituyen los beneficios de su pensión. </w:t>
      </w:r>
    </w:p>
    <w:p w14:paraId="12DB3720" w14:textId="77777777" w:rsidR="00C16CD9" w:rsidRPr="007D40CB" w:rsidRDefault="00C16CD9" w:rsidP="00C16CD9">
      <w:pPr>
        <w:pStyle w:val="Prrafodelista"/>
        <w:numPr>
          <w:ilvl w:val="0"/>
          <w:numId w:val="7"/>
        </w:numPr>
        <w:spacing w:before="0" w:after="160" w:line="360" w:lineRule="auto"/>
        <w:rPr>
          <w:rFonts w:ascii="Arial" w:hAnsi="Arial" w:cs="Arial"/>
          <w:sz w:val="24"/>
        </w:rPr>
      </w:pPr>
      <w:r w:rsidRPr="00522C29">
        <w:rPr>
          <w:rFonts w:ascii="Arial" w:hAnsi="Arial" w:cs="Arial"/>
          <w:b/>
          <w:bCs/>
          <w:sz w:val="24"/>
        </w:rPr>
        <w:t>Ahorros voluntarios</w:t>
      </w:r>
      <w:r>
        <w:rPr>
          <w:rFonts w:ascii="Arial" w:hAnsi="Arial" w:cs="Arial"/>
          <w:sz w:val="24"/>
        </w:rPr>
        <w:t xml:space="preserve">: Cuentas de ahorro individuales y planes de ahorro privados para pensiones pueden ser flexibles, discrecionales y distintos. </w:t>
      </w:r>
    </w:p>
    <w:p w14:paraId="7EDE7214" w14:textId="77777777" w:rsidR="00C16CD9" w:rsidRPr="00D84561" w:rsidRDefault="00C16CD9" w:rsidP="00C16CD9">
      <w:pPr>
        <w:spacing w:line="360" w:lineRule="auto"/>
        <w:rPr>
          <w:rFonts w:ascii="Arial" w:hAnsi="Arial" w:cs="Arial"/>
          <w:sz w:val="24"/>
        </w:rPr>
      </w:pPr>
      <w:r>
        <w:rPr>
          <w:rFonts w:ascii="Arial" w:hAnsi="Arial" w:cs="Arial"/>
          <w:sz w:val="24"/>
        </w:rPr>
        <w:t>Descripción de servicios relacionados con pensiones por retiro, cesantía por edad avanzada y vejez en las instituciones de seguridad social contributiva y no contributiva</w:t>
      </w:r>
      <w:r>
        <w:rPr>
          <w:rStyle w:val="Refdenotaalpie"/>
          <w:rFonts w:ascii="Arial" w:hAnsi="Arial" w:cs="Arial"/>
          <w:sz w:val="24"/>
        </w:rPr>
        <w:footnoteReference w:id="7"/>
      </w:r>
      <w:r>
        <w:rPr>
          <w:rFonts w:ascii="Arial" w:hAnsi="Arial" w:cs="Arial"/>
          <w:sz w:val="24"/>
        </w:rPr>
        <w:t xml:space="preserve">: </w:t>
      </w:r>
    </w:p>
    <w:p w14:paraId="36CB76F5"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 xml:space="preserve">Instituto Mexicano de Seguridad social (IMSS): </w:t>
      </w:r>
      <w:r w:rsidRPr="00522C29">
        <w:rPr>
          <w:rFonts w:ascii="Arial" w:hAnsi="Arial" w:cs="Arial"/>
          <w:sz w:val="24"/>
        </w:rPr>
        <w:t>Hay dos tipos de pensiones, la pensión por retiro y la presión por cesantía en edad avanzada o vejez, que son financiadas por el seguro de Reti</w:t>
      </w:r>
      <w:r>
        <w:rPr>
          <w:rFonts w:ascii="Arial" w:hAnsi="Arial" w:cs="Arial"/>
          <w:sz w:val="24"/>
        </w:rPr>
        <w:t>r</w:t>
      </w:r>
      <w:r w:rsidRPr="00522C29">
        <w:rPr>
          <w:rFonts w:ascii="Arial" w:hAnsi="Arial" w:cs="Arial"/>
          <w:sz w:val="24"/>
        </w:rPr>
        <w:t>o y por las aportaciones al seguro Cesantía por Edad Avanzada o Vejez, realizadas por el traba</w:t>
      </w:r>
      <w:r>
        <w:rPr>
          <w:rFonts w:ascii="Arial" w:hAnsi="Arial" w:cs="Arial"/>
          <w:sz w:val="24"/>
        </w:rPr>
        <w:t>ja</w:t>
      </w:r>
      <w:r w:rsidRPr="00522C29">
        <w:rPr>
          <w:rFonts w:ascii="Arial" w:hAnsi="Arial" w:cs="Arial"/>
          <w:sz w:val="24"/>
        </w:rPr>
        <w:t xml:space="preserve">dor, el empleador y el Estado. </w:t>
      </w:r>
    </w:p>
    <w:p w14:paraId="369F5B10"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 xml:space="preserve">Instituto de Seguridad y Servicios Sociales de los Trabajadores del Estado (ISSSTE): </w:t>
      </w:r>
      <w:r w:rsidRPr="00522C29">
        <w:rPr>
          <w:rFonts w:ascii="Arial" w:hAnsi="Arial" w:cs="Arial"/>
          <w:sz w:val="24"/>
        </w:rPr>
        <w:t>Cuenta con el régimen de cuenta</w:t>
      </w:r>
      <w:r>
        <w:rPr>
          <w:rFonts w:ascii="Arial" w:hAnsi="Arial" w:cs="Arial"/>
          <w:sz w:val="24"/>
        </w:rPr>
        <w:t>s</w:t>
      </w:r>
      <w:r w:rsidRPr="00522C29">
        <w:rPr>
          <w:rFonts w:ascii="Arial" w:hAnsi="Arial" w:cs="Arial"/>
          <w:sz w:val="24"/>
        </w:rPr>
        <w:t xml:space="preserve"> individuales y el régimen por el décimo transitario, que incluye pensiones por jubilación, por retiro de edad y tiempo de servicios, y pensión por cesantía y vejez. Son </w:t>
      </w:r>
      <w:r w:rsidRPr="00522C29">
        <w:rPr>
          <w:rFonts w:ascii="Arial" w:hAnsi="Arial" w:cs="Arial"/>
          <w:sz w:val="24"/>
        </w:rPr>
        <w:lastRenderedPageBreak/>
        <w:t>financiadas por contribuciones del trabajador, las dependencias y entidades, y el gobierno federal.</w:t>
      </w:r>
    </w:p>
    <w:p w14:paraId="1A754849"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Petróleos mexicanos (PEMEX):</w:t>
      </w:r>
      <w:r w:rsidRPr="00522C29">
        <w:rPr>
          <w:rFonts w:ascii="Arial" w:hAnsi="Arial" w:cs="Arial"/>
          <w:sz w:val="24"/>
        </w:rPr>
        <w:t xml:space="preserve"> A partir de 2006, el sistema de pensiones paso a un esquema de contribución definida. </w:t>
      </w:r>
    </w:p>
    <w:p w14:paraId="2062D956"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 xml:space="preserve">Comisión Federal de Electricidad (CFE): </w:t>
      </w:r>
      <w:r w:rsidRPr="00522C29">
        <w:rPr>
          <w:rFonts w:ascii="Arial" w:hAnsi="Arial" w:cs="Arial"/>
          <w:sz w:val="24"/>
        </w:rPr>
        <w:t>A partir de agosto de 2008, por cambios en su contrato colectivo de trabajo, se establecen dos tipos de jubilaciones distint</w:t>
      </w:r>
      <w:r>
        <w:rPr>
          <w:rFonts w:ascii="Arial" w:hAnsi="Arial" w:cs="Arial"/>
          <w:sz w:val="24"/>
        </w:rPr>
        <w:t>a</w:t>
      </w:r>
      <w:r w:rsidRPr="00522C29">
        <w:rPr>
          <w:rFonts w:ascii="Arial" w:hAnsi="Arial" w:cs="Arial"/>
          <w:sz w:val="24"/>
        </w:rPr>
        <w:t>s para los trabajadores titulares de una plaza el 18 de agosto y los traba</w:t>
      </w:r>
      <w:r>
        <w:rPr>
          <w:rFonts w:ascii="Arial" w:hAnsi="Arial" w:cs="Arial"/>
          <w:sz w:val="24"/>
        </w:rPr>
        <w:t>ja</w:t>
      </w:r>
      <w:r w:rsidRPr="00522C29">
        <w:rPr>
          <w:rFonts w:ascii="Arial" w:hAnsi="Arial" w:cs="Arial"/>
          <w:sz w:val="24"/>
        </w:rPr>
        <w:t xml:space="preserve">dores que ingresaron a la Comisión a partir de esa fecha. </w:t>
      </w:r>
    </w:p>
    <w:p w14:paraId="0B38704B"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Instituto de Seguridad Social de las Fuerzas Armadas:</w:t>
      </w:r>
      <w:r w:rsidRPr="00522C29">
        <w:rPr>
          <w:rFonts w:ascii="Arial" w:hAnsi="Arial" w:cs="Arial"/>
          <w:sz w:val="24"/>
        </w:rPr>
        <w:t xml:space="preserve"> El retiro implica la prestación económica vitalicia a la que tiene derecho los militares retirados, con alguna discapacidad o en caso de fallecer, sus familiares reciben su pensión. </w:t>
      </w:r>
    </w:p>
    <w:p w14:paraId="0F389BA1"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Secretaria de Hacienda y Crédito Público</w:t>
      </w:r>
      <w:r w:rsidRPr="00522C29">
        <w:rPr>
          <w:rFonts w:ascii="Arial" w:hAnsi="Arial" w:cs="Arial"/>
          <w:sz w:val="24"/>
        </w:rPr>
        <w:t xml:space="preserve">: Se encarga de administrar y pagar las pensiones de personas retiradas que pertenecen a entidades desaparecidas </w:t>
      </w:r>
      <w:r>
        <w:rPr>
          <w:rFonts w:ascii="Arial" w:hAnsi="Arial" w:cs="Arial"/>
          <w:sz w:val="24"/>
        </w:rPr>
        <w:t xml:space="preserve">y </w:t>
      </w:r>
      <w:r w:rsidRPr="00522C29">
        <w:rPr>
          <w:rFonts w:ascii="Arial" w:hAnsi="Arial" w:cs="Arial"/>
          <w:sz w:val="24"/>
        </w:rPr>
        <w:t>de la administración pública federal como Luz y Fuerza del Centro (LFC) o Ferrocarriles Nacionales</w:t>
      </w:r>
      <w:r>
        <w:rPr>
          <w:rFonts w:ascii="Arial" w:hAnsi="Arial" w:cs="Arial"/>
          <w:sz w:val="24"/>
        </w:rPr>
        <w:t xml:space="preserve">. </w:t>
      </w:r>
    </w:p>
    <w:p w14:paraId="09B733AD" w14:textId="77777777" w:rsidR="00C16CD9" w:rsidRPr="00522C29" w:rsidRDefault="00C16CD9" w:rsidP="00C16CD9">
      <w:pPr>
        <w:pStyle w:val="Prrafodelista"/>
        <w:numPr>
          <w:ilvl w:val="0"/>
          <w:numId w:val="8"/>
        </w:numPr>
        <w:spacing w:before="0" w:after="160" w:line="360" w:lineRule="auto"/>
        <w:rPr>
          <w:rFonts w:ascii="Arial" w:hAnsi="Arial" w:cs="Arial"/>
          <w:sz w:val="24"/>
        </w:rPr>
      </w:pPr>
      <w:r w:rsidRPr="00522C29">
        <w:rPr>
          <w:rFonts w:ascii="Arial" w:hAnsi="Arial" w:cs="Arial"/>
          <w:b/>
          <w:bCs/>
          <w:sz w:val="24"/>
        </w:rPr>
        <w:t xml:space="preserve">Secretaria de Bienestar: </w:t>
      </w:r>
      <w:r w:rsidRPr="00522C29">
        <w:rPr>
          <w:rFonts w:ascii="Arial" w:hAnsi="Arial" w:cs="Arial"/>
          <w:sz w:val="24"/>
        </w:rPr>
        <w:t xml:space="preserve"> </w:t>
      </w:r>
      <w:r>
        <w:rPr>
          <w:rFonts w:ascii="Arial" w:hAnsi="Arial" w:cs="Arial"/>
          <w:sz w:val="24"/>
        </w:rPr>
        <w:t>O</w:t>
      </w:r>
      <w:r w:rsidRPr="00522C29">
        <w:rPr>
          <w:rFonts w:ascii="Arial" w:hAnsi="Arial" w:cs="Arial"/>
          <w:sz w:val="24"/>
        </w:rPr>
        <w:t xml:space="preserve">torga una pensión no contributiva a adultos mayores de 65 años que no cuentan con una pensión por parte de alguna institución de seguridad social o Empresa Productiva del Estado. </w:t>
      </w:r>
    </w:p>
    <w:p w14:paraId="54463290" w14:textId="77777777" w:rsidR="00C16CD9" w:rsidRPr="00522C29" w:rsidRDefault="00C16CD9" w:rsidP="00C16CD9">
      <w:pPr>
        <w:pStyle w:val="Ttulo1"/>
      </w:pPr>
      <w:bookmarkStart w:id="3" w:name="_Toc73966313"/>
      <w:r w:rsidRPr="00522C29">
        <w:t>Situación del sistema de pensiones a nivel nacional</w:t>
      </w:r>
      <w:bookmarkEnd w:id="3"/>
    </w:p>
    <w:p w14:paraId="240E996D" w14:textId="77777777" w:rsidR="00C16CD9" w:rsidRDefault="00C16CD9" w:rsidP="00C16CD9">
      <w:pPr>
        <w:spacing w:line="360" w:lineRule="auto"/>
        <w:rPr>
          <w:rFonts w:ascii="Arial" w:hAnsi="Arial" w:cs="Arial"/>
          <w:sz w:val="24"/>
        </w:rPr>
      </w:pPr>
      <w:r>
        <w:rPr>
          <w:rFonts w:ascii="Arial" w:hAnsi="Arial" w:cs="Arial"/>
          <w:sz w:val="24"/>
        </w:rPr>
        <w:t xml:space="preserve">En 2020, la población estimada en México es de 128.7 millones de personas, de los cuales 17.1% son niños y niñas (de 0 a 9 años), el 17.4% son adolescentes (de 10 </w:t>
      </w:r>
      <w:r>
        <w:rPr>
          <w:rFonts w:ascii="Arial" w:hAnsi="Arial" w:cs="Arial"/>
          <w:sz w:val="24"/>
        </w:rPr>
        <w:lastRenderedPageBreak/>
        <w:t>a 19 años), el 16.8% son jóvenes (de 20 a 29 años), el 37.4% son adultos (de 30 a 59) y el 11.3% pertenece a adultos mayores (más de 60 años)</w:t>
      </w:r>
      <w:r>
        <w:rPr>
          <w:rStyle w:val="Refdenotaalpie"/>
          <w:rFonts w:ascii="Arial" w:hAnsi="Arial" w:cs="Arial"/>
          <w:sz w:val="24"/>
        </w:rPr>
        <w:footnoteReference w:id="8"/>
      </w:r>
      <w:r>
        <w:rPr>
          <w:rFonts w:ascii="Arial" w:hAnsi="Arial" w:cs="Arial"/>
          <w:sz w:val="24"/>
        </w:rPr>
        <w:t xml:space="preserve">. </w:t>
      </w:r>
    </w:p>
    <w:p w14:paraId="5F20BFA4" w14:textId="77777777" w:rsidR="00C16CD9" w:rsidRPr="00BC2724" w:rsidRDefault="00C16CD9" w:rsidP="00C16CD9">
      <w:pPr>
        <w:spacing w:line="360" w:lineRule="auto"/>
        <w:rPr>
          <w:rFonts w:ascii="Arial" w:hAnsi="Arial" w:cs="Arial"/>
          <w:sz w:val="24"/>
        </w:rPr>
      </w:pPr>
      <w:r>
        <w:rPr>
          <w:rFonts w:ascii="Arial" w:hAnsi="Arial" w:cs="Arial"/>
          <w:sz w:val="24"/>
        </w:rPr>
        <w:t>Sin embargo, para 2050 se estima que la población total de México ascenderá a 148.2 millones de personas, la edad mediana de la población será 45 años y más, se observa también un ensanchamiento en la pirámide en la población de 65 años y más, mientras que en la población infantil se observa una reducción</w:t>
      </w:r>
      <w:r>
        <w:rPr>
          <w:rStyle w:val="Refdenotaalpie"/>
          <w:rFonts w:ascii="Arial" w:hAnsi="Arial" w:cs="Arial"/>
          <w:sz w:val="24"/>
        </w:rPr>
        <w:footnoteReference w:id="9"/>
      </w:r>
      <w:r>
        <w:rPr>
          <w:rFonts w:ascii="Arial" w:hAnsi="Arial" w:cs="Arial"/>
          <w:sz w:val="24"/>
        </w:rPr>
        <w:t xml:space="preserve">. </w:t>
      </w:r>
    </w:p>
    <w:p w14:paraId="0664D6A4" w14:textId="77777777" w:rsidR="00C16CD9" w:rsidRPr="00BC2724" w:rsidRDefault="00C16CD9" w:rsidP="00C16CD9">
      <w:pPr>
        <w:spacing w:line="360" w:lineRule="auto"/>
        <w:jc w:val="center"/>
        <w:rPr>
          <w:rFonts w:ascii="Arial" w:hAnsi="Arial" w:cs="Arial"/>
          <w:b/>
          <w:bCs/>
          <w:sz w:val="24"/>
        </w:rPr>
      </w:pPr>
      <w:r w:rsidRPr="00BC2724">
        <w:rPr>
          <w:rFonts w:ascii="Arial" w:hAnsi="Arial" w:cs="Arial"/>
          <w:b/>
          <w:bCs/>
        </w:rPr>
        <w:t>República Mexicana. Distribución porcentual por edad y sexo de la población, 2016, 2030 y 2050</w:t>
      </w:r>
    </w:p>
    <w:p w14:paraId="658AFFCF" w14:textId="77777777" w:rsidR="00C16CD9" w:rsidRDefault="00C16CD9" w:rsidP="00C16CD9">
      <w:pPr>
        <w:spacing w:line="360" w:lineRule="auto"/>
        <w:jc w:val="center"/>
        <w:rPr>
          <w:rFonts w:ascii="Arial" w:hAnsi="Arial" w:cs="Arial"/>
          <w:sz w:val="24"/>
        </w:rPr>
      </w:pPr>
      <w:r>
        <w:rPr>
          <w:noProof/>
          <w:lang w:eastAsia="es-MX"/>
        </w:rPr>
        <w:lastRenderedPageBreak/>
        <w:drawing>
          <wp:inline distT="0" distB="0" distL="0" distR="0" wp14:anchorId="4E0D9908" wp14:editId="7AB4AE1B">
            <wp:extent cx="5562120" cy="3310759"/>
            <wp:effectExtent l="0" t="0" r="63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3854" t="16990" r="14924" b="6547"/>
                    <a:stretch/>
                  </pic:blipFill>
                  <pic:spPr bwMode="auto">
                    <a:xfrm>
                      <a:off x="0" y="0"/>
                      <a:ext cx="5671126" cy="3375643"/>
                    </a:xfrm>
                    <a:prstGeom prst="rect">
                      <a:avLst/>
                    </a:prstGeom>
                    <a:ln>
                      <a:noFill/>
                    </a:ln>
                    <a:extLst>
                      <a:ext uri="{53640926-AAD7-44D8-BBD7-CCE9431645EC}">
                        <a14:shadowObscured xmlns:a14="http://schemas.microsoft.com/office/drawing/2010/main"/>
                      </a:ext>
                    </a:extLst>
                  </pic:spPr>
                </pic:pic>
              </a:graphicData>
            </a:graphic>
          </wp:inline>
        </w:drawing>
      </w:r>
    </w:p>
    <w:p w14:paraId="208484D0" w14:textId="77777777" w:rsidR="00C16CD9" w:rsidRDefault="00C16CD9" w:rsidP="00C16CD9">
      <w:pPr>
        <w:spacing w:line="360" w:lineRule="auto"/>
        <w:jc w:val="center"/>
        <w:rPr>
          <w:i/>
          <w:iCs/>
          <w:sz w:val="16"/>
          <w:szCs w:val="16"/>
        </w:rPr>
      </w:pPr>
      <w:r w:rsidRPr="00314B57">
        <w:rPr>
          <w:rFonts w:ascii="Arial" w:hAnsi="Arial" w:cs="Arial"/>
          <w:i/>
          <w:iCs/>
          <w:sz w:val="16"/>
          <w:szCs w:val="16"/>
        </w:rPr>
        <w:t>Fuente: Estimaciones del CONAPO con base en las Proyecciones de la Población de México y de las Entidades Federativas, 2016-2050</w:t>
      </w:r>
      <w:r w:rsidRPr="00314B57">
        <w:rPr>
          <w:i/>
          <w:iCs/>
          <w:sz w:val="16"/>
          <w:szCs w:val="16"/>
        </w:rPr>
        <w:t>.</w:t>
      </w:r>
    </w:p>
    <w:p w14:paraId="16E7E686" w14:textId="77777777" w:rsidR="00C16CD9" w:rsidRPr="00314B57" w:rsidRDefault="00C16CD9" w:rsidP="00C16CD9">
      <w:pPr>
        <w:spacing w:line="360" w:lineRule="auto"/>
        <w:jc w:val="center"/>
        <w:rPr>
          <w:rFonts w:ascii="Arial" w:hAnsi="Arial" w:cs="Arial"/>
          <w:i/>
          <w:iCs/>
          <w:sz w:val="16"/>
          <w:szCs w:val="16"/>
        </w:rPr>
      </w:pPr>
    </w:p>
    <w:p w14:paraId="598356AE" w14:textId="77777777" w:rsidR="00C16CD9" w:rsidRDefault="00C16CD9" w:rsidP="00C16CD9">
      <w:pPr>
        <w:spacing w:line="360" w:lineRule="auto"/>
        <w:rPr>
          <w:rFonts w:ascii="Arial" w:hAnsi="Arial" w:cs="Arial"/>
          <w:sz w:val="24"/>
        </w:rPr>
      </w:pPr>
      <w:r>
        <w:rPr>
          <w:rFonts w:ascii="Arial" w:hAnsi="Arial" w:cs="Arial"/>
          <w:sz w:val="24"/>
        </w:rPr>
        <w:t xml:space="preserve">Las proyecciones de la población nos permiten observar los cambios demográficos que se presentarán en algunos años, conocer estos datos nos permite prepararnos a nivel institucional y social. El aumento de la población de 65 años y más nos enfrenta a un panorama en el que será necesario garantizar una vejez digna para este sector de población. </w:t>
      </w:r>
    </w:p>
    <w:p w14:paraId="1EA12D4D" w14:textId="77777777" w:rsidR="00C16CD9" w:rsidRDefault="00C16CD9" w:rsidP="00C16CD9">
      <w:pPr>
        <w:rPr>
          <w:rFonts w:ascii="Arial" w:hAnsi="Arial" w:cs="Arial"/>
          <w:sz w:val="24"/>
        </w:rPr>
      </w:pPr>
      <w:r>
        <w:rPr>
          <w:rFonts w:ascii="Arial" w:hAnsi="Arial" w:cs="Arial"/>
          <w:sz w:val="24"/>
        </w:rPr>
        <w:br w:type="page"/>
      </w:r>
    </w:p>
    <w:p w14:paraId="28539F84" w14:textId="77777777" w:rsidR="00C16CD9" w:rsidRPr="00263650" w:rsidRDefault="00C16CD9" w:rsidP="00C16CD9">
      <w:pPr>
        <w:spacing w:line="360" w:lineRule="auto"/>
        <w:jc w:val="center"/>
        <w:rPr>
          <w:rFonts w:ascii="Arial" w:hAnsi="Arial" w:cs="Arial"/>
          <w:b/>
          <w:bCs/>
          <w:sz w:val="24"/>
        </w:rPr>
      </w:pPr>
      <w:r w:rsidRPr="00263650">
        <w:rPr>
          <w:rFonts w:ascii="Arial" w:hAnsi="Arial" w:cs="Arial"/>
          <w:b/>
          <w:bCs/>
          <w:sz w:val="24"/>
        </w:rPr>
        <w:lastRenderedPageBreak/>
        <w:t xml:space="preserve">Gasto del PIB en Pensiones </w:t>
      </w:r>
    </w:p>
    <w:p w14:paraId="2B1B5BCD" w14:textId="77777777" w:rsidR="00C16CD9" w:rsidRDefault="00C16CD9" w:rsidP="00C16CD9">
      <w:pPr>
        <w:spacing w:line="360" w:lineRule="auto"/>
        <w:jc w:val="center"/>
        <w:rPr>
          <w:rFonts w:ascii="Arial" w:hAnsi="Arial" w:cs="Arial"/>
          <w:sz w:val="24"/>
        </w:rPr>
      </w:pPr>
      <w:r>
        <w:rPr>
          <w:noProof/>
          <w:lang w:eastAsia="es-MX"/>
        </w:rPr>
        <w:drawing>
          <wp:inline distT="0" distB="0" distL="0" distR="0" wp14:anchorId="008838B9" wp14:editId="04F4CEE0">
            <wp:extent cx="4640094" cy="2474184"/>
            <wp:effectExtent l="0" t="0" r="8255"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642" r="1561"/>
                    <a:stretch/>
                  </pic:blipFill>
                  <pic:spPr bwMode="auto">
                    <a:xfrm>
                      <a:off x="0" y="0"/>
                      <a:ext cx="4650111" cy="2479525"/>
                    </a:xfrm>
                    <a:prstGeom prst="rect">
                      <a:avLst/>
                    </a:prstGeom>
                    <a:ln>
                      <a:noFill/>
                    </a:ln>
                    <a:extLst>
                      <a:ext uri="{53640926-AAD7-44D8-BBD7-CCE9431645EC}">
                        <a14:shadowObscured xmlns:a14="http://schemas.microsoft.com/office/drawing/2010/main"/>
                      </a:ext>
                    </a:extLst>
                  </pic:spPr>
                </pic:pic>
              </a:graphicData>
            </a:graphic>
          </wp:inline>
        </w:drawing>
      </w:r>
    </w:p>
    <w:p w14:paraId="539DA0F0" w14:textId="77777777" w:rsidR="00C16CD9" w:rsidRPr="00314B57" w:rsidRDefault="00C16CD9" w:rsidP="00C16CD9">
      <w:pPr>
        <w:spacing w:line="360" w:lineRule="auto"/>
        <w:jc w:val="center"/>
        <w:rPr>
          <w:rFonts w:ascii="Arial" w:hAnsi="Arial" w:cs="Arial"/>
          <w:i/>
          <w:iCs/>
          <w:sz w:val="16"/>
          <w:szCs w:val="16"/>
        </w:rPr>
      </w:pPr>
      <w:r w:rsidRPr="00314B57">
        <w:rPr>
          <w:rFonts w:ascii="Arial" w:hAnsi="Arial" w:cs="Arial"/>
          <w:i/>
          <w:iCs/>
          <w:sz w:val="16"/>
          <w:szCs w:val="16"/>
        </w:rPr>
        <w:t>Fuente: OCDE Pension spending, 2019</w:t>
      </w:r>
    </w:p>
    <w:p w14:paraId="6133EC61" w14:textId="77777777" w:rsidR="00C16CD9" w:rsidRDefault="00C16CD9" w:rsidP="00C16CD9">
      <w:pPr>
        <w:spacing w:line="360" w:lineRule="auto"/>
        <w:rPr>
          <w:rFonts w:ascii="Arial" w:hAnsi="Arial" w:cs="Arial"/>
          <w:sz w:val="24"/>
        </w:rPr>
      </w:pPr>
      <w:r>
        <w:rPr>
          <w:rFonts w:ascii="Arial" w:hAnsi="Arial" w:cs="Arial"/>
          <w:sz w:val="24"/>
        </w:rPr>
        <w:t xml:space="preserve">De acuerdo a la </w:t>
      </w:r>
      <w:r w:rsidRPr="00F56801">
        <w:rPr>
          <w:rFonts w:ascii="Arial" w:hAnsi="Arial" w:cs="Arial"/>
          <w:sz w:val="24"/>
        </w:rPr>
        <w:t>Organización para la Cooperación y el Desarrollo Económico</w:t>
      </w:r>
      <w:r>
        <w:rPr>
          <w:rFonts w:ascii="Arial" w:hAnsi="Arial" w:cs="Arial"/>
          <w:sz w:val="24"/>
        </w:rPr>
        <w:t>, en la gráfica anterior podemos observar que, en 2019, el gasto público de pensiones (que incluye reparto, afores, ahorro voluntario y pensión a adultos mayores) del Producto Interno Bruto (PIB) de México fue de 3.1%</w:t>
      </w:r>
      <w:r>
        <w:rPr>
          <w:rStyle w:val="Refdenotaalpie"/>
          <w:rFonts w:ascii="Arial" w:hAnsi="Arial" w:cs="Arial"/>
          <w:sz w:val="24"/>
        </w:rPr>
        <w:footnoteReference w:id="10"/>
      </w:r>
      <w:r>
        <w:rPr>
          <w:rFonts w:ascii="Arial" w:hAnsi="Arial" w:cs="Arial"/>
          <w:sz w:val="24"/>
        </w:rPr>
        <w:t xml:space="preserve">. Para 2024, según el Centro de Investigación Presupuestaria (CIEP), se estima que esta cifra ascienda a 6.5%, debido al incremento de cobertura y monto que se espera, aumentará el 15% del </w:t>
      </w:r>
      <w:r>
        <w:rPr>
          <w:rFonts w:ascii="Arial" w:hAnsi="Arial" w:cs="Arial"/>
          <w:sz w:val="24"/>
        </w:rPr>
        <w:lastRenderedPageBreak/>
        <w:t>monto a partir de julio de 2021 y durante los próximos tres años se espera que aumente al 20%, buscando llegar hasta los 6,000 pesos de pensión bimestral</w:t>
      </w:r>
      <w:r>
        <w:rPr>
          <w:rStyle w:val="Refdenotaalpie"/>
          <w:rFonts w:ascii="Arial" w:hAnsi="Arial" w:cs="Arial"/>
          <w:sz w:val="24"/>
        </w:rPr>
        <w:footnoteReference w:id="11"/>
      </w:r>
      <w:r>
        <w:rPr>
          <w:rFonts w:ascii="Arial" w:hAnsi="Arial" w:cs="Arial"/>
          <w:sz w:val="24"/>
        </w:rPr>
        <w:t xml:space="preserve">. </w:t>
      </w:r>
    </w:p>
    <w:p w14:paraId="2000333C" w14:textId="77777777" w:rsidR="00C16CD9" w:rsidRDefault="00C16CD9" w:rsidP="00C16CD9">
      <w:pPr>
        <w:spacing w:line="360" w:lineRule="auto"/>
        <w:rPr>
          <w:rFonts w:ascii="Arial" w:hAnsi="Arial" w:cs="Arial"/>
          <w:sz w:val="24"/>
        </w:rPr>
      </w:pPr>
      <w:r>
        <w:rPr>
          <w:rFonts w:ascii="Arial" w:hAnsi="Arial" w:cs="Arial"/>
          <w:sz w:val="24"/>
        </w:rPr>
        <w:t>En la Encuesta Nacional de Empleo y Seguridad Social (ENESS) del 2017, que tiene el objetivo presentar información estadística acerca de la cobertura de la seguridad social y de los servicios de salud para la población mexicana, de los 123.7 millones de población total, el 60.7% reconocieron ser beneficiarios</w:t>
      </w:r>
      <w:r>
        <w:rPr>
          <w:rStyle w:val="Refdenotaalpie"/>
          <w:rFonts w:ascii="Arial" w:hAnsi="Arial" w:cs="Arial"/>
          <w:sz w:val="24"/>
        </w:rPr>
        <w:footnoteReference w:id="12"/>
      </w:r>
      <w:r>
        <w:rPr>
          <w:rFonts w:ascii="Arial" w:hAnsi="Arial" w:cs="Arial"/>
          <w:sz w:val="24"/>
        </w:rPr>
        <w:t>, el 16.7% ser trabajadores asegurados</w:t>
      </w:r>
      <w:r>
        <w:rPr>
          <w:rStyle w:val="Refdenotaalpie"/>
          <w:rFonts w:ascii="Arial" w:hAnsi="Arial" w:cs="Arial"/>
          <w:sz w:val="24"/>
        </w:rPr>
        <w:footnoteReference w:id="13"/>
      </w:r>
      <w:r>
        <w:rPr>
          <w:rFonts w:ascii="Arial" w:hAnsi="Arial" w:cs="Arial"/>
          <w:sz w:val="24"/>
        </w:rPr>
        <w:t xml:space="preserve"> y el 3.2% ser pensionados y jubilados.</w:t>
      </w:r>
    </w:p>
    <w:p w14:paraId="42BA5126" w14:textId="77777777" w:rsidR="00C16CD9" w:rsidRPr="00CE5E21" w:rsidRDefault="00C16CD9" w:rsidP="00C16CD9">
      <w:pPr>
        <w:spacing w:line="360" w:lineRule="auto"/>
        <w:jc w:val="center"/>
        <w:rPr>
          <w:rFonts w:ascii="Arial" w:hAnsi="Arial" w:cs="Arial"/>
          <w:b/>
          <w:bCs/>
          <w:sz w:val="24"/>
        </w:rPr>
      </w:pPr>
      <w:r w:rsidRPr="00CE5E21">
        <w:rPr>
          <w:rFonts w:ascii="Arial" w:hAnsi="Arial" w:cs="Arial"/>
          <w:b/>
          <w:bCs/>
          <w:sz w:val="24"/>
        </w:rPr>
        <w:t>Porcentaje de la población que reconoció estar afiliada a alguna institución por tipo de afiliación</w:t>
      </w:r>
    </w:p>
    <w:p w14:paraId="00C7FC2B" w14:textId="77777777" w:rsidR="00C16CD9" w:rsidRDefault="00C16CD9" w:rsidP="00C16CD9">
      <w:pPr>
        <w:spacing w:line="360" w:lineRule="auto"/>
        <w:jc w:val="center"/>
        <w:rPr>
          <w:rFonts w:ascii="Arial" w:hAnsi="Arial" w:cs="Arial"/>
          <w:sz w:val="24"/>
        </w:rPr>
      </w:pPr>
      <w:r>
        <w:rPr>
          <w:noProof/>
          <w:lang w:eastAsia="es-MX"/>
        </w:rPr>
        <w:lastRenderedPageBreak/>
        <w:drawing>
          <wp:anchor distT="0" distB="0" distL="114300" distR="114300" simplePos="0" relativeHeight="251665408" behindDoc="0" locked="0" layoutInCell="1" allowOverlap="1" wp14:anchorId="3EB12DA9" wp14:editId="2E3179E8">
            <wp:simplePos x="0" y="0"/>
            <wp:positionH relativeFrom="column">
              <wp:posOffset>2168782</wp:posOffset>
            </wp:positionH>
            <wp:positionV relativeFrom="paragraph">
              <wp:posOffset>2279866</wp:posOffset>
            </wp:positionV>
            <wp:extent cx="2110902" cy="155643"/>
            <wp:effectExtent l="0" t="0" r="381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0923" t="83903" r="31179" b="11110"/>
                    <a:stretch/>
                  </pic:blipFill>
                  <pic:spPr bwMode="auto">
                    <a:xfrm>
                      <a:off x="0" y="0"/>
                      <a:ext cx="2110902" cy="15564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inline distT="0" distB="0" distL="0" distR="0" wp14:anchorId="3B1E74C6" wp14:editId="1A72B250">
            <wp:extent cx="4802635" cy="318463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75" t="18809" r="36560" b="9642"/>
                    <a:stretch/>
                  </pic:blipFill>
                  <pic:spPr bwMode="auto">
                    <a:xfrm>
                      <a:off x="0" y="0"/>
                      <a:ext cx="4819689" cy="3195943"/>
                    </a:xfrm>
                    <a:prstGeom prst="rect">
                      <a:avLst/>
                    </a:prstGeom>
                    <a:ln>
                      <a:noFill/>
                    </a:ln>
                    <a:extLst>
                      <a:ext uri="{53640926-AAD7-44D8-BBD7-CCE9431645EC}">
                        <a14:shadowObscured xmlns:a14="http://schemas.microsoft.com/office/drawing/2010/main"/>
                      </a:ext>
                    </a:extLst>
                  </pic:spPr>
                </pic:pic>
              </a:graphicData>
            </a:graphic>
          </wp:inline>
        </w:drawing>
      </w:r>
    </w:p>
    <w:p w14:paraId="1321BD8A" w14:textId="77777777" w:rsidR="00C16CD9" w:rsidRDefault="00C16CD9" w:rsidP="00C16CD9">
      <w:pPr>
        <w:spacing w:line="360" w:lineRule="auto"/>
        <w:jc w:val="center"/>
        <w:rPr>
          <w:rFonts w:ascii="Arial" w:hAnsi="Arial" w:cs="Arial"/>
          <w:i/>
          <w:iCs/>
          <w:sz w:val="16"/>
          <w:szCs w:val="16"/>
        </w:rPr>
      </w:pPr>
      <w:r w:rsidRPr="00314B57">
        <w:rPr>
          <w:rFonts w:ascii="Arial" w:hAnsi="Arial" w:cs="Arial"/>
          <w:i/>
          <w:iCs/>
          <w:sz w:val="16"/>
          <w:szCs w:val="16"/>
        </w:rPr>
        <w:t>Fuente: INEGI. Encuesta Nacional de Empleo y Seguridad Social 2009, 2013 y 2017</w:t>
      </w:r>
    </w:p>
    <w:p w14:paraId="1071084A" w14:textId="77777777" w:rsidR="00C16CD9" w:rsidRPr="00314B57" w:rsidRDefault="00C16CD9" w:rsidP="00C16CD9">
      <w:pPr>
        <w:spacing w:line="360" w:lineRule="auto"/>
        <w:jc w:val="center"/>
        <w:rPr>
          <w:rFonts w:ascii="Arial" w:hAnsi="Arial" w:cs="Arial"/>
          <w:i/>
          <w:iCs/>
          <w:sz w:val="16"/>
          <w:szCs w:val="16"/>
        </w:rPr>
      </w:pPr>
    </w:p>
    <w:p w14:paraId="5B57C3DA" w14:textId="77777777" w:rsidR="00C16CD9" w:rsidRDefault="00C16CD9" w:rsidP="00C16CD9">
      <w:pPr>
        <w:spacing w:line="360" w:lineRule="auto"/>
        <w:rPr>
          <w:rFonts w:ascii="Arial" w:hAnsi="Arial" w:cs="Arial"/>
          <w:sz w:val="24"/>
        </w:rPr>
      </w:pPr>
      <w:r>
        <w:rPr>
          <w:rFonts w:ascii="Arial" w:hAnsi="Arial" w:cs="Arial"/>
          <w:sz w:val="24"/>
        </w:rPr>
        <w:t>En 2017, el 56.1% del total de las personas de 15 y más años reconoce que no ha cotizado, es decir no han realizado ninguna aportación para su pensión o retiro en instituciones de seguridad social.  En 2016, la Comisión de Desarrollo Social de la Cámara de Diputados, señalo que el 70% de los jóvenes en México no tiene acceso a la seguridad social</w:t>
      </w:r>
      <w:r>
        <w:rPr>
          <w:rStyle w:val="Refdenotaalpie"/>
          <w:rFonts w:ascii="Arial" w:hAnsi="Arial" w:cs="Arial"/>
          <w:sz w:val="24"/>
        </w:rPr>
        <w:footnoteReference w:id="14"/>
      </w:r>
      <w:r>
        <w:rPr>
          <w:rFonts w:ascii="Arial" w:hAnsi="Arial" w:cs="Arial"/>
          <w:sz w:val="24"/>
        </w:rPr>
        <w:t xml:space="preserve">. Es importante reconocer que en algunas décadas la </w:t>
      </w:r>
      <w:r>
        <w:rPr>
          <w:rFonts w:ascii="Arial" w:hAnsi="Arial" w:cs="Arial"/>
          <w:sz w:val="24"/>
        </w:rPr>
        <w:lastRenderedPageBreak/>
        <w:t>población se enfrentará a un panorama alarmante, debido a la falta de educación financiera y a las reformas que se han encargado de individualizar los fondos de retiro. De esta forma, en 2017 para el director general del Centro de Investigación Económica y Presupuestaria (CIEP), Héctor Villareal</w:t>
      </w:r>
      <w:r>
        <w:rPr>
          <w:rStyle w:val="Refdenotaalpie"/>
          <w:rFonts w:ascii="Arial" w:hAnsi="Arial" w:cs="Arial"/>
          <w:sz w:val="24"/>
        </w:rPr>
        <w:footnoteReference w:id="15"/>
      </w:r>
      <w:r>
        <w:rPr>
          <w:rFonts w:ascii="Arial" w:hAnsi="Arial" w:cs="Arial"/>
          <w:sz w:val="24"/>
        </w:rPr>
        <w:t xml:space="preserve">: </w:t>
      </w:r>
    </w:p>
    <w:p w14:paraId="510176E5" w14:textId="77777777" w:rsidR="00C16CD9" w:rsidRDefault="00C16CD9" w:rsidP="00C16CD9">
      <w:pPr>
        <w:spacing w:line="360" w:lineRule="auto"/>
        <w:ind w:left="708"/>
        <w:rPr>
          <w:rFonts w:ascii="Arial" w:hAnsi="Arial" w:cs="Arial"/>
          <w:sz w:val="24"/>
        </w:rPr>
      </w:pPr>
      <w:r w:rsidRPr="002B13CE">
        <w:rPr>
          <w:rFonts w:ascii="Arial" w:hAnsi="Arial" w:cs="Arial"/>
          <w:sz w:val="24"/>
        </w:rPr>
        <w:t xml:space="preserve">“La generación </w:t>
      </w:r>
      <w:r w:rsidRPr="002B13CE">
        <w:rPr>
          <w:rFonts w:ascii="Arial" w:hAnsi="Arial" w:cs="Arial"/>
          <w:i/>
          <w:iCs/>
          <w:sz w:val="24"/>
        </w:rPr>
        <w:t>millennial</w:t>
      </w:r>
      <w:r w:rsidRPr="002B13CE">
        <w:rPr>
          <w:rFonts w:ascii="Arial" w:hAnsi="Arial" w:cs="Arial"/>
          <w:sz w:val="24"/>
        </w:rPr>
        <w:t xml:space="preserve"> sufrirá al momento de querer acceder a una pensión cuando tenga 60 años. No solo deberá pagar las pensiones de sus antecesores, también las de jubilados a los que ni siquiera conocerá. Es muy injusto para estos jóvenes”</w:t>
      </w:r>
    </w:p>
    <w:p w14:paraId="403B188A" w14:textId="77777777" w:rsidR="00C16CD9" w:rsidRDefault="00C16CD9" w:rsidP="00C16CD9">
      <w:pPr>
        <w:spacing w:line="360" w:lineRule="auto"/>
        <w:jc w:val="center"/>
        <w:rPr>
          <w:rFonts w:ascii="Arial" w:hAnsi="Arial" w:cs="Arial"/>
          <w:b/>
          <w:bCs/>
          <w:sz w:val="24"/>
        </w:rPr>
      </w:pPr>
      <w:r w:rsidRPr="00D46562">
        <w:rPr>
          <w:rFonts w:ascii="Arial" w:hAnsi="Arial" w:cs="Arial"/>
          <w:b/>
          <w:bCs/>
          <w:sz w:val="24"/>
        </w:rPr>
        <w:t>Porcentaje de la población de 15 y más años que reconoció realizar cotizaciones por condición de cotización</w:t>
      </w:r>
    </w:p>
    <w:p w14:paraId="36294ECF" w14:textId="77777777" w:rsidR="00C16CD9" w:rsidRDefault="00C16CD9" w:rsidP="00C16CD9">
      <w:pPr>
        <w:spacing w:line="360" w:lineRule="auto"/>
        <w:jc w:val="center"/>
        <w:rPr>
          <w:rFonts w:ascii="Arial" w:hAnsi="Arial" w:cs="Arial"/>
          <w:b/>
          <w:bCs/>
          <w:sz w:val="24"/>
        </w:rPr>
      </w:pPr>
      <w:r>
        <w:rPr>
          <w:noProof/>
          <w:lang w:eastAsia="es-MX"/>
        </w:rPr>
        <w:lastRenderedPageBreak/>
        <w:drawing>
          <wp:inline distT="0" distB="0" distL="0" distR="0" wp14:anchorId="3D2F6D7F" wp14:editId="5F887115">
            <wp:extent cx="4742253" cy="2427890"/>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0810" t="15723" r="6400" b="17994"/>
                    <a:stretch/>
                  </pic:blipFill>
                  <pic:spPr bwMode="auto">
                    <a:xfrm>
                      <a:off x="0" y="0"/>
                      <a:ext cx="4764921" cy="2439495"/>
                    </a:xfrm>
                    <a:prstGeom prst="rect">
                      <a:avLst/>
                    </a:prstGeom>
                    <a:ln>
                      <a:noFill/>
                    </a:ln>
                    <a:extLst>
                      <a:ext uri="{53640926-AAD7-44D8-BBD7-CCE9431645EC}">
                        <a14:shadowObscured xmlns:a14="http://schemas.microsoft.com/office/drawing/2010/main"/>
                      </a:ext>
                    </a:extLst>
                  </pic:spPr>
                </pic:pic>
              </a:graphicData>
            </a:graphic>
          </wp:inline>
        </w:drawing>
      </w:r>
    </w:p>
    <w:p w14:paraId="69C12B85" w14:textId="77777777" w:rsidR="00C16CD9" w:rsidRDefault="00C16CD9" w:rsidP="00C16CD9">
      <w:pPr>
        <w:tabs>
          <w:tab w:val="left" w:pos="5205"/>
        </w:tabs>
        <w:spacing w:line="360" w:lineRule="auto"/>
        <w:jc w:val="center"/>
        <w:rPr>
          <w:rFonts w:ascii="Arial" w:eastAsiaTheme="majorEastAsia" w:hAnsi="Arial" w:cs="Arial"/>
          <w:i/>
          <w:iCs/>
          <w:sz w:val="16"/>
          <w:szCs w:val="16"/>
          <w:lang w:val="es-ES" w:eastAsia="es-MX"/>
        </w:rPr>
      </w:pPr>
      <w:r w:rsidRPr="00314B57">
        <w:rPr>
          <w:rFonts w:ascii="Arial" w:eastAsiaTheme="majorEastAsia" w:hAnsi="Arial" w:cs="Arial"/>
          <w:i/>
          <w:iCs/>
          <w:sz w:val="16"/>
          <w:szCs w:val="16"/>
          <w:lang w:val="es-ES" w:eastAsia="es-MX"/>
        </w:rPr>
        <w:t>Fuente: INEGI. Encuesta Nacional de Empleo y Seguridad Social 2009, 2013 y 2017</w:t>
      </w:r>
    </w:p>
    <w:p w14:paraId="32AF82BB" w14:textId="77777777" w:rsidR="00C16CD9" w:rsidRPr="00314B57" w:rsidRDefault="00C16CD9" w:rsidP="00C16CD9">
      <w:pPr>
        <w:tabs>
          <w:tab w:val="left" w:pos="5205"/>
        </w:tabs>
        <w:spacing w:line="360" w:lineRule="auto"/>
        <w:jc w:val="center"/>
        <w:rPr>
          <w:rFonts w:ascii="Arial" w:eastAsiaTheme="majorEastAsia" w:hAnsi="Arial" w:cs="Arial"/>
          <w:i/>
          <w:iCs/>
          <w:sz w:val="16"/>
          <w:szCs w:val="16"/>
          <w:lang w:val="es-ES" w:eastAsia="es-MX"/>
        </w:rPr>
      </w:pPr>
    </w:p>
    <w:p w14:paraId="12370B9D" w14:textId="77777777" w:rsidR="00C16CD9" w:rsidRDefault="00C16CD9" w:rsidP="00C16CD9">
      <w:pPr>
        <w:spacing w:line="360" w:lineRule="auto"/>
        <w:rPr>
          <w:rFonts w:ascii="Arial" w:hAnsi="Arial" w:cs="Arial"/>
          <w:sz w:val="24"/>
        </w:rPr>
      </w:pPr>
      <w:r w:rsidRPr="00FD2798">
        <w:rPr>
          <w:rFonts w:ascii="Arial" w:hAnsi="Arial" w:cs="Arial"/>
          <w:sz w:val="24"/>
        </w:rPr>
        <w:t>De las 5.1 millones de personas que reconocieron recibir una presión en 2017, 72.9% de las pensiones forma</w:t>
      </w:r>
      <w:r>
        <w:rPr>
          <w:rFonts w:ascii="Arial" w:hAnsi="Arial" w:cs="Arial"/>
          <w:sz w:val="24"/>
        </w:rPr>
        <w:t>n</w:t>
      </w:r>
      <w:r w:rsidRPr="00FD2798">
        <w:rPr>
          <w:rFonts w:ascii="Arial" w:hAnsi="Arial" w:cs="Arial"/>
          <w:sz w:val="24"/>
        </w:rPr>
        <w:t xml:space="preserve"> parte del IMSS, mientras que el 19.7</w:t>
      </w:r>
      <w:r>
        <w:rPr>
          <w:rFonts w:ascii="Arial" w:hAnsi="Arial" w:cs="Arial"/>
          <w:sz w:val="24"/>
        </w:rPr>
        <w:t>%</w:t>
      </w:r>
      <w:r w:rsidRPr="00FD2798">
        <w:rPr>
          <w:rFonts w:ascii="Arial" w:hAnsi="Arial" w:cs="Arial"/>
          <w:sz w:val="24"/>
        </w:rPr>
        <w:t xml:space="preserve"> del ISSSTE y el 7.4</w:t>
      </w:r>
      <w:r>
        <w:rPr>
          <w:rFonts w:ascii="Arial" w:hAnsi="Arial" w:cs="Arial"/>
          <w:sz w:val="24"/>
        </w:rPr>
        <w:t>%</w:t>
      </w:r>
      <w:r w:rsidRPr="00FD2798">
        <w:rPr>
          <w:rFonts w:ascii="Arial" w:hAnsi="Arial" w:cs="Arial"/>
          <w:sz w:val="24"/>
        </w:rPr>
        <w:t xml:space="preserve"> de otras instituciones (PEMEX, ISSFAM, institutos de seguridad social estatales</w:t>
      </w:r>
      <w:r>
        <w:rPr>
          <w:rFonts w:ascii="Arial" w:hAnsi="Arial" w:cs="Arial"/>
          <w:sz w:val="24"/>
        </w:rPr>
        <w:t xml:space="preserve">, </w:t>
      </w:r>
      <w:r w:rsidRPr="00FD2798">
        <w:rPr>
          <w:rFonts w:ascii="Arial" w:hAnsi="Arial" w:cs="Arial"/>
          <w:sz w:val="24"/>
        </w:rPr>
        <w:t xml:space="preserve">otras instituciones del sector público y planes privados). </w:t>
      </w:r>
    </w:p>
    <w:p w14:paraId="64C54B0B" w14:textId="77777777" w:rsidR="00C16CD9" w:rsidRDefault="00C16CD9" w:rsidP="00C16CD9">
      <w:pPr>
        <w:rPr>
          <w:rFonts w:ascii="Arial" w:hAnsi="Arial" w:cs="Arial"/>
          <w:sz w:val="24"/>
        </w:rPr>
      </w:pPr>
      <w:r>
        <w:rPr>
          <w:rFonts w:ascii="Arial" w:hAnsi="Arial" w:cs="Arial"/>
          <w:sz w:val="24"/>
        </w:rPr>
        <w:br w:type="page"/>
      </w:r>
    </w:p>
    <w:p w14:paraId="7FDCC9FF" w14:textId="77777777" w:rsidR="00C16CD9" w:rsidRPr="00FD2798" w:rsidRDefault="00C16CD9" w:rsidP="00C16CD9">
      <w:pPr>
        <w:spacing w:line="360" w:lineRule="auto"/>
        <w:jc w:val="center"/>
        <w:rPr>
          <w:rFonts w:ascii="Arial" w:hAnsi="Arial" w:cs="Arial"/>
          <w:b/>
          <w:bCs/>
          <w:sz w:val="24"/>
        </w:rPr>
      </w:pPr>
      <w:r w:rsidRPr="00FD2798">
        <w:rPr>
          <w:rFonts w:ascii="Arial" w:hAnsi="Arial" w:cs="Arial"/>
          <w:b/>
          <w:bCs/>
          <w:sz w:val="24"/>
        </w:rPr>
        <w:lastRenderedPageBreak/>
        <w:t>Porcentaje de la población de 15 y más años que reconoció recibir alguna pensión según institución en 2017</w:t>
      </w:r>
    </w:p>
    <w:p w14:paraId="543E3625" w14:textId="77777777" w:rsidR="00C16CD9" w:rsidRDefault="00C16CD9" w:rsidP="00C16CD9">
      <w:pPr>
        <w:spacing w:line="360" w:lineRule="auto"/>
        <w:jc w:val="center"/>
        <w:rPr>
          <w:rFonts w:ascii="Arial" w:hAnsi="Arial" w:cs="Arial"/>
          <w:sz w:val="24"/>
        </w:rPr>
      </w:pPr>
      <w:r>
        <w:rPr>
          <w:noProof/>
          <w:lang w:eastAsia="es-MX"/>
        </w:rPr>
        <w:drawing>
          <wp:inline distT="0" distB="0" distL="0" distR="0" wp14:anchorId="10672B91" wp14:editId="60FF1398">
            <wp:extent cx="2031089" cy="2522483"/>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63477" t="21433" r="4955" b="8834"/>
                    <a:stretch/>
                  </pic:blipFill>
                  <pic:spPr bwMode="auto">
                    <a:xfrm>
                      <a:off x="0" y="0"/>
                      <a:ext cx="2043296" cy="2537644"/>
                    </a:xfrm>
                    <a:prstGeom prst="rect">
                      <a:avLst/>
                    </a:prstGeom>
                    <a:ln>
                      <a:noFill/>
                    </a:ln>
                    <a:extLst>
                      <a:ext uri="{53640926-AAD7-44D8-BBD7-CCE9431645EC}">
                        <a14:shadowObscured xmlns:a14="http://schemas.microsoft.com/office/drawing/2010/main"/>
                      </a:ext>
                    </a:extLst>
                  </pic:spPr>
                </pic:pic>
              </a:graphicData>
            </a:graphic>
          </wp:inline>
        </w:drawing>
      </w:r>
    </w:p>
    <w:p w14:paraId="71B002AE" w14:textId="77777777" w:rsidR="00C16CD9" w:rsidRDefault="00C16CD9" w:rsidP="00C16CD9">
      <w:pPr>
        <w:tabs>
          <w:tab w:val="left" w:pos="5205"/>
        </w:tabs>
        <w:spacing w:line="360" w:lineRule="auto"/>
        <w:jc w:val="center"/>
        <w:rPr>
          <w:rFonts w:ascii="Arial" w:eastAsiaTheme="majorEastAsia" w:hAnsi="Arial" w:cs="Arial"/>
          <w:i/>
          <w:iCs/>
          <w:sz w:val="16"/>
          <w:szCs w:val="16"/>
          <w:lang w:val="es-ES" w:eastAsia="es-MX"/>
        </w:rPr>
      </w:pPr>
      <w:r w:rsidRPr="00527077">
        <w:rPr>
          <w:rFonts w:ascii="Arial" w:eastAsiaTheme="majorEastAsia" w:hAnsi="Arial" w:cs="Arial"/>
          <w:i/>
          <w:iCs/>
          <w:sz w:val="16"/>
          <w:szCs w:val="16"/>
          <w:lang w:val="es-ES" w:eastAsia="es-MX"/>
        </w:rPr>
        <w:t xml:space="preserve">Fuente: INEGI. Encuesta Nacional de Empleo y Seguridad Social 2009, 2013 y 2017 </w:t>
      </w:r>
    </w:p>
    <w:p w14:paraId="0863B3DE" w14:textId="77777777" w:rsidR="00C16CD9" w:rsidRPr="00527077" w:rsidRDefault="00C16CD9" w:rsidP="00C16CD9">
      <w:pPr>
        <w:tabs>
          <w:tab w:val="left" w:pos="5205"/>
        </w:tabs>
        <w:spacing w:line="360" w:lineRule="auto"/>
        <w:jc w:val="center"/>
        <w:rPr>
          <w:rFonts w:ascii="Arial" w:eastAsiaTheme="majorEastAsia" w:hAnsi="Arial" w:cs="Arial"/>
          <w:i/>
          <w:iCs/>
          <w:sz w:val="16"/>
          <w:szCs w:val="16"/>
          <w:lang w:val="es-ES" w:eastAsia="es-MX"/>
        </w:rPr>
      </w:pPr>
    </w:p>
    <w:p w14:paraId="73F7F96D" w14:textId="77777777" w:rsidR="00C16CD9" w:rsidRPr="00BE1834" w:rsidRDefault="00C16CD9" w:rsidP="00C16CD9">
      <w:pPr>
        <w:pStyle w:val="Ttulo1"/>
      </w:pPr>
      <w:bookmarkStart w:id="4" w:name="_Toc73966314"/>
      <w:r w:rsidRPr="00BE1834">
        <w:t>Situación del sistema de pensiones a nivel estatal</w:t>
      </w:r>
      <w:bookmarkEnd w:id="4"/>
      <w:r w:rsidRPr="00BE1834">
        <w:t xml:space="preserve"> </w:t>
      </w:r>
    </w:p>
    <w:p w14:paraId="0B28CA21" w14:textId="77777777" w:rsidR="00C16CD9" w:rsidRDefault="00C16CD9" w:rsidP="00C16CD9">
      <w:pPr>
        <w:spacing w:line="360" w:lineRule="auto"/>
        <w:rPr>
          <w:rFonts w:ascii="Arial" w:hAnsi="Arial" w:cs="Arial"/>
          <w:sz w:val="24"/>
        </w:rPr>
      </w:pPr>
      <w:r w:rsidRPr="00BE1834">
        <w:rPr>
          <w:rFonts w:ascii="Arial" w:hAnsi="Arial" w:cs="Arial"/>
          <w:sz w:val="24"/>
        </w:rPr>
        <w:t>Cuando hablamos de la vejez en el Estado de México nos referimos una diversidad de contextos, la cercanía con la Ciudad de México ha provocado un acelerado crecimiento industrial y demográfico. A part</w:t>
      </w:r>
      <w:r>
        <w:rPr>
          <w:rFonts w:ascii="Arial" w:hAnsi="Arial" w:cs="Arial"/>
          <w:sz w:val="24"/>
        </w:rPr>
        <w:t>ir</w:t>
      </w:r>
      <w:r w:rsidRPr="00BE1834">
        <w:rPr>
          <w:rFonts w:ascii="Arial" w:hAnsi="Arial" w:cs="Arial"/>
          <w:sz w:val="24"/>
        </w:rPr>
        <w:t xml:space="preserve"> de siglo XX,</w:t>
      </w:r>
      <w:r>
        <w:rPr>
          <w:rFonts w:ascii="Arial" w:hAnsi="Arial" w:cs="Arial"/>
          <w:sz w:val="24"/>
        </w:rPr>
        <w:t xml:space="preserve"> </w:t>
      </w:r>
      <w:r w:rsidRPr="00BE1834">
        <w:rPr>
          <w:rFonts w:ascii="Arial" w:hAnsi="Arial" w:cs="Arial"/>
          <w:sz w:val="24"/>
        </w:rPr>
        <w:t>el Estado de México</w:t>
      </w:r>
      <w:r>
        <w:rPr>
          <w:rFonts w:ascii="Arial" w:hAnsi="Arial" w:cs="Arial"/>
          <w:sz w:val="24"/>
        </w:rPr>
        <w:t xml:space="preserve"> ha</w:t>
      </w:r>
      <w:r w:rsidRPr="00BE1834">
        <w:rPr>
          <w:rFonts w:ascii="Arial" w:hAnsi="Arial" w:cs="Arial"/>
          <w:sz w:val="24"/>
        </w:rPr>
        <w:t xml:space="preserve"> experiment</w:t>
      </w:r>
      <w:r>
        <w:rPr>
          <w:rFonts w:ascii="Arial" w:hAnsi="Arial" w:cs="Arial"/>
          <w:sz w:val="24"/>
        </w:rPr>
        <w:t>ado</w:t>
      </w:r>
      <w:r w:rsidRPr="00BE1834">
        <w:rPr>
          <w:rFonts w:ascii="Arial" w:hAnsi="Arial" w:cs="Arial"/>
          <w:sz w:val="24"/>
        </w:rPr>
        <w:t xml:space="preserve"> de manera paralela cambios estructurales, económicos, políticos  y sociales </w:t>
      </w:r>
      <w:r>
        <w:rPr>
          <w:rFonts w:ascii="Arial" w:hAnsi="Arial" w:cs="Arial"/>
          <w:sz w:val="24"/>
        </w:rPr>
        <w:t>con el resto d</w:t>
      </w:r>
      <w:r w:rsidRPr="00BE1834">
        <w:rPr>
          <w:rFonts w:ascii="Arial" w:hAnsi="Arial" w:cs="Arial"/>
          <w:sz w:val="24"/>
        </w:rPr>
        <w:t>el país</w:t>
      </w:r>
      <w:r>
        <w:rPr>
          <w:rFonts w:ascii="Arial" w:hAnsi="Arial" w:cs="Arial"/>
          <w:sz w:val="24"/>
        </w:rPr>
        <w:t>;</w:t>
      </w:r>
      <w:r w:rsidRPr="00BE1834">
        <w:rPr>
          <w:rFonts w:ascii="Arial" w:hAnsi="Arial" w:cs="Arial"/>
          <w:sz w:val="24"/>
        </w:rPr>
        <w:t xml:space="preserve"> debido a la gran demanda de empleo por los residentes y los inmigrantes, los sectores industriales y de servicios no fueron capaces de enfrentar la demanda, lo cual resulto en un a</w:t>
      </w:r>
      <w:r>
        <w:rPr>
          <w:rFonts w:ascii="Arial" w:hAnsi="Arial" w:cs="Arial"/>
          <w:sz w:val="24"/>
        </w:rPr>
        <w:t>u</w:t>
      </w:r>
      <w:r w:rsidRPr="00BE1834">
        <w:rPr>
          <w:rFonts w:ascii="Arial" w:hAnsi="Arial" w:cs="Arial"/>
          <w:sz w:val="24"/>
        </w:rPr>
        <w:t xml:space="preserve">mento explosivo </w:t>
      </w:r>
      <w:r>
        <w:rPr>
          <w:rFonts w:ascii="Arial" w:hAnsi="Arial" w:cs="Arial"/>
          <w:sz w:val="24"/>
        </w:rPr>
        <w:t>del</w:t>
      </w:r>
      <w:r w:rsidRPr="00BE1834">
        <w:rPr>
          <w:rFonts w:ascii="Arial" w:hAnsi="Arial" w:cs="Arial"/>
          <w:sz w:val="24"/>
        </w:rPr>
        <w:t xml:space="preserve"> </w:t>
      </w:r>
      <w:r w:rsidRPr="00BE1834">
        <w:rPr>
          <w:rFonts w:ascii="Arial" w:hAnsi="Arial" w:cs="Arial"/>
          <w:sz w:val="24"/>
        </w:rPr>
        <w:lastRenderedPageBreak/>
        <w:t xml:space="preserve">desempleo y </w:t>
      </w:r>
      <w:r>
        <w:rPr>
          <w:rFonts w:ascii="Arial" w:hAnsi="Arial" w:cs="Arial"/>
          <w:sz w:val="24"/>
        </w:rPr>
        <w:t xml:space="preserve">el </w:t>
      </w:r>
      <w:r w:rsidRPr="00BE1834">
        <w:rPr>
          <w:rFonts w:ascii="Arial" w:hAnsi="Arial" w:cs="Arial"/>
          <w:sz w:val="24"/>
        </w:rPr>
        <w:t>subempleo, así como de actividades laborales fuera de lo normativo, a raíz de esta situación surgió la necesidad de desarrollar políticas públicas que cubrieran las exigencias de la población debido a las consecuencias demográficas que sufrió la entidad,</w:t>
      </w:r>
      <w:r>
        <w:rPr>
          <w:rFonts w:ascii="Arial" w:hAnsi="Arial" w:cs="Arial"/>
          <w:sz w:val="24"/>
        </w:rPr>
        <w:t xml:space="preserve"> sin embargo,</w:t>
      </w:r>
      <w:r w:rsidRPr="00BE1834">
        <w:rPr>
          <w:rFonts w:ascii="Arial" w:hAnsi="Arial" w:cs="Arial"/>
          <w:sz w:val="24"/>
        </w:rPr>
        <w:t xml:space="preserve"> la cobertura de Seguridad Social fue insuficiente en el Estado de México. En 2009, </w:t>
      </w:r>
      <w:r>
        <w:rPr>
          <w:rFonts w:ascii="Arial" w:hAnsi="Arial" w:cs="Arial"/>
          <w:sz w:val="24"/>
        </w:rPr>
        <w:t>según</w:t>
      </w:r>
      <w:r w:rsidRPr="00BE1834">
        <w:rPr>
          <w:rFonts w:ascii="Arial" w:hAnsi="Arial" w:cs="Arial"/>
          <w:sz w:val="24"/>
        </w:rPr>
        <w:t xml:space="preserve"> la Encuesta Nacional de Empleo y Seguridad Social, de los 14,820,917 habitantes totales del Estado de México, 460,124</w:t>
      </w:r>
      <w:r>
        <w:rPr>
          <w:rFonts w:ascii="Arial" w:hAnsi="Arial" w:cs="Arial"/>
          <w:sz w:val="24"/>
        </w:rPr>
        <w:t xml:space="preserve"> mexiquenses</w:t>
      </w:r>
      <w:r w:rsidRPr="00BE1834">
        <w:rPr>
          <w:rFonts w:ascii="Arial" w:hAnsi="Arial" w:cs="Arial"/>
          <w:sz w:val="24"/>
        </w:rPr>
        <w:t xml:space="preserve"> recibían pensiones de las cuales el 68% eran hombres y el 32% </w:t>
      </w:r>
      <w:r>
        <w:rPr>
          <w:rFonts w:ascii="Arial" w:hAnsi="Arial" w:cs="Arial"/>
          <w:sz w:val="24"/>
        </w:rPr>
        <w:t>correspondían a</w:t>
      </w:r>
      <w:r w:rsidRPr="00BE1834">
        <w:rPr>
          <w:rFonts w:ascii="Arial" w:hAnsi="Arial" w:cs="Arial"/>
          <w:sz w:val="24"/>
        </w:rPr>
        <w:t xml:space="preserve"> mujeres (Ronzón-Hernández &amp; Montoya-Arce, 2013).</w:t>
      </w:r>
    </w:p>
    <w:p w14:paraId="36DF0D76" w14:textId="77777777" w:rsidR="00C16CD9" w:rsidRPr="005A5C3C" w:rsidRDefault="00C16CD9" w:rsidP="00C16CD9">
      <w:pPr>
        <w:spacing w:line="360" w:lineRule="auto"/>
        <w:rPr>
          <w:rFonts w:ascii="Arial" w:hAnsi="Arial" w:cs="Arial"/>
          <w:sz w:val="24"/>
        </w:rPr>
      </w:pPr>
      <w:r w:rsidRPr="005A5C3C">
        <w:rPr>
          <w:rFonts w:ascii="Arial" w:hAnsi="Arial" w:cs="Arial"/>
          <w:sz w:val="24"/>
        </w:rPr>
        <w:t>De acuerdo al Censo de Población y Vivienda del 2020 realizado por el Instituto Nacional de Estadística y Geografía (INEGI), la población total del Estado de México es de 16,992,418 millones de mexiquense</w:t>
      </w:r>
      <w:r>
        <w:rPr>
          <w:rFonts w:ascii="Arial" w:hAnsi="Arial" w:cs="Arial"/>
          <w:sz w:val="24"/>
        </w:rPr>
        <w:t>s</w:t>
      </w:r>
      <w:r w:rsidRPr="005A5C3C">
        <w:rPr>
          <w:rFonts w:ascii="Arial" w:hAnsi="Arial" w:cs="Arial"/>
          <w:sz w:val="24"/>
        </w:rPr>
        <w:t xml:space="preserve">, posicionándose </w:t>
      </w:r>
      <w:r>
        <w:rPr>
          <w:rFonts w:ascii="Arial" w:hAnsi="Arial" w:cs="Arial"/>
          <w:sz w:val="24"/>
        </w:rPr>
        <w:t>así,</w:t>
      </w:r>
      <w:r w:rsidRPr="005A5C3C">
        <w:rPr>
          <w:rFonts w:ascii="Arial" w:hAnsi="Arial" w:cs="Arial"/>
          <w:sz w:val="24"/>
        </w:rPr>
        <w:t xml:space="preserve"> como la entidad con mayor población en todo el país</w:t>
      </w:r>
      <w:r>
        <w:rPr>
          <w:rFonts w:ascii="Arial" w:hAnsi="Arial" w:cs="Arial"/>
          <w:sz w:val="24"/>
        </w:rPr>
        <w:t xml:space="preserve">. De esta forma, aproximadamente 11.2 millones de mexiquenses (66.3%) cuentan con seguridad social, de los cuales 53.1% pertenecen al IMSS, el 7.3% al ISSSTE, el 3.2% al ISSTE Estatal, el 1.3% pertenece a PEMEX, el 30.6% al INSABI, el 0.6% </w:t>
      </w:r>
      <w:r w:rsidRPr="00496F61">
        <w:rPr>
          <w:rFonts w:ascii="Arial" w:hAnsi="Arial" w:cs="Arial"/>
          <w:sz w:val="24"/>
        </w:rPr>
        <w:t>se encuentra afiliado</w:t>
      </w:r>
      <w:r>
        <w:rPr>
          <w:rFonts w:ascii="Arial" w:hAnsi="Arial" w:cs="Arial"/>
          <w:sz w:val="24"/>
        </w:rPr>
        <w:t xml:space="preserve"> al IMSS-BIENESTAR, el 2.4% forma parte de una institución privada y el 2.6% a otro tipo de institución</w:t>
      </w:r>
      <w:r>
        <w:rPr>
          <w:rStyle w:val="Refdenotaalpie"/>
          <w:rFonts w:ascii="Arial" w:hAnsi="Arial" w:cs="Arial"/>
          <w:sz w:val="24"/>
        </w:rPr>
        <w:footnoteReference w:id="16"/>
      </w:r>
      <w:r w:rsidRPr="005A5C3C">
        <w:rPr>
          <w:rFonts w:ascii="Arial" w:hAnsi="Arial" w:cs="Arial"/>
          <w:sz w:val="24"/>
        </w:rPr>
        <w:t xml:space="preserve">. </w:t>
      </w:r>
    </w:p>
    <w:p w14:paraId="2614278F" w14:textId="77777777" w:rsidR="00C16CD9" w:rsidRDefault="00C16CD9" w:rsidP="00C16CD9">
      <w:pPr>
        <w:spacing w:line="360" w:lineRule="auto"/>
        <w:jc w:val="center"/>
        <w:rPr>
          <w:rFonts w:ascii="Arial" w:hAnsi="Arial" w:cs="Arial"/>
          <w:b/>
          <w:bCs/>
          <w:sz w:val="24"/>
        </w:rPr>
      </w:pPr>
      <w:r>
        <w:rPr>
          <w:rFonts w:ascii="Arial" w:hAnsi="Arial" w:cs="Arial"/>
          <w:b/>
          <w:bCs/>
          <w:sz w:val="24"/>
        </w:rPr>
        <w:t>Población base y proyectada, 2015-2050. Estado de México</w:t>
      </w:r>
      <w:r w:rsidRPr="004E41F8">
        <w:rPr>
          <w:rFonts w:ascii="Arial" w:hAnsi="Arial" w:cs="Arial"/>
          <w:b/>
          <w:bCs/>
          <w:sz w:val="24"/>
        </w:rPr>
        <w:t xml:space="preserve"> </w:t>
      </w:r>
    </w:p>
    <w:p w14:paraId="6E3E5B8F" w14:textId="77777777" w:rsidR="00C16CD9" w:rsidRDefault="00C16CD9" w:rsidP="00C16CD9">
      <w:pPr>
        <w:spacing w:line="360" w:lineRule="auto"/>
        <w:jc w:val="center"/>
        <w:rPr>
          <w:rFonts w:ascii="Arial" w:hAnsi="Arial" w:cs="Arial"/>
          <w:b/>
          <w:bCs/>
          <w:sz w:val="24"/>
        </w:rPr>
      </w:pPr>
      <w:r>
        <w:rPr>
          <w:noProof/>
          <w:lang w:eastAsia="es-MX"/>
        </w:rPr>
        <w:lastRenderedPageBreak/>
        <w:drawing>
          <wp:inline distT="0" distB="0" distL="0" distR="0" wp14:anchorId="349F97B8" wp14:editId="698C3E17">
            <wp:extent cx="4729386" cy="2711669"/>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1371" t="15999" r="12254" b="6118"/>
                    <a:stretch/>
                  </pic:blipFill>
                  <pic:spPr bwMode="auto">
                    <a:xfrm>
                      <a:off x="0" y="0"/>
                      <a:ext cx="4740447" cy="2718011"/>
                    </a:xfrm>
                    <a:prstGeom prst="rect">
                      <a:avLst/>
                    </a:prstGeom>
                    <a:ln>
                      <a:noFill/>
                    </a:ln>
                    <a:extLst>
                      <a:ext uri="{53640926-AAD7-44D8-BBD7-CCE9431645EC}">
                        <a14:shadowObscured xmlns:a14="http://schemas.microsoft.com/office/drawing/2010/main"/>
                      </a:ext>
                    </a:extLst>
                  </pic:spPr>
                </pic:pic>
              </a:graphicData>
            </a:graphic>
          </wp:inline>
        </w:drawing>
      </w:r>
    </w:p>
    <w:p w14:paraId="694B6925" w14:textId="77777777" w:rsidR="00C16CD9" w:rsidRPr="00527077" w:rsidRDefault="00C16CD9" w:rsidP="00C16CD9">
      <w:pPr>
        <w:tabs>
          <w:tab w:val="left" w:pos="5205"/>
        </w:tabs>
        <w:spacing w:line="360" w:lineRule="auto"/>
        <w:jc w:val="center"/>
        <w:rPr>
          <w:rFonts w:ascii="Arial" w:eastAsiaTheme="majorEastAsia" w:hAnsi="Arial" w:cs="Arial"/>
          <w:i/>
          <w:iCs/>
          <w:sz w:val="16"/>
          <w:szCs w:val="16"/>
          <w:lang w:val="es-ES" w:eastAsia="es-MX"/>
        </w:rPr>
      </w:pPr>
      <w:r w:rsidRPr="00527077">
        <w:rPr>
          <w:rFonts w:ascii="Arial" w:eastAsiaTheme="majorEastAsia" w:hAnsi="Arial" w:cs="Arial"/>
          <w:i/>
          <w:iCs/>
          <w:sz w:val="16"/>
          <w:szCs w:val="16"/>
          <w:lang w:val="es-ES" w:eastAsia="es-MX"/>
        </w:rPr>
        <w:t>Fuente: Estimaciones del CONAPO con base en Conciliación demografía de México 1950-2015 y Proyecciones de México y de las Entidades federativas 2016-2050</w:t>
      </w:r>
    </w:p>
    <w:p w14:paraId="0D0D9560" w14:textId="77777777" w:rsidR="00C16CD9" w:rsidRPr="00BC2724" w:rsidRDefault="00C16CD9" w:rsidP="00C16CD9">
      <w:pPr>
        <w:tabs>
          <w:tab w:val="left" w:pos="5205"/>
        </w:tabs>
        <w:spacing w:line="360" w:lineRule="auto"/>
        <w:rPr>
          <w:rFonts w:ascii="Arial" w:eastAsiaTheme="majorEastAsia" w:hAnsi="Arial" w:cs="Arial"/>
          <w:sz w:val="24"/>
          <w:lang w:val="es-ES" w:eastAsia="es-MX"/>
        </w:rPr>
      </w:pPr>
      <w:r>
        <w:rPr>
          <w:rFonts w:ascii="Arial" w:eastAsiaTheme="majorEastAsia" w:hAnsi="Arial" w:cs="Arial"/>
          <w:sz w:val="24"/>
          <w:lang w:val="es-ES" w:eastAsia="es-MX"/>
        </w:rPr>
        <w:t xml:space="preserve">En las Proyecciones de la población de México y de las entidades federativas 2016-2050 del </w:t>
      </w:r>
      <w:r w:rsidRPr="004F44A5">
        <w:rPr>
          <w:rFonts w:ascii="Arial" w:eastAsiaTheme="majorEastAsia" w:hAnsi="Arial" w:cs="Arial"/>
          <w:sz w:val="24"/>
          <w:lang w:val="es-ES" w:eastAsia="es-MX"/>
        </w:rPr>
        <w:t>Consejo Nacional de Población</w:t>
      </w:r>
      <w:r>
        <w:rPr>
          <w:rFonts w:ascii="Arial" w:eastAsiaTheme="majorEastAsia" w:hAnsi="Arial" w:cs="Arial"/>
          <w:sz w:val="24"/>
          <w:lang w:val="es-ES" w:eastAsia="es-MX"/>
        </w:rPr>
        <w:t xml:space="preserve"> (CONAPO), se estima un incremento en el porcentaje de las personas con 65 y más años respecto a la población total, de 10.4% a 18.2%, de 2030 a 2050, (de 1,960,651 a 3,610,409 personas de la tercera edad). Por otro lado, en 2020 el municipio más joven corresponde a Donato Guerra con una población de 37,436 y con una edad mediana de 22 años, mientras que el municipio más envejecido es </w:t>
      </w:r>
      <w:proofErr w:type="spellStart"/>
      <w:r>
        <w:rPr>
          <w:rFonts w:ascii="Arial" w:eastAsiaTheme="majorEastAsia" w:hAnsi="Arial" w:cs="Arial"/>
          <w:sz w:val="24"/>
          <w:lang w:val="es-ES" w:eastAsia="es-MX"/>
        </w:rPr>
        <w:t>Tlanepantla</w:t>
      </w:r>
      <w:proofErr w:type="spellEnd"/>
      <w:r>
        <w:rPr>
          <w:rFonts w:ascii="Arial" w:eastAsiaTheme="majorEastAsia" w:hAnsi="Arial" w:cs="Arial"/>
          <w:sz w:val="24"/>
          <w:lang w:val="es-ES" w:eastAsia="es-MX"/>
        </w:rPr>
        <w:t xml:space="preserve"> de Baz con una población total de 672,2020 y una edad media de 34 años</w:t>
      </w:r>
      <w:r>
        <w:rPr>
          <w:rStyle w:val="Refdenotaalpie"/>
          <w:rFonts w:ascii="Arial" w:eastAsiaTheme="majorEastAsia" w:hAnsi="Arial" w:cs="Arial"/>
          <w:sz w:val="24"/>
          <w:lang w:val="es-ES" w:eastAsia="es-MX"/>
        </w:rPr>
        <w:footnoteReference w:id="17"/>
      </w:r>
      <w:r>
        <w:rPr>
          <w:rFonts w:ascii="Arial" w:eastAsiaTheme="majorEastAsia" w:hAnsi="Arial" w:cs="Arial"/>
          <w:sz w:val="24"/>
          <w:lang w:val="es-ES" w:eastAsia="es-MX"/>
        </w:rPr>
        <w:t xml:space="preserve">.Tanto las proyecciones poblacionales a </w:t>
      </w:r>
      <w:r>
        <w:rPr>
          <w:rFonts w:ascii="Arial" w:eastAsiaTheme="majorEastAsia" w:hAnsi="Arial" w:cs="Arial"/>
          <w:sz w:val="24"/>
          <w:lang w:val="es-ES" w:eastAsia="es-MX"/>
        </w:rPr>
        <w:lastRenderedPageBreak/>
        <w:t xml:space="preserve">nivel nacional como a nivel estatal, prevén un aumento en la población de las personas de la tercera edad, lo que representa que un reto para las instituciones mexiquenses de seguridad social. </w:t>
      </w:r>
    </w:p>
    <w:p w14:paraId="5D282AB0" w14:textId="77777777" w:rsidR="00C16CD9" w:rsidRDefault="00C16CD9" w:rsidP="00C16CD9">
      <w:pPr>
        <w:spacing w:line="360" w:lineRule="auto"/>
        <w:rPr>
          <w:rFonts w:ascii="Arial" w:eastAsiaTheme="majorEastAsia" w:hAnsi="Arial" w:cs="Arial"/>
          <w:sz w:val="24"/>
          <w:lang w:val="es-ES" w:eastAsia="es-MX"/>
        </w:rPr>
      </w:pPr>
      <w:proofErr w:type="gramStart"/>
      <w:r w:rsidRPr="005A5C3C">
        <w:rPr>
          <w:rFonts w:ascii="Arial" w:eastAsiaTheme="majorEastAsia" w:hAnsi="Arial" w:cs="Arial"/>
          <w:sz w:val="24"/>
          <w:lang w:val="es-ES" w:eastAsia="es-MX"/>
        </w:rPr>
        <w:t>De acuerdo al</w:t>
      </w:r>
      <w:proofErr w:type="gramEnd"/>
      <w:r w:rsidRPr="005A5C3C">
        <w:rPr>
          <w:rFonts w:ascii="Arial" w:eastAsiaTheme="majorEastAsia" w:hAnsi="Arial" w:cs="Arial"/>
          <w:sz w:val="24"/>
          <w:lang w:val="es-ES" w:eastAsia="es-MX"/>
        </w:rPr>
        <w:t xml:space="preserve"> estudio </w:t>
      </w:r>
      <w:r w:rsidRPr="001012A0">
        <w:rPr>
          <w:rFonts w:ascii="Arial" w:eastAsiaTheme="majorEastAsia" w:hAnsi="Arial" w:cs="Arial"/>
          <w:i/>
          <w:iCs/>
          <w:sz w:val="24"/>
          <w:lang w:val="es-ES" w:eastAsia="es-MX"/>
        </w:rPr>
        <w:t>Presupuesto del 2021 del Estado de México</w:t>
      </w:r>
      <w:r>
        <w:rPr>
          <w:rFonts w:ascii="Arial" w:eastAsiaTheme="majorEastAsia" w:hAnsi="Arial" w:cs="Arial"/>
          <w:sz w:val="24"/>
          <w:lang w:val="es-ES" w:eastAsia="es-MX"/>
        </w:rPr>
        <w:t>,</w:t>
      </w:r>
      <w:r w:rsidRPr="005A5C3C">
        <w:rPr>
          <w:rFonts w:ascii="Arial" w:eastAsiaTheme="majorEastAsia" w:hAnsi="Arial" w:cs="Arial"/>
          <w:sz w:val="24"/>
          <w:lang w:val="es-ES" w:eastAsia="es-MX"/>
        </w:rPr>
        <w:t xml:space="preserve"> realizado por la empresa Farell Grupo Consultoría S.C., el Instituto de Seguridad Social del Estado de México y Municipios (</w:t>
      </w:r>
      <w:proofErr w:type="spellStart"/>
      <w:r w:rsidRPr="005A5C3C">
        <w:rPr>
          <w:rFonts w:ascii="Arial" w:eastAsiaTheme="majorEastAsia" w:hAnsi="Arial" w:cs="Arial"/>
          <w:sz w:val="24"/>
          <w:lang w:val="es-ES" w:eastAsia="es-MX"/>
        </w:rPr>
        <w:t>ISSEMyM</w:t>
      </w:r>
      <w:proofErr w:type="spellEnd"/>
      <w:r w:rsidRPr="005A5C3C">
        <w:rPr>
          <w:rFonts w:ascii="Arial" w:eastAsiaTheme="majorEastAsia" w:hAnsi="Arial" w:cs="Arial"/>
          <w:sz w:val="24"/>
          <w:lang w:val="es-ES" w:eastAsia="es-MX"/>
        </w:rPr>
        <w:t>) muestra un déficit superior a los 593 millones de pesos, debido al incremento del 13.48% en el número de personas pensionadas, del 10.07% jubilados y solo e</w:t>
      </w:r>
      <w:r>
        <w:rPr>
          <w:rFonts w:ascii="Arial" w:eastAsiaTheme="majorEastAsia" w:hAnsi="Arial" w:cs="Arial"/>
          <w:sz w:val="24"/>
          <w:lang w:val="es-ES" w:eastAsia="es-MX"/>
        </w:rPr>
        <w:t>l</w:t>
      </w:r>
      <w:r w:rsidRPr="005A5C3C">
        <w:rPr>
          <w:rFonts w:ascii="Arial" w:eastAsiaTheme="majorEastAsia" w:hAnsi="Arial" w:cs="Arial"/>
          <w:sz w:val="24"/>
          <w:lang w:val="es-ES" w:eastAsia="es-MX"/>
        </w:rPr>
        <w:t xml:space="preserve"> 4% de trabajadores activos. La edad promedio de los trabadores activos es de 42.35 años, de los pensionados de 59.32</w:t>
      </w:r>
      <w:r>
        <w:rPr>
          <w:rFonts w:ascii="Arial" w:eastAsiaTheme="majorEastAsia" w:hAnsi="Arial" w:cs="Arial"/>
          <w:sz w:val="24"/>
          <w:lang w:val="es-ES" w:eastAsia="es-MX"/>
        </w:rPr>
        <w:t xml:space="preserve"> </w:t>
      </w:r>
      <w:r w:rsidRPr="005A5C3C">
        <w:rPr>
          <w:rFonts w:ascii="Arial" w:eastAsiaTheme="majorEastAsia" w:hAnsi="Arial" w:cs="Arial"/>
          <w:sz w:val="24"/>
          <w:lang w:val="es-ES" w:eastAsia="es-MX"/>
        </w:rPr>
        <w:t>y de los jubilados de 65.36 años</w:t>
      </w:r>
      <w:r>
        <w:rPr>
          <w:rFonts w:ascii="Arial" w:eastAsiaTheme="majorEastAsia" w:hAnsi="Arial" w:cs="Arial"/>
          <w:sz w:val="24"/>
          <w:lang w:val="es-ES" w:eastAsia="es-MX"/>
        </w:rPr>
        <w:t>;</w:t>
      </w:r>
      <w:r w:rsidRPr="005A5C3C">
        <w:rPr>
          <w:rFonts w:ascii="Arial" w:eastAsiaTheme="majorEastAsia" w:hAnsi="Arial" w:cs="Arial"/>
          <w:sz w:val="24"/>
          <w:lang w:val="es-ES" w:eastAsia="es-MX"/>
        </w:rPr>
        <w:t xml:space="preserve"> Maurillo Hernández, presidente de la Junta de Coordinación Política de la Legislatura mexiquense, informo en 2020, que al menos 4,000 derechohabientes se encuentran en lista de espera para poder acceder a su jubilación, lo cuales sumarian en total 60,000 pensionados existentes</w:t>
      </w:r>
      <w:r>
        <w:rPr>
          <w:rStyle w:val="Refdenotaalpie"/>
          <w:rFonts w:ascii="Arial" w:eastAsiaTheme="majorEastAsia" w:hAnsi="Arial" w:cs="Arial"/>
          <w:sz w:val="24"/>
          <w:lang w:val="es-ES" w:eastAsia="es-MX"/>
        </w:rPr>
        <w:footnoteReference w:id="18"/>
      </w:r>
      <w:r w:rsidRPr="005A5C3C">
        <w:rPr>
          <w:rFonts w:ascii="Arial" w:eastAsiaTheme="majorEastAsia" w:hAnsi="Arial" w:cs="Arial"/>
          <w:sz w:val="24"/>
          <w:lang w:val="es-ES" w:eastAsia="es-MX"/>
        </w:rPr>
        <w:t>.</w:t>
      </w:r>
      <w:r>
        <w:rPr>
          <w:rFonts w:ascii="Arial" w:eastAsiaTheme="majorEastAsia" w:hAnsi="Arial" w:cs="Arial"/>
          <w:sz w:val="24"/>
          <w:lang w:val="es-ES" w:eastAsia="es-MX"/>
        </w:rPr>
        <w:t xml:space="preserve"> </w:t>
      </w:r>
      <w:r w:rsidRPr="005A5C3C">
        <w:rPr>
          <w:rFonts w:ascii="Arial" w:eastAsiaTheme="majorEastAsia" w:hAnsi="Arial" w:cs="Arial"/>
          <w:sz w:val="24"/>
          <w:lang w:val="es-ES" w:eastAsia="es-MX"/>
        </w:rPr>
        <w:t xml:space="preserve"> </w:t>
      </w:r>
    </w:p>
    <w:p w14:paraId="68FA7F39" w14:textId="77777777" w:rsidR="00C16CD9" w:rsidRDefault="00C16CD9" w:rsidP="00C16CD9">
      <w:pPr>
        <w:spacing w:line="360" w:lineRule="auto"/>
        <w:rPr>
          <w:rFonts w:ascii="Arial" w:eastAsiaTheme="majorEastAsia" w:hAnsi="Arial" w:cs="Arial"/>
          <w:sz w:val="24"/>
          <w:lang w:val="es-ES" w:eastAsia="es-MX"/>
        </w:rPr>
      </w:pPr>
      <w:r>
        <w:rPr>
          <w:rFonts w:ascii="Arial" w:eastAsiaTheme="majorEastAsia" w:hAnsi="Arial" w:cs="Arial"/>
          <w:sz w:val="24"/>
          <w:lang w:val="es-ES" w:eastAsia="es-MX"/>
        </w:rPr>
        <w:t xml:space="preserve">Según la </w:t>
      </w:r>
      <w:bookmarkStart w:id="5" w:name="_Hlk73213687"/>
      <w:r>
        <w:rPr>
          <w:rFonts w:ascii="Arial" w:eastAsiaTheme="majorEastAsia" w:hAnsi="Arial" w:cs="Arial"/>
          <w:sz w:val="24"/>
          <w:lang w:val="es-ES" w:eastAsia="es-MX"/>
        </w:rPr>
        <w:t>L</w:t>
      </w:r>
      <w:r w:rsidRPr="00C7114B">
        <w:rPr>
          <w:rFonts w:ascii="Arial" w:eastAsiaTheme="majorEastAsia" w:hAnsi="Arial" w:cs="Arial"/>
          <w:sz w:val="24"/>
          <w:lang w:val="es-ES" w:eastAsia="es-MX"/>
        </w:rPr>
        <w:t xml:space="preserve">ey del adulto mayor del </w:t>
      </w:r>
      <w:r>
        <w:rPr>
          <w:rFonts w:ascii="Arial" w:eastAsiaTheme="majorEastAsia" w:hAnsi="Arial" w:cs="Arial"/>
          <w:sz w:val="24"/>
          <w:lang w:val="es-ES" w:eastAsia="es-MX"/>
        </w:rPr>
        <w:t>E</w:t>
      </w:r>
      <w:r w:rsidRPr="00C7114B">
        <w:rPr>
          <w:rFonts w:ascii="Arial" w:eastAsiaTheme="majorEastAsia" w:hAnsi="Arial" w:cs="Arial"/>
          <w:sz w:val="24"/>
          <w:lang w:val="es-ES" w:eastAsia="es-MX"/>
        </w:rPr>
        <w:t xml:space="preserve">stado de </w:t>
      </w:r>
      <w:r>
        <w:rPr>
          <w:rFonts w:ascii="Arial" w:eastAsiaTheme="majorEastAsia" w:hAnsi="Arial" w:cs="Arial"/>
          <w:sz w:val="24"/>
          <w:lang w:val="es-ES" w:eastAsia="es-MX"/>
        </w:rPr>
        <w:t>M</w:t>
      </w:r>
      <w:r w:rsidRPr="00C7114B">
        <w:rPr>
          <w:rFonts w:ascii="Arial" w:eastAsiaTheme="majorEastAsia" w:hAnsi="Arial" w:cs="Arial"/>
          <w:sz w:val="24"/>
          <w:lang w:val="es-ES" w:eastAsia="es-MX"/>
        </w:rPr>
        <w:t>éxic</w:t>
      </w:r>
      <w:r>
        <w:rPr>
          <w:rFonts w:ascii="Arial" w:eastAsiaTheme="majorEastAsia" w:hAnsi="Arial" w:cs="Arial"/>
          <w:sz w:val="24"/>
          <w:lang w:val="es-ES" w:eastAsia="es-MX"/>
        </w:rPr>
        <w:t>o</w:t>
      </w:r>
      <w:bookmarkEnd w:id="5"/>
      <w:r>
        <w:rPr>
          <w:rFonts w:ascii="Arial" w:eastAsiaTheme="majorEastAsia" w:hAnsi="Arial" w:cs="Arial"/>
          <w:sz w:val="24"/>
          <w:lang w:val="es-ES" w:eastAsia="es-MX"/>
        </w:rPr>
        <w:t xml:space="preserve"> que protege a hombres y mujeres mayores de 60 años que residan en el Estado de México entre varios principios tienen derecho a</w:t>
      </w:r>
      <w:r>
        <w:rPr>
          <w:rStyle w:val="Refdenotaalpie"/>
          <w:rFonts w:ascii="Arial" w:eastAsiaTheme="majorEastAsia" w:hAnsi="Arial" w:cs="Arial"/>
          <w:sz w:val="24"/>
          <w:lang w:val="es-ES" w:eastAsia="es-MX"/>
        </w:rPr>
        <w:footnoteReference w:id="19"/>
      </w:r>
      <w:r>
        <w:rPr>
          <w:rFonts w:ascii="Arial" w:eastAsiaTheme="majorEastAsia" w:hAnsi="Arial" w:cs="Arial"/>
          <w:sz w:val="24"/>
          <w:lang w:val="es-ES" w:eastAsia="es-MX"/>
        </w:rPr>
        <w:t xml:space="preserve">: </w:t>
      </w:r>
    </w:p>
    <w:p w14:paraId="6CEF8D03" w14:textId="77777777" w:rsidR="00C16CD9"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lastRenderedPageBreak/>
        <w:t>“I</w:t>
      </w:r>
      <w:r w:rsidRPr="00C7114B">
        <w:rPr>
          <w:rFonts w:ascii="Arial" w:eastAsiaTheme="majorEastAsia" w:hAnsi="Arial" w:cs="Arial"/>
          <w:sz w:val="24"/>
          <w:lang w:val="es-ES" w:eastAsia="es-MX"/>
        </w:rPr>
        <w:t>. Disfrutar plenamente, sin discriminación o distinción alguna, de los derechos que ésta y otras leyes consagran</w:t>
      </w:r>
      <w:r>
        <w:rPr>
          <w:rFonts w:ascii="Arial" w:eastAsiaTheme="majorEastAsia" w:hAnsi="Arial" w:cs="Arial"/>
          <w:sz w:val="24"/>
          <w:lang w:val="es-ES" w:eastAsia="es-MX"/>
        </w:rPr>
        <w:t>.”</w:t>
      </w:r>
    </w:p>
    <w:p w14:paraId="3D01AE17" w14:textId="77777777" w:rsidR="00C16CD9"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t>“</w:t>
      </w:r>
      <w:r w:rsidRPr="00C7114B">
        <w:rPr>
          <w:rFonts w:ascii="Arial" w:eastAsiaTheme="majorEastAsia" w:hAnsi="Arial" w:cs="Arial"/>
          <w:sz w:val="24"/>
          <w:lang w:val="es-ES" w:eastAsia="es-MX"/>
        </w:rPr>
        <w:t>III. Recibir protección de su familia, de la sociedad y de las instituciones públicas y privadas, estatales y municipale</w:t>
      </w:r>
      <w:r>
        <w:rPr>
          <w:rFonts w:ascii="Arial" w:eastAsiaTheme="majorEastAsia" w:hAnsi="Arial" w:cs="Arial"/>
          <w:sz w:val="24"/>
          <w:lang w:val="es-ES" w:eastAsia="es-MX"/>
        </w:rPr>
        <w:t xml:space="preserve">s.” </w:t>
      </w:r>
    </w:p>
    <w:p w14:paraId="048087E5" w14:textId="77777777" w:rsidR="00C16CD9"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t>“</w:t>
      </w:r>
      <w:r w:rsidRPr="00C7114B">
        <w:rPr>
          <w:rFonts w:ascii="Arial" w:eastAsiaTheme="majorEastAsia" w:hAnsi="Arial" w:cs="Arial"/>
          <w:sz w:val="24"/>
          <w:lang w:val="es-ES" w:eastAsia="es-MX"/>
        </w:rPr>
        <w:t>V. Participar en la planeación integral del desarrollo social y productivo para promover e incidir acciones a favor de los adultos mayores</w:t>
      </w:r>
      <w:r>
        <w:rPr>
          <w:rFonts w:ascii="Arial" w:eastAsiaTheme="majorEastAsia" w:hAnsi="Arial" w:cs="Arial"/>
          <w:sz w:val="24"/>
          <w:lang w:val="es-ES" w:eastAsia="es-MX"/>
        </w:rPr>
        <w:t>.”</w:t>
      </w:r>
    </w:p>
    <w:p w14:paraId="51EA0002" w14:textId="77777777" w:rsidR="00C16CD9"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t>“</w:t>
      </w:r>
      <w:r w:rsidRPr="00C7114B">
        <w:rPr>
          <w:rFonts w:ascii="Arial" w:eastAsiaTheme="majorEastAsia" w:hAnsi="Arial" w:cs="Arial"/>
          <w:sz w:val="24"/>
          <w:lang w:val="es-ES" w:eastAsia="es-MX"/>
        </w:rPr>
        <w:t>XXVII. Vivir en entornos seguros y dignos que cumplan con sus necesidades y requerimientos</w:t>
      </w:r>
      <w:r>
        <w:rPr>
          <w:rFonts w:ascii="Arial" w:eastAsiaTheme="majorEastAsia" w:hAnsi="Arial" w:cs="Arial"/>
          <w:sz w:val="24"/>
          <w:lang w:val="es-ES" w:eastAsia="es-MX"/>
        </w:rPr>
        <w:t>.”</w:t>
      </w:r>
    </w:p>
    <w:p w14:paraId="190F1FD3" w14:textId="77777777" w:rsidR="00C16CD9"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t>“</w:t>
      </w:r>
      <w:r w:rsidRPr="00C7114B">
        <w:rPr>
          <w:rFonts w:ascii="Arial" w:eastAsiaTheme="majorEastAsia" w:hAnsi="Arial" w:cs="Arial"/>
          <w:sz w:val="24"/>
          <w:lang w:val="es-ES" w:eastAsia="es-MX"/>
        </w:rPr>
        <w:t>XXXVIII. Una vida libre de violencia: física, patrimonial, psicológica, sexual o de cualquier otro tipo</w:t>
      </w:r>
      <w:r>
        <w:rPr>
          <w:rFonts w:ascii="Arial" w:eastAsiaTheme="majorEastAsia" w:hAnsi="Arial" w:cs="Arial"/>
          <w:sz w:val="24"/>
          <w:lang w:val="es-ES" w:eastAsia="es-MX"/>
        </w:rPr>
        <w:t>.”</w:t>
      </w:r>
    </w:p>
    <w:p w14:paraId="7444A5FC" w14:textId="77777777" w:rsidR="00C16CD9" w:rsidRPr="008A6C78" w:rsidRDefault="00C16CD9" w:rsidP="00C16CD9">
      <w:pPr>
        <w:spacing w:line="360" w:lineRule="auto"/>
        <w:ind w:left="708"/>
        <w:rPr>
          <w:rFonts w:ascii="Arial" w:eastAsiaTheme="majorEastAsia" w:hAnsi="Arial" w:cs="Arial"/>
          <w:sz w:val="24"/>
          <w:lang w:val="es-ES" w:eastAsia="es-MX"/>
        </w:rPr>
      </w:pPr>
      <w:r>
        <w:rPr>
          <w:rFonts w:ascii="Arial" w:eastAsiaTheme="majorEastAsia" w:hAnsi="Arial" w:cs="Arial"/>
          <w:sz w:val="24"/>
          <w:lang w:val="es-ES" w:eastAsia="es-MX"/>
        </w:rPr>
        <w:t>“</w:t>
      </w:r>
      <w:r w:rsidRPr="008A6C78">
        <w:rPr>
          <w:rFonts w:ascii="Arial" w:eastAsiaTheme="majorEastAsia" w:hAnsi="Arial" w:cs="Arial"/>
          <w:sz w:val="24"/>
          <w:lang w:val="es-ES" w:eastAsia="es-MX"/>
        </w:rPr>
        <w:t xml:space="preserve">XL. Tener acceso a la alimentación, bienes, servicios, condiciones físicas y </w:t>
      </w:r>
    </w:p>
    <w:p w14:paraId="08A0A791" w14:textId="77777777" w:rsidR="00C16CD9" w:rsidRDefault="00C16CD9" w:rsidP="00C16CD9">
      <w:pPr>
        <w:spacing w:line="360" w:lineRule="auto"/>
        <w:ind w:left="708"/>
        <w:rPr>
          <w:rFonts w:ascii="Arial" w:eastAsiaTheme="majorEastAsia" w:hAnsi="Arial" w:cs="Arial"/>
          <w:sz w:val="24"/>
          <w:lang w:val="es-ES" w:eastAsia="es-MX"/>
        </w:rPr>
      </w:pPr>
      <w:r w:rsidRPr="008A6C78">
        <w:rPr>
          <w:rFonts w:ascii="Arial" w:eastAsiaTheme="majorEastAsia" w:hAnsi="Arial" w:cs="Arial"/>
          <w:sz w:val="24"/>
          <w:lang w:val="es-ES" w:eastAsia="es-MX"/>
        </w:rPr>
        <w:t>materiales, entre otras, para su atención integral</w:t>
      </w:r>
      <w:r>
        <w:rPr>
          <w:rFonts w:ascii="Arial" w:eastAsiaTheme="majorEastAsia" w:hAnsi="Arial" w:cs="Arial"/>
          <w:sz w:val="24"/>
          <w:lang w:val="es-ES" w:eastAsia="es-MX"/>
        </w:rPr>
        <w:t>.”</w:t>
      </w:r>
    </w:p>
    <w:p w14:paraId="16491243" w14:textId="77777777" w:rsidR="00C16CD9" w:rsidRDefault="00C16CD9" w:rsidP="00C16CD9">
      <w:pPr>
        <w:spacing w:line="360" w:lineRule="auto"/>
        <w:rPr>
          <w:rFonts w:ascii="Arial" w:eastAsiaTheme="majorEastAsia" w:hAnsi="Arial" w:cs="Arial"/>
          <w:sz w:val="24"/>
          <w:lang w:val="es-ES" w:eastAsia="es-MX"/>
        </w:rPr>
      </w:pPr>
      <w:r>
        <w:rPr>
          <w:rFonts w:ascii="Arial" w:eastAsiaTheme="majorEastAsia" w:hAnsi="Arial" w:cs="Arial"/>
          <w:sz w:val="24"/>
          <w:lang w:val="es-ES" w:eastAsia="es-MX"/>
        </w:rPr>
        <w:t xml:space="preserve">De acuerdo a lo anterior podemos decir que la vejez mexiquense enfrenta un panorama complicado respecto a los recursos necesarios para pasar esta etapa de forma digna, si bien el Estado debe promover políticas públicas que aseguren la vida digna de este sector vulnerable de la población es importante analizar la problemática de una forma profunda y sistemática, la vejez en inmanente para toda la población, los jóvenes en algún momento llegarán a esas circunstancias,  por lo que se requiere de educación financiera y de la implementación de reformas que </w:t>
      </w:r>
      <w:r>
        <w:rPr>
          <w:rFonts w:ascii="Arial" w:eastAsiaTheme="majorEastAsia" w:hAnsi="Arial" w:cs="Arial"/>
          <w:sz w:val="24"/>
          <w:lang w:val="es-ES" w:eastAsia="es-MX"/>
        </w:rPr>
        <w:lastRenderedPageBreak/>
        <w:t xml:space="preserve">beneficien a los que ahora se encuentran pasando su vejez y a los que en algunas décadas se encontrarán en la misma situación. </w:t>
      </w:r>
    </w:p>
    <w:p w14:paraId="0C4E4ABE" w14:textId="77777777" w:rsidR="00C16CD9" w:rsidRDefault="00C16CD9" w:rsidP="00C16CD9">
      <w:pPr>
        <w:rPr>
          <w:rFonts w:ascii="Arial" w:eastAsiaTheme="majorEastAsia" w:hAnsi="Arial" w:cs="Arial"/>
          <w:sz w:val="24"/>
          <w:lang w:val="es-ES" w:eastAsia="es-MX"/>
        </w:rPr>
      </w:pPr>
      <w:r>
        <w:rPr>
          <w:rFonts w:ascii="Arial" w:eastAsiaTheme="majorEastAsia" w:hAnsi="Arial" w:cs="Arial"/>
          <w:sz w:val="24"/>
          <w:lang w:val="es-ES" w:eastAsia="es-MX"/>
        </w:rPr>
        <w:br w:type="page"/>
      </w:r>
    </w:p>
    <w:p w14:paraId="3296098E" w14:textId="77777777" w:rsidR="00C16CD9" w:rsidRDefault="00C16CD9" w:rsidP="00C16CD9">
      <w:pPr>
        <w:spacing w:line="360" w:lineRule="auto"/>
        <w:rPr>
          <w:rFonts w:ascii="Arial" w:eastAsiaTheme="majorEastAsia" w:hAnsi="Arial" w:cs="Arial"/>
          <w:sz w:val="24"/>
          <w:lang w:val="es-ES" w:eastAsia="es-MX"/>
        </w:rPr>
      </w:pPr>
    </w:p>
    <w:bookmarkStart w:id="6" w:name="_Toc73966315" w:displacedByCustomXml="next"/>
    <w:sdt>
      <w:sdtPr>
        <w:rPr>
          <w:rFonts w:asciiTheme="minorHAnsi" w:eastAsiaTheme="minorHAnsi" w:hAnsiTheme="minorHAnsi" w:cstheme="minorBidi"/>
          <w:b w:val="0"/>
          <w:color w:val="auto"/>
          <w:sz w:val="22"/>
          <w:szCs w:val="22"/>
          <w:lang w:val="es-ES" w:eastAsia="en-US"/>
        </w:rPr>
        <w:id w:val="246548225"/>
        <w:docPartObj>
          <w:docPartGallery w:val="Bibliographies"/>
          <w:docPartUnique/>
        </w:docPartObj>
      </w:sdtPr>
      <w:sdtEndPr>
        <w:rPr>
          <w:rFonts w:ascii="Helvetica Neue" w:eastAsia="Times New Roman" w:hAnsi="Helvetica Neue" w:cs="Times New Roman"/>
          <w:szCs w:val="24"/>
          <w:lang w:val="es-MX" w:eastAsia="es-ES_tradnl"/>
        </w:rPr>
      </w:sdtEndPr>
      <w:sdtContent>
        <w:p w14:paraId="40F95EB5" w14:textId="77777777" w:rsidR="00C16CD9" w:rsidRPr="00542EF0" w:rsidRDefault="00C16CD9" w:rsidP="00C16CD9">
          <w:pPr>
            <w:pStyle w:val="Ttulo1"/>
          </w:pPr>
          <w:r w:rsidRPr="00542EF0">
            <w:t>Referencias</w:t>
          </w:r>
          <w:bookmarkEnd w:id="6"/>
        </w:p>
        <w:sdt>
          <w:sdtPr>
            <w:rPr>
              <w:rFonts w:ascii="Helvetica Neue" w:eastAsia="Times New Roman" w:hAnsi="Helvetica Neue" w:cs="Times New Roman"/>
              <w:szCs w:val="24"/>
              <w:lang w:eastAsia="es-ES_tradnl"/>
            </w:rPr>
            <w:id w:val="-573587230"/>
            <w:bibliography/>
          </w:sdtPr>
          <w:sdtEndPr/>
          <w:sdtContent>
            <w:p w14:paraId="39B32297"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sz w:val="24"/>
                  <w:szCs w:val="24"/>
                </w:rPr>
                <w:fldChar w:fldCharType="begin"/>
              </w:r>
              <w:r w:rsidRPr="008A6C78">
                <w:rPr>
                  <w:rFonts w:ascii="Arial" w:hAnsi="Arial" w:cs="Arial"/>
                  <w:sz w:val="24"/>
                  <w:szCs w:val="24"/>
                </w:rPr>
                <w:instrText>BIBLIOGRAPHY</w:instrText>
              </w:r>
              <w:r w:rsidRPr="008A6C78">
                <w:rPr>
                  <w:rFonts w:ascii="Arial" w:hAnsi="Arial" w:cs="Arial"/>
                  <w:sz w:val="24"/>
                  <w:szCs w:val="24"/>
                </w:rPr>
                <w:fldChar w:fldCharType="separate"/>
              </w:r>
              <w:r w:rsidRPr="008A6C78">
                <w:rPr>
                  <w:rFonts w:ascii="Arial" w:hAnsi="Arial" w:cs="Arial"/>
                  <w:noProof/>
                  <w:sz w:val="24"/>
                  <w:szCs w:val="24"/>
                  <w:lang w:val="es-ES"/>
                </w:rPr>
                <w:t xml:space="preserve">Comisión Nacional de los Derechos Humanos. (2017). </w:t>
              </w:r>
              <w:r w:rsidRPr="008A6C78">
                <w:rPr>
                  <w:rFonts w:ascii="Arial" w:hAnsi="Arial" w:cs="Arial"/>
                  <w:i/>
                  <w:iCs/>
                  <w:noProof/>
                  <w:sz w:val="24"/>
                  <w:szCs w:val="24"/>
                  <w:lang w:val="es-ES"/>
                </w:rPr>
                <w:t>Derecho humano a la seguridad social.</w:t>
              </w:r>
              <w:r w:rsidRPr="008A6C78">
                <w:rPr>
                  <w:rFonts w:ascii="Arial" w:hAnsi="Arial" w:cs="Arial"/>
                  <w:noProof/>
                  <w:sz w:val="24"/>
                  <w:szCs w:val="24"/>
                  <w:lang w:val="es-ES"/>
                </w:rPr>
                <w:t xml:space="preserve"> </w:t>
              </w:r>
            </w:p>
            <w:p w14:paraId="2842D6B8"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CONAPO. (2016). </w:t>
              </w:r>
              <w:r w:rsidRPr="008A6C78">
                <w:rPr>
                  <w:rFonts w:ascii="Arial" w:hAnsi="Arial" w:cs="Arial"/>
                  <w:i/>
                  <w:iCs/>
                  <w:noProof/>
                  <w:sz w:val="24"/>
                  <w:szCs w:val="24"/>
                  <w:lang w:val="es-ES"/>
                </w:rPr>
                <w:t>Proyecciones de la población de México y de las entidades federativas 2016-2050.</w:t>
              </w:r>
              <w:r w:rsidRPr="008A6C78">
                <w:rPr>
                  <w:rFonts w:ascii="Arial" w:hAnsi="Arial" w:cs="Arial"/>
                  <w:noProof/>
                  <w:sz w:val="24"/>
                  <w:szCs w:val="24"/>
                  <w:lang w:val="es-ES"/>
                </w:rPr>
                <w:t xml:space="preserve"> Obtenido de https://www.gob.mx/cms/uploads/attachment/file/487388/15_MEX.pdf</w:t>
              </w:r>
            </w:p>
            <w:p w14:paraId="27341ED9"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CONAPO. (2016). </w:t>
              </w:r>
              <w:r w:rsidRPr="008A6C78">
                <w:rPr>
                  <w:rFonts w:ascii="Arial" w:hAnsi="Arial" w:cs="Arial"/>
                  <w:i/>
                  <w:iCs/>
                  <w:noProof/>
                  <w:sz w:val="24"/>
                  <w:szCs w:val="24"/>
                  <w:lang w:val="es-ES"/>
                </w:rPr>
                <w:t>Proyecciones de la población de México y de las entidades federativas 2016-2050</w:t>
              </w:r>
              <w:r w:rsidRPr="008A6C78">
                <w:rPr>
                  <w:rFonts w:ascii="Arial" w:hAnsi="Arial" w:cs="Arial"/>
                  <w:noProof/>
                  <w:sz w:val="24"/>
                  <w:szCs w:val="24"/>
                  <w:lang w:val="es-ES"/>
                </w:rPr>
                <w:t>. Obtenido de https://www.gob.mx/cms/uploads/attachment/file/487388/15_MEX.pdf</w:t>
              </w:r>
            </w:p>
            <w:p w14:paraId="159021AF"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CONAPO. (2020). </w:t>
              </w:r>
              <w:r w:rsidRPr="008A6C78">
                <w:rPr>
                  <w:rFonts w:ascii="Arial" w:hAnsi="Arial" w:cs="Arial"/>
                  <w:i/>
                  <w:iCs/>
                  <w:noProof/>
                  <w:sz w:val="24"/>
                  <w:szCs w:val="24"/>
                  <w:lang w:val="es-ES"/>
                </w:rPr>
                <w:t>La situación demográfica de México.</w:t>
              </w:r>
              <w:r w:rsidRPr="008A6C78">
                <w:rPr>
                  <w:rFonts w:ascii="Arial" w:hAnsi="Arial" w:cs="Arial"/>
                  <w:noProof/>
                  <w:sz w:val="24"/>
                  <w:szCs w:val="24"/>
                  <w:lang w:val="es-ES"/>
                </w:rPr>
                <w:t xml:space="preserve"> Obtenido de https://www.gob.mx/cms/uploads/attachment/file/629813/LSDM__2020_ISNN_140421.pdf</w:t>
              </w:r>
            </w:p>
            <w:p w14:paraId="5568E88D"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Crónica. (2016). </w:t>
              </w:r>
              <w:r w:rsidRPr="008A6C78">
                <w:rPr>
                  <w:rFonts w:ascii="Arial" w:hAnsi="Arial" w:cs="Arial"/>
                  <w:i/>
                  <w:iCs/>
                  <w:noProof/>
                  <w:sz w:val="24"/>
                  <w:szCs w:val="24"/>
                  <w:lang w:val="es-ES"/>
                </w:rPr>
                <w:t xml:space="preserve">70 por ciento de jóvenes, sin acceso a seguridad social: diputados: </w:t>
              </w:r>
              <w:r w:rsidRPr="008A6C78">
                <w:rPr>
                  <w:rFonts w:ascii="Arial" w:hAnsi="Arial" w:cs="Arial"/>
                  <w:noProof/>
                  <w:sz w:val="24"/>
                  <w:szCs w:val="24"/>
                  <w:lang w:val="es-ES"/>
                </w:rPr>
                <w:t>. Obtenido de http://www.cronica.com.mx/notas/2016/968901.html</w:t>
              </w:r>
            </w:p>
            <w:p w14:paraId="34AE48FB"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El sol de Toluca. (2020). </w:t>
              </w:r>
              <w:r w:rsidRPr="008A6C78">
                <w:rPr>
                  <w:rFonts w:ascii="Arial" w:hAnsi="Arial" w:cs="Arial"/>
                  <w:i/>
                  <w:iCs/>
                  <w:noProof/>
                  <w:sz w:val="24"/>
                  <w:szCs w:val="24"/>
                  <w:lang w:val="es-ES"/>
                </w:rPr>
                <w:t>Vaticina ISSEMyM un crecimiento en pensiones del 13.48 por ciento</w:t>
              </w:r>
              <w:r w:rsidRPr="008A6C78">
                <w:rPr>
                  <w:rFonts w:ascii="Arial" w:hAnsi="Arial" w:cs="Arial"/>
                  <w:noProof/>
                  <w:sz w:val="24"/>
                  <w:szCs w:val="24"/>
                  <w:lang w:val="es-ES"/>
                </w:rPr>
                <w:t>. Obtenido de https://www.elsoldetoluca.com.mx/local/vaticina-issemym-un-crecimient-en-pensiones-del-13.48-por-ciento-6071342.html</w:t>
              </w:r>
            </w:p>
            <w:p w14:paraId="1D32A445"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Entrepreneu. (2017). </w:t>
              </w:r>
              <w:r w:rsidRPr="008A6C78">
                <w:rPr>
                  <w:rFonts w:ascii="Arial" w:hAnsi="Arial" w:cs="Arial"/>
                  <w:i/>
                  <w:iCs/>
                  <w:noProof/>
                  <w:sz w:val="24"/>
                  <w:szCs w:val="24"/>
                  <w:lang w:val="es-ES"/>
                </w:rPr>
                <w:t>El enemigo silencioso que amenaza a los millennials</w:t>
              </w:r>
              <w:r w:rsidRPr="008A6C78">
                <w:rPr>
                  <w:rFonts w:ascii="Arial" w:hAnsi="Arial" w:cs="Arial"/>
                  <w:noProof/>
                  <w:sz w:val="24"/>
                  <w:szCs w:val="24"/>
                  <w:lang w:val="es-ES"/>
                </w:rPr>
                <w:t xml:space="preserve">. Obtenido de https://www.entrepreneur.com/article/296348 </w:t>
              </w:r>
            </w:p>
            <w:p w14:paraId="3AD4B1CD"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INEGI. (2017). </w:t>
              </w:r>
              <w:r w:rsidRPr="008A6C78">
                <w:rPr>
                  <w:rFonts w:ascii="Arial" w:hAnsi="Arial" w:cs="Arial"/>
                  <w:i/>
                  <w:iCs/>
                  <w:noProof/>
                  <w:sz w:val="24"/>
                  <w:szCs w:val="24"/>
                  <w:lang w:val="es-ES"/>
                </w:rPr>
                <w:t>Encuesta Nacional de Empleo y Seguridad Social 2017</w:t>
              </w:r>
              <w:r w:rsidRPr="008A6C78">
                <w:rPr>
                  <w:rFonts w:ascii="Arial" w:hAnsi="Arial" w:cs="Arial"/>
                  <w:noProof/>
                  <w:sz w:val="24"/>
                  <w:szCs w:val="24"/>
                  <w:lang w:val="es-ES"/>
                </w:rPr>
                <w:t>. Obtenido de https://www.inegi.org.mx/contenidos/programas/eness/2017/doc/presentacion_eness_2017.pdf</w:t>
              </w:r>
            </w:p>
            <w:p w14:paraId="0CB5CAEF"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lastRenderedPageBreak/>
                <w:t xml:space="preserve">INEGI. (2020). </w:t>
              </w:r>
              <w:r w:rsidRPr="008A6C78">
                <w:rPr>
                  <w:rFonts w:ascii="Arial" w:hAnsi="Arial" w:cs="Arial"/>
                  <w:i/>
                  <w:iCs/>
                  <w:noProof/>
                  <w:sz w:val="24"/>
                  <w:szCs w:val="24"/>
                  <w:lang w:val="es-ES"/>
                </w:rPr>
                <w:t>Presentación de resultados del Censo de Población y Vivienda 2020</w:t>
              </w:r>
              <w:r w:rsidRPr="008A6C78">
                <w:rPr>
                  <w:rFonts w:ascii="Arial" w:hAnsi="Arial" w:cs="Arial"/>
                  <w:noProof/>
                  <w:sz w:val="24"/>
                  <w:szCs w:val="24"/>
                  <w:lang w:val="es-ES"/>
                </w:rPr>
                <w:t>. Obtenido de https://www.inegi.org.mx/contenidos/programas/ccpv/2020/doc/cpv2020_pres_res_mex.pdf</w:t>
              </w:r>
            </w:p>
            <w:p w14:paraId="3536F4E9"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i/>
                  <w:iCs/>
                  <w:noProof/>
                  <w:sz w:val="24"/>
                  <w:szCs w:val="24"/>
                  <w:lang w:val="es-ES"/>
                </w:rPr>
                <w:t xml:space="preserve">Ley del adulto mayor del Estado de México: </w:t>
              </w:r>
              <w:r w:rsidRPr="008A6C78">
                <w:rPr>
                  <w:rFonts w:ascii="Arial" w:hAnsi="Arial" w:cs="Arial"/>
                  <w:noProof/>
                  <w:sz w:val="24"/>
                  <w:szCs w:val="24"/>
                  <w:lang w:val="es-ES"/>
                </w:rPr>
                <w:t>. (2020). Obtenido de https://normas.cndh.org.mx/Documentos/Estado%20de%20M%C3%A9xico/Ley_AMay_EdoMex.pdf</w:t>
              </w:r>
            </w:p>
            <w:p w14:paraId="185E706E"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Muradás, &amp; Téllez. (2018). </w:t>
              </w:r>
              <w:r w:rsidRPr="008A6C78">
                <w:rPr>
                  <w:rFonts w:ascii="Arial" w:hAnsi="Arial" w:cs="Arial"/>
                  <w:i/>
                  <w:iCs/>
                  <w:noProof/>
                  <w:sz w:val="24"/>
                  <w:szCs w:val="24"/>
                  <w:lang w:val="es-ES"/>
                </w:rPr>
                <w:t>Principales resultados de las Proyecciones de la Población de México y de las Entidades Federativas, 2016-2050.</w:t>
              </w:r>
              <w:r w:rsidRPr="008A6C78">
                <w:rPr>
                  <w:rFonts w:ascii="Arial" w:hAnsi="Arial" w:cs="Arial"/>
                  <w:noProof/>
                  <w:sz w:val="24"/>
                  <w:szCs w:val="24"/>
                  <w:lang w:val="es-ES"/>
                </w:rPr>
                <w:t xml:space="preserve"> Obtenido de https://www.gob.mx/cms/uploads/attachment/file/491891/p14-p35.pdf</w:t>
              </w:r>
            </w:p>
            <w:p w14:paraId="7A0BE102"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OCDE. (2021). </w:t>
              </w:r>
              <w:r w:rsidRPr="008A6C78">
                <w:rPr>
                  <w:rFonts w:ascii="Arial" w:hAnsi="Arial" w:cs="Arial"/>
                  <w:i/>
                  <w:iCs/>
                  <w:noProof/>
                  <w:sz w:val="24"/>
                  <w:szCs w:val="24"/>
                  <w:lang w:val="es-ES"/>
                </w:rPr>
                <w:t>Pension spending</w:t>
              </w:r>
              <w:r w:rsidRPr="008A6C78">
                <w:rPr>
                  <w:rFonts w:ascii="Arial" w:hAnsi="Arial" w:cs="Arial"/>
                  <w:noProof/>
                  <w:sz w:val="24"/>
                  <w:szCs w:val="24"/>
                  <w:lang w:val="es-ES"/>
                </w:rPr>
                <w:t>. Obtenido de https://data.oecd.org/socialexp/pension-spending.htm</w:t>
              </w:r>
            </w:p>
            <w:p w14:paraId="34C3FAA5"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Organización Internacional del Trabajo . (2013). </w:t>
              </w:r>
              <w:r w:rsidRPr="008A6C78">
                <w:rPr>
                  <w:rFonts w:ascii="Arial" w:hAnsi="Arial" w:cs="Arial"/>
                  <w:i/>
                  <w:iCs/>
                  <w:noProof/>
                  <w:sz w:val="24"/>
                  <w:szCs w:val="24"/>
                  <w:lang w:val="es-ES"/>
                </w:rPr>
                <w:t>Hechos concreto sobre la seguridad social .</w:t>
              </w:r>
              <w:r w:rsidRPr="008A6C78">
                <w:rPr>
                  <w:rFonts w:ascii="Arial" w:hAnsi="Arial" w:cs="Arial"/>
                  <w:noProof/>
                  <w:sz w:val="24"/>
                  <w:szCs w:val="24"/>
                  <w:lang w:val="es-ES"/>
                </w:rPr>
                <w:t xml:space="preserve"> Obtenido de https://www.ilo.org/wcmsp5/groups/public/---dgreports/---dcomm/documents/publication/wcms_067592.pdf</w:t>
              </w:r>
            </w:p>
            <w:p w14:paraId="5D735B97"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Procuraduría Federal de la Defensa del Trabajo . (2021). </w:t>
              </w:r>
              <w:r w:rsidRPr="008A6C78">
                <w:rPr>
                  <w:rFonts w:ascii="Arial" w:hAnsi="Arial" w:cs="Arial"/>
                  <w:i/>
                  <w:iCs/>
                  <w:noProof/>
                  <w:sz w:val="24"/>
                  <w:szCs w:val="24"/>
                  <w:lang w:val="es-ES"/>
                </w:rPr>
                <w:t>La seguridad social y sus beneficios.</w:t>
              </w:r>
              <w:r w:rsidRPr="008A6C78">
                <w:rPr>
                  <w:rFonts w:ascii="Arial" w:hAnsi="Arial" w:cs="Arial"/>
                  <w:noProof/>
                  <w:sz w:val="24"/>
                  <w:szCs w:val="24"/>
                  <w:lang w:val="es-ES"/>
                </w:rPr>
                <w:t xml:space="preserve"> Obtenido de https://www.gob.mx/profedet/es/articulos/seguridad-social?idiom=es</w:t>
              </w:r>
            </w:p>
            <w:p w14:paraId="2D8D8CEB"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Ronzón-Hernández, &amp; Montoya-Arce. (2013). La seguridad social entre la población envejecida del Estado de México: alcences y limitaciones de las políticas públicas. </w:t>
              </w:r>
              <w:r w:rsidRPr="008A6C78">
                <w:rPr>
                  <w:rFonts w:ascii="Arial" w:hAnsi="Arial" w:cs="Arial"/>
                  <w:i/>
                  <w:iCs/>
                  <w:noProof/>
                  <w:sz w:val="24"/>
                  <w:szCs w:val="24"/>
                  <w:lang w:val="es-ES"/>
                </w:rPr>
                <w:t xml:space="preserve">Papeles de población </w:t>
              </w:r>
              <w:r w:rsidRPr="008A6C78">
                <w:rPr>
                  <w:rFonts w:ascii="Arial" w:hAnsi="Arial" w:cs="Arial"/>
                  <w:noProof/>
                  <w:sz w:val="24"/>
                  <w:szCs w:val="24"/>
                  <w:lang w:val="es-ES"/>
                </w:rPr>
                <w:t>, 61-83.</w:t>
              </w:r>
            </w:p>
            <w:p w14:paraId="2A63DDC7"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Ruíz, Á. (2015). </w:t>
              </w:r>
              <w:r w:rsidRPr="008A6C78">
                <w:rPr>
                  <w:rFonts w:ascii="Arial" w:hAnsi="Arial" w:cs="Arial"/>
                  <w:i/>
                  <w:iCs/>
                  <w:noProof/>
                  <w:sz w:val="24"/>
                  <w:szCs w:val="24"/>
                  <w:lang w:val="es-ES"/>
                </w:rPr>
                <w:t>Nuevo derecho de la seguridad social .</w:t>
              </w:r>
              <w:r w:rsidRPr="008A6C78">
                <w:rPr>
                  <w:rFonts w:ascii="Arial" w:hAnsi="Arial" w:cs="Arial"/>
                  <w:noProof/>
                  <w:sz w:val="24"/>
                  <w:szCs w:val="24"/>
                  <w:lang w:val="es-ES"/>
                </w:rPr>
                <w:t xml:space="preserve"> México: 2015.</w:t>
              </w:r>
            </w:p>
            <w:p w14:paraId="543FDCEE"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Soto, P. y., &amp; Calderón. (2012). El concepto de seguridad social: Una aproximación a sus alcances y lÍmites. </w:t>
              </w:r>
              <w:r w:rsidRPr="008A6C78">
                <w:rPr>
                  <w:rFonts w:ascii="Arial" w:hAnsi="Arial" w:cs="Arial"/>
                  <w:i/>
                  <w:iCs/>
                  <w:noProof/>
                  <w:sz w:val="24"/>
                  <w:szCs w:val="24"/>
                  <w:lang w:val="es-ES"/>
                </w:rPr>
                <w:t>IUSTITIA</w:t>
              </w:r>
              <w:r w:rsidRPr="008A6C78">
                <w:rPr>
                  <w:rFonts w:ascii="Arial" w:hAnsi="Arial" w:cs="Arial"/>
                  <w:noProof/>
                  <w:sz w:val="24"/>
                  <w:szCs w:val="24"/>
                  <w:lang w:val="es-ES"/>
                </w:rPr>
                <w:t>, 75-100.</w:t>
              </w:r>
            </w:p>
            <w:p w14:paraId="310B74CC"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 xml:space="preserve">Villareal, &amp; Macías. (2020). </w:t>
              </w:r>
              <w:r w:rsidRPr="008A6C78">
                <w:rPr>
                  <w:rFonts w:ascii="Arial" w:hAnsi="Arial" w:cs="Arial"/>
                  <w:i/>
                  <w:iCs/>
                  <w:noProof/>
                  <w:sz w:val="24"/>
                  <w:szCs w:val="24"/>
                  <w:lang w:val="es-ES"/>
                </w:rPr>
                <w:t>El sistema de pensiones en México .</w:t>
              </w:r>
              <w:r w:rsidRPr="008A6C78">
                <w:rPr>
                  <w:rFonts w:ascii="Arial" w:hAnsi="Arial" w:cs="Arial"/>
                  <w:noProof/>
                  <w:sz w:val="24"/>
                  <w:szCs w:val="24"/>
                  <w:lang w:val="es-ES"/>
                </w:rPr>
                <w:t xml:space="preserve"> CEPAL.</w:t>
              </w:r>
            </w:p>
            <w:p w14:paraId="1F8C83E3" w14:textId="77777777" w:rsidR="00C16CD9" w:rsidRPr="008A6C78" w:rsidRDefault="00C16CD9" w:rsidP="00C16CD9">
              <w:pPr>
                <w:pStyle w:val="Bibliografa"/>
                <w:ind w:left="720" w:hanging="720"/>
                <w:rPr>
                  <w:rFonts w:ascii="Arial" w:hAnsi="Arial" w:cs="Arial"/>
                  <w:noProof/>
                  <w:sz w:val="24"/>
                  <w:szCs w:val="24"/>
                  <w:lang w:val="es-ES"/>
                </w:rPr>
              </w:pPr>
              <w:r w:rsidRPr="008A6C78">
                <w:rPr>
                  <w:rFonts w:ascii="Arial" w:hAnsi="Arial" w:cs="Arial"/>
                  <w:noProof/>
                  <w:sz w:val="24"/>
                  <w:szCs w:val="24"/>
                  <w:lang w:val="es-ES"/>
                </w:rPr>
                <w:t>Weber. (1993). Economía y sociedad. Alianza Editorial: Madrid.</w:t>
              </w:r>
            </w:p>
            <w:p w14:paraId="6CAC63C5" w14:textId="77777777" w:rsidR="00C16CD9" w:rsidRDefault="00C16CD9" w:rsidP="00C16CD9">
              <w:r w:rsidRPr="008A6C78">
                <w:rPr>
                  <w:rFonts w:ascii="Arial" w:hAnsi="Arial" w:cs="Arial"/>
                  <w:b/>
                  <w:bCs/>
                  <w:sz w:val="24"/>
                </w:rPr>
                <w:lastRenderedPageBreak/>
                <w:fldChar w:fldCharType="end"/>
              </w:r>
            </w:p>
          </w:sdtContent>
        </w:sdt>
      </w:sdtContent>
    </w:sdt>
    <w:p w14:paraId="2C7C6146" w14:textId="77777777" w:rsidR="00C16CD9" w:rsidRPr="005A5C3C" w:rsidRDefault="00C16CD9" w:rsidP="00C16CD9">
      <w:pPr>
        <w:spacing w:line="360" w:lineRule="auto"/>
        <w:rPr>
          <w:rFonts w:ascii="Arial" w:eastAsiaTheme="majorEastAsia" w:hAnsi="Arial" w:cs="Arial"/>
          <w:sz w:val="24"/>
          <w:lang w:val="es-ES" w:eastAsia="es-MX"/>
        </w:rPr>
      </w:pPr>
    </w:p>
    <w:p w14:paraId="13CE6821" w14:textId="6DECAB3F" w:rsidR="00E871C5" w:rsidRDefault="001D6A5E"/>
    <w:sectPr w:rsidR="00E871C5" w:rsidSect="00C16CD9">
      <w:pgSz w:w="12240" w:h="15840"/>
      <w:pgMar w:top="3119" w:right="1701" w:bottom="2552"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0FD80" w14:textId="77777777" w:rsidR="001D6A5E" w:rsidRDefault="001D6A5E" w:rsidP="003614C2">
      <w:r>
        <w:separator/>
      </w:r>
    </w:p>
  </w:endnote>
  <w:endnote w:type="continuationSeparator" w:id="0">
    <w:p w14:paraId="1D465C12" w14:textId="77777777" w:rsidR="001D6A5E" w:rsidRDefault="001D6A5E" w:rsidP="00361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NEUE CONDENSED">
    <w:panose1 w:val="02000806000000020004"/>
    <w:charset w:val="00"/>
    <w:family w:val="auto"/>
    <w:pitch w:val="variable"/>
    <w:sig w:usb0="A00002FF" w:usb1="5000205A" w:usb2="00000000" w:usb3="00000000" w:csb0="00000001" w:csb1="00000000"/>
  </w:font>
  <w:font w:name="Gotham Light">
    <w:panose1 w:val="02000603030000020004"/>
    <w:charset w:val="4D"/>
    <w:family w:val="auto"/>
    <w:pitch w:val="variable"/>
    <w:sig w:usb0="800000AF" w:usb1="4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14282"/>
      <w:docPartObj>
        <w:docPartGallery w:val="Page Numbers (Bottom of Page)"/>
        <w:docPartUnique/>
      </w:docPartObj>
    </w:sdtPr>
    <w:sdtEndPr/>
    <w:sdtContent>
      <w:p w14:paraId="2725143A" w14:textId="77777777" w:rsidR="00C16CD9" w:rsidRDefault="00C16CD9">
        <w:pPr>
          <w:pStyle w:val="Piedepgina"/>
          <w:jc w:val="right"/>
        </w:pPr>
        <w:r>
          <w:fldChar w:fldCharType="begin"/>
        </w:r>
        <w:r>
          <w:instrText>PAGE   \* MERGEFORMAT</w:instrText>
        </w:r>
        <w:r>
          <w:fldChar w:fldCharType="separate"/>
        </w:r>
        <w:r w:rsidRPr="002D1196">
          <w:rPr>
            <w:noProof/>
            <w:lang w:val="es-ES"/>
          </w:rPr>
          <w:t>16</w:t>
        </w:r>
        <w:r>
          <w:fldChar w:fldCharType="end"/>
        </w:r>
      </w:p>
    </w:sdtContent>
  </w:sdt>
  <w:p w14:paraId="5485B32F" w14:textId="77777777" w:rsidR="00C16CD9" w:rsidRDefault="00C16CD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3251356"/>
      <w:docPartObj>
        <w:docPartGallery w:val="Page Numbers (Bottom of Page)"/>
        <w:docPartUnique/>
      </w:docPartObj>
    </w:sdtPr>
    <w:sdtEndPr/>
    <w:sdtContent>
      <w:p w14:paraId="07B7FB46" w14:textId="77777777" w:rsidR="00C16CD9" w:rsidRDefault="00C16CD9">
        <w:pPr>
          <w:pStyle w:val="Piedepgina"/>
          <w:jc w:val="right"/>
        </w:pPr>
        <w:r>
          <w:fldChar w:fldCharType="begin"/>
        </w:r>
        <w:r>
          <w:instrText>PAGE   \* MERGEFORMAT</w:instrText>
        </w:r>
        <w:r>
          <w:fldChar w:fldCharType="separate"/>
        </w:r>
        <w:r w:rsidRPr="002D1196">
          <w:rPr>
            <w:noProof/>
            <w:lang w:val="es-ES"/>
          </w:rPr>
          <w:t>1</w:t>
        </w:r>
        <w:r>
          <w:fldChar w:fldCharType="end"/>
        </w:r>
      </w:p>
    </w:sdtContent>
  </w:sdt>
  <w:p w14:paraId="382F6321" w14:textId="77777777" w:rsidR="00C16CD9" w:rsidRDefault="00C16CD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3EBDF7" w14:textId="77777777" w:rsidR="001D6A5E" w:rsidRDefault="001D6A5E" w:rsidP="003614C2">
      <w:r>
        <w:separator/>
      </w:r>
    </w:p>
  </w:footnote>
  <w:footnote w:type="continuationSeparator" w:id="0">
    <w:p w14:paraId="39ADEBA2" w14:textId="77777777" w:rsidR="001D6A5E" w:rsidRDefault="001D6A5E" w:rsidP="003614C2">
      <w:r>
        <w:continuationSeparator/>
      </w:r>
    </w:p>
  </w:footnote>
  <w:footnote w:id="1">
    <w:p w14:paraId="4436E6CD" w14:textId="77777777" w:rsidR="00C16CD9" w:rsidRPr="00527077" w:rsidRDefault="00C16CD9" w:rsidP="00C16CD9">
      <w:pPr>
        <w:pStyle w:val="Textonotapie"/>
        <w:rPr>
          <w:rFonts w:ascii="Arial" w:hAnsi="Arial" w:cs="Arial"/>
          <w:sz w:val="16"/>
          <w:szCs w:val="16"/>
        </w:rPr>
      </w:pPr>
      <w:r w:rsidRPr="00541CD0">
        <w:rPr>
          <w:rStyle w:val="Refdenotaalpie"/>
          <w:rFonts w:ascii="Arial" w:hAnsi="Arial" w:cs="Arial"/>
          <w:sz w:val="24"/>
          <w:szCs w:val="24"/>
        </w:rPr>
        <w:footnoteRef/>
      </w:r>
      <w:r w:rsidRPr="00541CD0">
        <w:rPr>
          <w:rFonts w:ascii="Arial" w:hAnsi="Arial" w:cs="Arial"/>
          <w:sz w:val="24"/>
          <w:szCs w:val="24"/>
        </w:rPr>
        <w:t xml:space="preserve"> </w:t>
      </w:r>
      <w:r w:rsidRPr="00527077">
        <w:rPr>
          <w:rFonts w:ascii="Arial" w:hAnsi="Arial" w:cs="Arial"/>
          <w:sz w:val="16"/>
          <w:szCs w:val="16"/>
        </w:rPr>
        <w:t xml:space="preserve">Procuraduría Federal de la Defensa del Trabajo (2021) </w:t>
      </w:r>
      <w:r w:rsidRPr="00527077">
        <w:rPr>
          <w:rFonts w:ascii="Arial" w:hAnsi="Arial" w:cs="Arial"/>
          <w:i/>
          <w:iCs/>
          <w:sz w:val="16"/>
          <w:szCs w:val="16"/>
        </w:rPr>
        <w:t>La seguridad social y sus beneficios</w:t>
      </w:r>
      <w:r w:rsidRPr="00527077">
        <w:rPr>
          <w:rFonts w:ascii="Arial" w:hAnsi="Arial" w:cs="Arial"/>
          <w:sz w:val="16"/>
          <w:szCs w:val="16"/>
        </w:rPr>
        <w:t>: https://www.gob.mx/profedet/es/articulos/seguridad-social?idiom=es</w:t>
      </w:r>
    </w:p>
  </w:footnote>
  <w:footnote w:id="2">
    <w:p w14:paraId="09411646" w14:textId="77777777" w:rsidR="00C16CD9" w:rsidRPr="00527077" w:rsidRDefault="00C16CD9" w:rsidP="00C16CD9">
      <w:pPr>
        <w:pStyle w:val="Textonotapie"/>
        <w:rPr>
          <w:sz w:val="12"/>
          <w:szCs w:val="12"/>
        </w:rPr>
      </w:pPr>
      <w:r w:rsidRPr="00527077">
        <w:rPr>
          <w:rStyle w:val="Refdenotaalpie"/>
          <w:rFonts w:ascii="Arial" w:hAnsi="Arial" w:cs="Arial"/>
          <w:sz w:val="16"/>
          <w:szCs w:val="16"/>
        </w:rPr>
        <w:footnoteRef/>
      </w:r>
      <w:r w:rsidRPr="00527077">
        <w:rPr>
          <w:rFonts w:ascii="Arial" w:hAnsi="Arial" w:cs="Arial"/>
          <w:sz w:val="16"/>
          <w:szCs w:val="16"/>
        </w:rPr>
        <w:t xml:space="preserve"> Organización Internacional del Trabajo (2003) </w:t>
      </w:r>
      <w:r w:rsidRPr="00527077">
        <w:rPr>
          <w:rFonts w:ascii="Arial" w:hAnsi="Arial" w:cs="Arial"/>
          <w:i/>
          <w:iCs/>
          <w:sz w:val="16"/>
          <w:szCs w:val="16"/>
        </w:rPr>
        <w:t>Hechos concretos sobre la seguridad socia</w:t>
      </w:r>
      <w:r w:rsidRPr="00527077">
        <w:rPr>
          <w:rFonts w:ascii="Arial" w:hAnsi="Arial" w:cs="Arial"/>
          <w:sz w:val="16"/>
          <w:szCs w:val="16"/>
        </w:rPr>
        <w:t>l: https://www.ilo.org/wcmsp5/groups/public/---dgreports/---dcomm/documents/publication/wcms_067592.pdf</w:t>
      </w:r>
    </w:p>
  </w:footnote>
  <w:footnote w:id="3">
    <w:p w14:paraId="21004011" w14:textId="77777777" w:rsidR="00C16CD9" w:rsidRPr="00527077" w:rsidRDefault="00C16CD9" w:rsidP="00C16CD9">
      <w:pPr>
        <w:pStyle w:val="Textonotapie"/>
        <w:rPr>
          <w:rFonts w:ascii="Arial" w:hAnsi="Arial" w:cs="Arial"/>
          <w:sz w:val="16"/>
          <w:szCs w:val="16"/>
        </w:rPr>
      </w:pPr>
      <w:r w:rsidRPr="00541CD0">
        <w:rPr>
          <w:rStyle w:val="Refdenotaalpie"/>
          <w:rFonts w:ascii="Arial" w:hAnsi="Arial" w:cs="Arial"/>
          <w:sz w:val="24"/>
          <w:szCs w:val="24"/>
        </w:rPr>
        <w:footnoteRef/>
      </w:r>
      <w:r w:rsidRPr="00541CD0">
        <w:rPr>
          <w:rFonts w:ascii="Arial" w:hAnsi="Arial" w:cs="Arial"/>
          <w:sz w:val="24"/>
          <w:szCs w:val="24"/>
        </w:rPr>
        <w:t xml:space="preserve"> </w:t>
      </w:r>
      <w:r w:rsidRPr="00527077">
        <w:rPr>
          <w:rFonts w:ascii="Arial" w:hAnsi="Arial" w:cs="Arial"/>
          <w:sz w:val="16"/>
          <w:szCs w:val="16"/>
        </w:rPr>
        <w:t xml:space="preserve">Comisión Nacional de los Derechos Humanos (2017.) </w:t>
      </w:r>
      <w:r w:rsidRPr="00527077">
        <w:rPr>
          <w:rFonts w:ascii="Arial" w:hAnsi="Arial" w:cs="Arial"/>
          <w:i/>
          <w:iCs/>
          <w:sz w:val="16"/>
          <w:szCs w:val="16"/>
        </w:rPr>
        <w:t>Derecho humano a la seguridad social</w:t>
      </w:r>
    </w:p>
  </w:footnote>
  <w:footnote w:id="4">
    <w:p w14:paraId="21A68E57"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Villareal &amp; Mancías (2020) </w:t>
      </w:r>
      <w:r w:rsidRPr="00527077">
        <w:rPr>
          <w:rFonts w:ascii="Arial" w:hAnsi="Arial" w:cs="Arial"/>
          <w:i/>
          <w:iCs/>
          <w:sz w:val="16"/>
          <w:szCs w:val="16"/>
        </w:rPr>
        <w:t>El sistema de pensiones en México</w:t>
      </w:r>
    </w:p>
  </w:footnote>
  <w:footnote w:id="5">
    <w:p w14:paraId="0DAF61FF" w14:textId="77777777" w:rsidR="00C16CD9" w:rsidRPr="00527077" w:rsidRDefault="00C16CD9" w:rsidP="00C16CD9">
      <w:pPr>
        <w:pStyle w:val="Textonotapie"/>
        <w:rPr>
          <w:sz w:val="12"/>
          <w:szCs w:val="12"/>
        </w:rPr>
      </w:pPr>
      <w:r w:rsidRPr="00527077">
        <w:rPr>
          <w:rStyle w:val="Refdenotaalpie"/>
          <w:rFonts w:ascii="Arial" w:hAnsi="Arial" w:cs="Arial"/>
          <w:sz w:val="16"/>
          <w:szCs w:val="16"/>
        </w:rPr>
        <w:footnoteRef/>
      </w:r>
      <w:r w:rsidRPr="00527077">
        <w:rPr>
          <w:rFonts w:ascii="Arial" w:hAnsi="Arial" w:cs="Arial"/>
          <w:sz w:val="16"/>
          <w:szCs w:val="16"/>
        </w:rPr>
        <w:t xml:space="preserve"> Villareal &amp; Mancías (2020) </w:t>
      </w:r>
      <w:r w:rsidRPr="00527077">
        <w:rPr>
          <w:rFonts w:ascii="Arial" w:hAnsi="Arial" w:cs="Arial"/>
          <w:i/>
          <w:iCs/>
          <w:sz w:val="16"/>
          <w:szCs w:val="16"/>
        </w:rPr>
        <w:t>El sistema de pensiones en México</w:t>
      </w:r>
    </w:p>
  </w:footnote>
  <w:footnote w:id="6">
    <w:p w14:paraId="1C4F2491"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Villareal &amp; Mancías (2020) </w:t>
      </w:r>
      <w:r w:rsidRPr="00527077">
        <w:rPr>
          <w:rFonts w:ascii="Arial" w:hAnsi="Arial" w:cs="Arial"/>
          <w:i/>
          <w:iCs/>
          <w:sz w:val="16"/>
          <w:szCs w:val="16"/>
        </w:rPr>
        <w:t>El sistema de pensiones en México</w:t>
      </w:r>
    </w:p>
  </w:footnote>
  <w:footnote w:id="7">
    <w:p w14:paraId="233A999B" w14:textId="77777777" w:rsidR="00C16CD9" w:rsidRPr="00527077" w:rsidRDefault="00C16CD9" w:rsidP="00C16CD9">
      <w:pPr>
        <w:pStyle w:val="Textonotapie"/>
        <w:rPr>
          <w:sz w:val="16"/>
          <w:szCs w:val="16"/>
        </w:rPr>
      </w:pPr>
      <w:r w:rsidRPr="00541CD0">
        <w:rPr>
          <w:rStyle w:val="Refdenotaalpie"/>
          <w:rFonts w:ascii="Arial" w:hAnsi="Arial" w:cs="Arial"/>
          <w:sz w:val="24"/>
          <w:szCs w:val="24"/>
        </w:rPr>
        <w:footnoteRef/>
      </w:r>
      <w:r w:rsidRPr="00541CD0">
        <w:rPr>
          <w:rFonts w:ascii="Arial" w:hAnsi="Arial" w:cs="Arial"/>
          <w:sz w:val="24"/>
          <w:szCs w:val="24"/>
        </w:rPr>
        <w:t xml:space="preserve"> </w:t>
      </w:r>
      <w:r w:rsidRPr="00527077">
        <w:rPr>
          <w:rFonts w:ascii="Arial" w:hAnsi="Arial" w:cs="Arial"/>
          <w:sz w:val="16"/>
          <w:szCs w:val="16"/>
        </w:rPr>
        <w:t>Villareal &amp; Mancías (2020) El sistema de pensiones en México</w:t>
      </w:r>
    </w:p>
  </w:footnote>
  <w:footnote w:id="8">
    <w:p w14:paraId="1A239B5D"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CONAPO (2020) </w:t>
      </w:r>
      <w:r w:rsidRPr="00527077">
        <w:rPr>
          <w:rFonts w:ascii="Arial" w:hAnsi="Arial" w:cs="Arial"/>
          <w:i/>
          <w:iCs/>
          <w:sz w:val="16"/>
          <w:szCs w:val="16"/>
        </w:rPr>
        <w:t>La situación demográfica de México:</w:t>
      </w:r>
      <w:r w:rsidRPr="00527077">
        <w:rPr>
          <w:rFonts w:ascii="Arial" w:hAnsi="Arial" w:cs="Arial"/>
          <w:sz w:val="16"/>
          <w:szCs w:val="16"/>
        </w:rPr>
        <w:t xml:space="preserve"> </w:t>
      </w:r>
      <w:r w:rsidRPr="00527077">
        <w:rPr>
          <w:rFonts w:ascii="Arial" w:hAnsi="Arial" w:cs="Arial"/>
          <w:i/>
          <w:iCs/>
          <w:sz w:val="16"/>
          <w:szCs w:val="16"/>
        </w:rPr>
        <w:t>https://www.gob.mx/cms/uploads/attachment/file/629813/LSDM__2020_ISNN_140421.pdf</w:t>
      </w:r>
    </w:p>
  </w:footnote>
  <w:footnote w:id="9">
    <w:p w14:paraId="630C0045"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CONAPO (2016) </w:t>
      </w:r>
      <w:r w:rsidRPr="00527077">
        <w:rPr>
          <w:rFonts w:ascii="Arial" w:hAnsi="Arial" w:cs="Arial"/>
          <w:i/>
          <w:iCs/>
          <w:sz w:val="16"/>
          <w:szCs w:val="16"/>
        </w:rPr>
        <w:t>Principales resultados de las Protecciones de la Población de México y de las Entidades Federativas. 2016-2050:</w:t>
      </w:r>
      <w:r w:rsidRPr="00527077">
        <w:rPr>
          <w:rFonts w:ascii="Arial" w:hAnsi="Arial" w:cs="Arial"/>
          <w:sz w:val="16"/>
          <w:szCs w:val="16"/>
        </w:rPr>
        <w:t xml:space="preserve"> https://www.gob.mx/cms/uploads/attachment/file/491891/p14-p35.pdf</w:t>
      </w:r>
    </w:p>
  </w:footnote>
  <w:footnote w:id="10">
    <w:p w14:paraId="5E734DD4"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OCDE (2021) </w:t>
      </w:r>
      <w:r w:rsidRPr="00527077">
        <w:rPr>
          <w:rFonts w:ascii="Arial" w:hAnsi="Arial" w:cs="Arial"/>
          <w:i/>
          <w:iCs/>
          <w:sz w:val="16"/>
          <w:szCs w:val="16"/>
        </w:rPr>
        <w:t>Indicadores clave de la OCDE</w:t>
      </w:r>
      <w:r w:rsidRPr="00527077">
        <w:rPr>
          <w:rFonts w:ascii="Arial" w:hAnsi="Arial" w:cs="Arial"/>
          <w:sz w:val="16"/>
          <w:szCs w:val="16"/>
        </w:rPr>
        <w:t>: https://www.oecd.org/centrodemexico/estadisticas/</w:t>
      </w:r>
    </w:p>
  </w:footnote>
  <w:footnote w:id="11">
    <w:p w14:paraId="087D9409" w14:textId="77777777" w:rsidR="00C16CD9" w:rsidRPr="00527077" w:rsidRDefault="00C16CD9" w:rsidP="00C16CD9">
      <w:pPr>
        <w:pStyle w:val="Textonotapie"/>
        <w:rPr>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El economista (2021) </w:t>
      </w:r>
      <w:r w:rsidRPr="00527077">
        <w:rPr>
          <w:rFonts w:ascii="Arial" w:hAnsi="Arial" w:cs="Arial"/>
          <w:i/>
          <w:iCs/>
          <w:sz w:val="16"/>
          <w:szCs w:val="16"/>
        </w:rPr>
        <w:t xml:space="preserve">En el 2024 gasto en pensiones será de 6.5% del PIB: CIEP: </w:t>
      </w:r>
      <w:r w:rsidRPr="00527077">
        <w:rPr>
          <w:rFonts w:ascii="Arial" w:hAnsi="Arial" w:cs="Arial"/>
          <w:sz w:val="16"/>
          <w:szCs w:val="16"/>
        </w:rPr>
        <w:t>https://www.eleconomista.com.mx/sectorfinanciero/En-el-2024-gasto-en-pensiones-sera-de-6.5-del-PIB-CIEP-20210323-0014.html</w:t>
      </w:r>
    </w:p>
  </w:footnote>
  <w:footnote w:id="12">
    <w:p w14:paraId="54A4E4D3"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Incluye el cónyuge, concubina o concubino del trabajador asegurado, pensionado o titular, así como sus ascendientes y descendientes y también a los beneficiarios del Seguro Popular. </w:t>
      </w:r>
    </w:p>
  </w:footnote>
  <w:footnote w:id="13">
    <w:p w14:paraId="54EB5E66" w14:textId="77777777" w:rsidR="00C16CD9" w:rsidRPr="00527077" w:rsidRDefault="00C16CD9" w:rsidP="00C16CD9">
      <w:pPr>
        <w:pStyle w:val="Textonotapie"/>
        <w:rPr>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Afiliados asegurados por cuenta propia.</w:t>
      </w:r>
    </w:p>
  </w:footnote>
  <w:footnote w:id="14">
    <w:p w14:paraId="64915089" w14:textId="77777777" w:rsidR="00C16CD9" w:rsidRPr="00314B57" w:rsidRDefault="00C16CD9" w:rsidP="00C16CD9">
      <w:pPr>
        <w:pStyle w:val="Textonotapie"/>
        <w:rPr>
          <w:rFonts w:ascii="Arial" w:hAnsi="Arial" w:cs="Arial"/>
          <w:sz w:val="16"/>
          <w:szCs w:val="16"/>
        </w:rPr>
      </w:pPr>
      <w:r w:rsidRPr="00314B57">
        <w:rPr>
          <w:rStyle w:val="Refdenotaalpie"/>
          <w:rFonts w:ascii="Arial" w:hAnsi="Arial" w:cs="Arial"/>
          <w:sz w:val="16"/>
          <w:szCs w:val="16"/>
        </w:rPr>
        <w:footnoteRef/>
      </w:r>
      <w:r w:rsidRPr="00314B57">
        <w:rPr>
          <w:rFonts w:ascii="Arial" w:hAnsi="Arial" w:cs="Arial"/>
          <w:sz w:val="16"/>
          <w:szCs w:val="16"/>
        </w:rPr>
        <w:t xml:space="preserve"> Crónica (2016) </w:t>
      </w:r>
      <w:r w:rsidRPr="00314B57">
        <w:rPr>
          <w:rFonts w:ascii="Arial" w:hAnsi="Arial" w:cs="Arial"/>
          <w:i/>
          <w:iCs/>
          <w:sz w:val="16"/>
          <w:szCs w:val="16"/>
        </w:rPr>
        <w:t>70 por ciento de jóvenes, sin acceso a seguridad social: diputados:</w:t>
      </w:r>
      <w:r w:rsidRPr="00314B57">
        <w:rPr>
          <w:rFonts w:ascii="Arial" w:hAnsi="Arial" w:cs="Arial"/>
          <w:sz w:val="16"/>
          <w:szCs w:val="16"/>
        </w:rPr>
        <w:t xml:space="preserve"> http://www.cronica.com.mx/notas/2016/968901.html</w:t>
      </w:r>
    </w:p>
  </w:footnote>
  <w:footnote w:id="15">
    <w:p w14:paraId="35CB7DAC" w14:textId="77777777" w:rsidR="00C16CD9" w:rsidRPr="00314B57" w:rsidRDefault="00C16CD9" w:rsidP="00C16CD9">
      <w:pPr>
        <w:pStyle w:val="Textonotapie"/>
        <w:rPr>
          <w:sz w:val="16"/>
          <w:szCs w:val="16"/>
        </w:rPr>
      </w:pPr>
      <w:r w:rsidRPr="00314B57">
        <w:rPr>
          <w:rStyle w:val="Refdenotaalpie"/>
          <w:rFonts w:ascii="Arial" w:hAnsi="Arial" w:cs="Arial"/>
          <w:sz w:val="16"/>
          <w:szCs w:val="16"/>
        </w:rPr>
        <w:footnoteRef/>
      </w:r>
      <w:r w:rsidRPr="00314B57">
        <w:rPr>
          <w:rFonts w:ascii="Arial" w:hAnsi="Arial" w:cs="Arial"/>
          <w:sz w:val="16"/>
          <w:szCs w:val="16"/>
        </w:rPr>
        <w:t xml:space="preserve"> Entrepreneur (2017) </w:t>
      </w:r>
      <w:r w:rsidRPr="00314B57">
        <w:rPr>
          <w:rFonts w:ascii="Arial" w:hAnsi="Arial" w:cs="Arial"/>
          <w:i/>
          <w:iCs/>
          <w:sz w:val="16"/>
          <w:szCs w:val="16"/>
        </w:rPr>
        <w:t>El enemigo silencioso que amenaza a los millennials</w:t>
      </w:r>
      <w:r w:rsidRPr="00314B57">
        <w:rPr>
          <w:rFonts w:ascii="Arial" w:hAnsi="Arial" w:cs="Arial"/>
          <w:sz w:val="16"/>
          <w:szCs w:val="16"/>
        </w:rPr>
        <w:t>:  https://www.entrepreneur.com/article/296348</w:t>
      </w:r>
      <w:r w:rsidRPr="00314B57">
        <w:rPr>
          <w:sz w:val="16"/>
          <w:szCs w:val="16"/>
        </w:rPr>
        <w:t xml:space="preserve"> </w:t>
      </w:r>
    </w:p>
  </w:footnote>
  <w:footnote w:id="16">
    <w:p w14:paraId="5AA10A85"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INEGI (2020) </w:t>
      </w:r>
      <w:r w:rsidRPr="00527077">
        <w:rPr>
          <w:rFonts w:ascii="Arial" w:hAnsi="Arial" w:cs="Arial"/>
          <w:i/>
          <w:iCs/>
          <w:sz w:val="16"/>
          <w:szCs w:val="16"/>
        </w:rPr>
        <w:t>Presentación de resultados del Censo de Población y Vivienda 2020</w:t>
      </w:r>
      <w:r w:rsidRPr="00527077">
        <w:rPr>
          <w:rFonts w:ascii="Arial" w:hAnsi="Arial" w:cs="Arial"/>
          <w:sz w:val="16"/>
          <w:szCs w:val="16"/>
        </w:rPr>
        <w:t>: https://www.inegi.org.mx/contenidos/programas/ccpv/2020/doc/cpv2020_pres_res_mex.pdf</w:t>
      </w:r>
    </w:p>
  </w:footnote>
  <w:footnote w:id="17">
    <w:p w14:paraId="6F1D84C1"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CONAPO (2016) Proyecciones de la población de México y de las entidades federativas 2016-2050: https://www.gob.mx/cms/uploads/attachment/file/487388/15_MEX.pdf</w:t>
      </w:r>
    </w:p>
  </w:footnote>
  <w:footnote w:id="18">
    <w:p w14:paraId="5A7AC44B"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El sol de Toluca (2020) Vaticina ISSEMyM un crecimiento en pensiones del 13.48 por ciento: https://www.elsoldetoluca.com.mx/local/vaticina-issemym-un-crecimient-en-pensiones-del-13.48-por-ciento-6071342.html</w:t>
      </w:r>
    </w:p>
  </w:footnote>
  <w:footnote w:id="19">
    <w:p w14:paraId="32C9458B" w14:textId="77777777" w:rsidR="00C16CD9" w:rsidRPr="00527077" w:rsidRDefault="00C16CD9" w:rsidP="00C16CD9">
      <w:pPr>
        <w:pStyle w:val="Textonotapie"/>
        <w:rPr>
          <w:rFonts w:ascii="Arial" w:hAnsi="Arial" w:cs="Arial"/>
          <w:sz w:val="16"/>
          <w:szCs w:val="16"/>
        </w:rPr>
      </w:pPr>
      <w:r w:rsidRPr="00527077">
        <w:rPr>
          <w:rStyle w:val="Refdenotaalpie"/>
          <w:rFonts w:ascii="Arial" w:hAnsi="Arial" w:cs="Arial"/>
          <w:sz w:val="16"/>
          <w:szCs w:val="16"/>
        </w:rPr>
        <w:footnoteRef/>
      </w:r>
      <w:r w:rsidRPr="00527077">
        <w:rPr>
          <w:rFonts w:ascii="Arial" w:hAnsi="Arial" w:cs="Arial"/>
          <w:sz w:val="16"/>
          <w:szCs w:val="16"/>
        </w:rPr>
        <w:t xml:space="preserve"> (2020</w:t>
      </w:r>
      <w:r w:rsidRPr="00527077">
        <w:rPr>
          <w:rFonts w:ascii="Arial" w:hAnsi="Arial" w:cs="Arial"/>
          <w:i/>
          <w:iCs/>
          <w:sz w:val="16"/>
          <w:szCs w:val="16"/>
        </w:rPr>
        <w:t>) Ley del adulto mayor del Estado de México:</w:t>
      </w:r>
      <w:r w:rsidRPr="00527077">
        <w:rPr>
          <w:rFonts w:ascii="Arial" w:hAnsi="Arial" w:cs="Arial"/>
          <w:sz w:val="16"/>
          <w:szCs w:val="16"/>
        </w:rPr>
        <w:t xml:space="preserve"> </w:t>
      </w:r>
      <w:r w:rsidRPr="00527077">
        <w:rPr>
          <w:rFonts w:ascii="Arial" w:hAnsi="Arial" w:cs="Arial"/>
          <w:i/>
          <w:iCs/>
          <w:sz w:val="16"/>
          <w:szCs w:val="16"/>
        </w:rPr>
        <w:t>https://normas.cndh.org.mx/Documentos/Estado%20de%20M%C3%A9xico/Ley_AMay_EdoMex.pdf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299E" w14:textId="2DA31839" w:rsidR="003614C2" w:rsidRDefault="003614C2">
    <w:pPr>
      <w:pStyle w:val="Encabezado"/>
    </w:pPr>
    <w:r>
      <w:rPr>
        <w:noProof/>
      </w:rPr>
      <w:drawing>
        <wp:anchor distT="0" distB="0" distL="114300" distR="114300" simplePos="0" relativeHeight="251658240" behindDoc="1" locked="0" layoutInCell="1" allowOverlap="1" wp14:anchorId="722C28DE" wp14:editId="64E5064A">
          <wp:simplePos x="0" y="0"/>
          <wp:positionH relativeFrom="column">
            <wp:posOffset>-1080446</wp:posOffset>
          </wp:positionH>
          <wp:positionV relativeFrom="paragraph">
            <wp:posOffset>-441649</wp:posOffset>
          </wp:positionV>
          <wp:extent cx="7772400" cy="10058038"/>
          <wp:effectExtent l="0" t="0" r="0" b="63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03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98FF4" w14:textId="19309587" w:rsidR="00C16CD9" w:rsidRDefault="00C16CD9">
    <w:pPr>
      <w:pStyle w:val="Encabezado"/>
    </w:pPr>
    <w:r>
      <w:rPr>
        <w:noProof/>
      </w:rPr>
      <w:drawing>
        <wp:anchor distT="0" distB="0" distL="114300" distR="114300" simplePos="0" relativeHeight="251659264" behindDoc="1" locked="0" layoutInCell="1" allowOverlap="1" wp14:anchorId="77E52C37" wp14:editId="2AD2D6BD">
          <wp:simplePos x="0" y="0"/>
          <wp:positionH relativeFrom="column">
            <wp:posOffset>-1083143</wp:posOffset>
          </wp:positionH>
          <wp:positionV relativeFrom="paragraph">
            <wp:posOffset>-447786</wp:posOffset>
          </wp:positionV>
          <wp:extent cx="7776000" cy="1006269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
                    <a:extLst>
                      <a:ext uri="{28A0092B-C50C-407E-A947-70E740481C1C}">
                        <a14:useLocalDpi xmlns:a14="http://schemas.microsoft.com/office/drawing/2010/main" val="0"/>
                      </a:ext>
                    </a:extLst>
                  </a:blip>
                  <a:stretch>
                    <a:fillRect/>
                  </a:stretch>
                </pic:blipFill>
                <pic:spPr>
                  <a:xfrm>
                    <a:off x="0" y="0"/>
                    <a:ext cx="7776000" cy="10062697"/>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A63B" w14:textId="0F9AEBDE" w:rsidR="00C16CD9" w:rsidRDefault="00C16CD9">
    <w:pPr>
      <w:pStyle w:val="Encabezado"/>
      <w:jc w:val="right"/>
    </w:pPr>
    <w:r>
      <w:rPr>
        <w:noProof/>
      </w:rPr>
      <w:drawing>
        <wp:anchor distT="0" distB="0" distL="114300" distR="114300" simplePos="0" relativeHeight="251660288" behindDoc="1" locked="0" layoutInCell="1" allowOverlap="1" wp14:anchorId="45576DE7" wp14:editId="5F3493E6">
          <wp:simplePos x="0" y="0"/>
          <wp:positionH relativeFrom="column">
            <wp:posOffset>-1080354</wp:posOffset>
          </wp:positionH>
          <wp:positionV relativeFrom="paragraph">
            <wp:posOffset>-434757</wp:posOffset>
          </wp:positionV>
          <wp:extent cx="7776000" cy="10062884"/>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extLst>
                      <a:ext uri="{28A0092B-C50C-407E-A947-70E740481C1C}">
                        <a14:useLocalDpi xmlns:a14="http://schemas.microsoft.com/office/drawing/2010/main" val="0"/>
                      </a:ext>
                    </a:extLst>
                  </a:blip>
                  <a:stretch>
                    <a:fillRect/>
                  </a:stretch>
                </pic:blipFill>
                <pic:spPr>
                  <a:xfrm>
                    <a:off x="0" y="0"/>
                    <a:ext cx="7776000" cy="10062884"/>
                  </a:xfrm>
                  <a:prstGeom prst="rect">
                    <a:avLst/>
                  </a:prstGeom>
                </pic:spPr>
              </pic:pic>
            </a:graphicData>
          </a:graphic>
          <wp14:sizeRelH relativeFrom="page">
            <wp14:pctWidth>0</wp14:pctWidth>
          </wp14:sizeRelH>
          <wp14:sizeRelV relativeFrom="page">
            <wp14:pctHeight>0</wp14:pctHeight>
          </wp14:sizeRelV>
        </wp:anchor>
      </w:drawing>
    </w:r>
  </w:p>
  <w:p w14:paraId="655F233C" w14:textId="77777777" w:rsidR="00C16CD9" w:rsidRDefault="00C16CD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E0F6F146"/>
    <w:lvl w:ilvl="0">
      <w:start w:val="1"/>
      <w:numFmt w:val="decimal"/>
      <w:pStyle w:val="Listaconnmeros2"/>
      <w:lvlText w:val="%1."/>
      <w:lvlJc w:val="left"/>
      <w:pPr>
        <w:tabs>
          <w:tab w:val="num" w:pos="643"/>
        </w:tabs>
        <w:ind w:left="643" w:hanging="360"/>
      </w:pPr>
    </w:lvl>
  </w:abstractNum>
  <w:abstractNum w:abstractNumId="1" w15:restartNumberingAfterBreak="0">
    <w:nsid w:val="46805C74"/>
    <w:multiLevelType w:val="hybridMultilevel"/>
    <w:tmpl w:val="35B83192"/>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C243834"/>
    <w:multiLevelType w:val="hybridMultilevel"/>
    <w:tmpl w:val="311C5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602056B"/>
    <w:multiLevelType w:val="hybridMultilevel"/>
    <w:tmpl w:val="4E801B14"/>
    <w:lvl w:ilvl="0" w:tplc="281E51F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C2"/>
    <w:rsid w:val="00017A3D"/>
    <w:rsid w:val="000E2A41"/>
    <w:rsid w:val="000F6FBD"/>
    <w:rsid w:val="001D6A5E"/>
    <w:rsid w:val="00222130"/>
    <w:rsid w:val="00274A1D"/>
    <w:rsid w:val="002D2331"/>
    <w:rsid w:val="003614C2"/>
    <w:rsid w:val="003873B3"/>
    <w:rsid w:val="003D327F"/>
    <w:rsid w:val="00426378"/>
    <w:rsid w:val="00581AF3"/>
    <w:rsid w:val="005A7A9C"/>
    <w:rsid w:val="005E3488"/>
    <w:rsid w:val="006746B5"/>
    <w:rsid w:val="007E2213"/>
    <w:rsid w:val="007E5D10"/>
    <w:rsid w:val="008A0D09"/>
    <w:rsid w:val="00A65478"/>
    <w:rsid w:val="00AC2568"/>
    <w:rsid w:val="00AC5E3E"/>
    <w:rsid w:val="00AD1AE5"/>
    <w:rsid w:val="00B74332"/>
    <w:rsid w:val="00C16CD9"/>
    <w:rsid w:val="00CB78E2"/>
    <w:rsid w:val="00CF335B"/>
    <w:rsid w:val="00D37AE9"/>
    <w:rsid w:val="00EE67CD"/>
    <w:rsid w:val="00F860E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7802A"/>
  <w15:chartTrackingRefBased/>
  <w15:docId w15:val="{FFEBB035-1F56-B14C-880D-D00918A4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6CD9"/>
    <w:pPr>
      <w:spacing w:before="240" w:after="240"/>
      <w:jc w:val="both"/>
    </w:pPr>
    <w:rPr>
      <w:rFonts w:ascii="Helvetica Neue" w:hAnsi="Helvetica Neue" w:cs="Times New Roman"/>
      <w:sz w:val="22"/>
      <w:lang w:eastAsia="es-ES_tradnl"/>
    </w:rPr>
  </w:style>
  <w:style w:type="paragraph" w:styleId="Ttulo1">
    <w:name w:val="heading 1"/>
    <w:basedOn w:val="Normal"/>
    <w:next w:val="Normal"/>
    <w:link w:val="Ttulo1Car"/>
    <w:autoRedefine/>
    <w:uiPriority w:val="9"/>
    <w:qFormat/>
    <w:rsid w:val="00C16CD9"/>
    <w:pPr>
      <w:keepNext/>
      <w:keepLines/>
      <w:jc w:val="left"/>
      <w:outlineLvl w:val="0"/>
    </w:pPr>
    <w:rPr>
      <w:rFonts w:ascii="HELVETICA NEUE CONDENSED" w:eastAsiaTheme="majorEastAsia" w:hAnsi="HELVETICA NEUE CONDENSED" w:cstheme="majorBidi"/>
      <w:b/>
      <w:color w:val="00285F"/>
      <w:sz w:val="32"/>
      <w:szCs w:val="32"/>
    </w:rPr>
  </w:style>
  <w:style w:type="paragraph" w:styleId="Ttulo2">
    <w:name w:val="heading 2"/>
    <w:basedOn w:val="Normal"/>
    <w:next w:val="Normal"/>
    <w:link w:val="Ttulo2Car"/>
    <w:uiPriority w:val="9"/>
    <w:semiHidden/>
    <w:unhideWhenUsed/>
    <w:qFormat/>
    <w:rsid w:val="000F6FBD"/>
    <w:pPr>
      <w:keepNext/>
      <w:keepLines/>
      <w:spacing w:before="40"/>
      <w:outlineLvl w:val="1"/>
    </w:pPr>
    <w:rPr>
      <w:rFonts w:ascii="HELVETICA NEUE CONDENSED" w:eastAsiaTheme="majorEastAsia" w:hAnsi="HELVETICA NEUE CONDENSED" w:cstheme="majorBidi"/>
      <w:b/>
      <w:color w:val="2F5496" w:themeColor="accent1" w:themeShade="BF"/>
      <w:sz w:val="26"/>
      <w:szCs w:val="26"/>
    </w:rPr>
  </w:style>
  <w:style w:type="paragraph" w:styleId="Ttulo3">
    <w:name w:val="heading 3"/>
    <w:basedOn w:val="Normal"/>
    <w:next w:val="Normal"/>
    <w:link w:val="Ttulo3Car"/>
    <w:uiPriority w:val="9"/>
    <w:unhideWhenUsed/>
    <w:qFormat/>
    <w:rsid w:val="000F6FBD"/>
    <w:pPr>
      <w:keepNext/>
      <w:keepLines/>
      <w:spacing w:before="40"/>
      <w:outlineLvl w:val="2"/>
    </w:pPr>
    <w:rPr>
      <w:rFonts w:eastAsiaTheme="majorEastAsia" w:cstheme="majorBidi"/>
      <w:color w:val="1F3763" w:themeColor="accent1" w:themeShade="7F"/>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Listaconnmeros2">
    <w:name w:val="List Number 2"/>
    <w:basedOn w:val="Normal"/>
    <w:autoRedefine/>
    <w:qFormat/>
    <w:rsid w:val="003D327F"/>
    <w:pPr>
      <w:numPr>
        <w:numId w:val="5"/>
      </w:numPr>
      <w:contextualSpacing/>
    </w:pPr>
    <w:rPr>
      <w:color w:val="5A5A5A"/>
    </w:rPr>
  </w:style>
  <w:style w:type="paragraph" w:styleId="Subttulo">
    <w:name w:val="Subtitle"/>
    <w:basedOn w:val="Normal"/>
    <w:next w:val="Normal"/>
    <w:link w:val="SubttuloCar"/>
    <w:autoRedefine/>
    <w:uiPriority w:val="11"/>
    <w:qFormat/>
    <w:rsid w:val="000F6FBD"/>
    <w:pPr>
      <w:numPr>
        <w:ilvl w:val="1"/>
      </w:numPr>
      <w:spacing w:after="160"/>
    </w:pPr>
    <w:rPr>
      <w:rFonts w:ascii="HELVETICA NEUE CONDENSED" w:eastAsiaTheme="minorEastAsia" w:hAnsi="HELVETICA NEUE CONDENSED"/>
      <w:b/>
      <w:color w:val="4472C4" w:themeColor="accent1"/>
      <w:spacing w:val="10"/>
      <w:sz w:val="26"/>
    </w:rPr>
  </w:style>
  <w:style w:type="character" w:customStyle="1" w:styleId="SubttuloCar">
    <w:name w:val="Subtítulo Car"/>
    <w:basedOn w:val="Fuentedeprrafopredeter"/>
    <w:link w:val="Subttulo"/>
    <w:uiPriority w:val="11"/>
    <w:rsid w:val="000F6FBD"/>
    <w:rPr>
      <w:rFonts w:ascii="HELVETICA NEUE CONDENSED" w:eastAsiaTheme="minorEastAsia" w:hAnsi="HELVETICA NEUE CONDENSED" w:cs="Times New Roman"/>
      <w:b/>
      <w:color w:val="4472C4" w:themeColor="accent1"/>
      <w:spacing w:val="10"/>
      <w:sz w:val="26"/>
      <w:lang w:eastAsia="es-ES_tradnl"/>
    </w:rPr>
  </w:style>
  <w:style w:type="paragraph" w:styleId="Ttulo">
    <w:name w:val="Title"/>
    <w:basedOn w:val="Normal"/>
    <w:next w:val="Normal"/>
    <w:link w:val="TtuloCar"/>
    <w:autoRedefine/>
    <w:uiPriority w:val="10"/>
    <w:qFormat/>
    <w:rsid w:val="000F6FBD"/>
    <w:pPr>
      <w:contextualSpacing/>
    </w:pPr>
    <w:rPr>
      <w:rFonts w:ascii="HELVETICA NEUE CONDENSED" w:eastAsiaTheme="majorEastAsia" w:hAnsi="HELVETICA NEUE CONDENSED" w:cstheme="majorBidi"/>
      <w:color w:val="00285F"/>
      <w:spacing w:val="-10"/>
      <w:kern w:val="28"/>
      <w:sz w:val="56"/>
      <w:szCs w:val="56"/>
    </w:rPr>
  </w:style>
  <w:style w:type="character" w:customStyle="1" w:styleId="TtuloCar">
    <w:name w:val="Título Car"/>
    <w:basedOn w:val="Fuentedeprrafopredeter"/>
    <w:link w:val="Ttulo"/>
    <w:uiPriority w:val="10"/>
    <w:rsid w:val="000F6FBD"/>
    <w:rPr>
      <w:rFonts w:ascii="HELVETICA NEUE CONDENSED" w:eastAsiaTheme="majorEastAsia" w:hAnsi="HELVETICA NEUE CONDENSED" w:cstheme="majorBidi"/>
      <w:color w:val="00285F"/>
      <w:spacing w:val="-10"/>
      <w:kern w:val="28"/>
      <w:sz w:val="56"/>
      <w:szCs w:val="56"/>
      <w:lang w:eastAsia="es-ES_tradnl"/>
    </w:rPr>
  </w:style>
  <w:style w:type="paragraph" w:customStyle="1" w:styleId="Estilo1">
    <w:name w:val="Estilo1"/>
    <w:basedOn w:val="Ttulo3"/>
    <w:qFormat/>
    <w:rsid w:val="00AC2568"/>
    <w:rPr>
      <w:b/>
      <w:color w:val="2F5496" w:themeColor="accent1" w:themeShade="BF"/>
      <w:lang w:val="es-ES"/>
    </w:rPr>
  </w:style>
  <w:style w:type="character" w:customStyle="1" w:styleId="Ttulo3Car">
    <w:name w:val="Título 3 Car"/>
    <w:basedOn w:val="Fuentedeprrafopredeter"/>
    <w:link w:val="Ttulo3"/>
    <w:uiPriority w:val="9"/>
    <w:rsid w:val="000F6FBD"/>
    <w:rPr>
      <w:rFonts w:ascii="Helvetica Neue" w:eastAsiaTheme="majorEastAsia" w:hAnsi="Helvetica Neue" w:cstheme="majorBidi"/>
      <w:color w:val="1F3763" w:themeColor="accent1" w:themeShade="7F"/>
      <w:lang w:eastAsia="es-ES_tradnl"/>
    </w:rPr>
  </w:style>
  <w:style w:type="paragraph" w:styleId="Prrafodelista">
    <w:name w:val="List Paragraph"/>
    <w:basedOn w:val="Normal"/>
    <w:autoRedefine/>
    <w:uiPriority w:val="34"/>
    <w:qFormat/>
    <w:rsid w:val="00AD1AE5"/>
    <w:pPr>
      <w:spacing w:before="120" w:after="120"/>
      <w:ind w:left="720"/>
      <w:contextualSpacing/>
    </w:pPr>
  </w:style>
  <w:style w:type="paragraph" w:styleId="Encabezado">
    <w:name w:val="header"/>
    <w:basedOn w:val="Normal"/>
    <w:link w:val="EncabezadoCar"/>
    <w:uiPriority w:val="99"/>
    <w:unhideWhenUsed/>
    <w:rsid w:val="003614C2"/>
    <w:pPr>
      <w:tabs>
        <w:tab w:val="center" w:pos="4419"/>
        <w:tab w:val="right" w:pos="8838"/>
      </w:tabs>
    </w:pPr>
  </w:style>
  <w:style w:type="character" w:customStyle="1" w:styleId="EncabezadoCar">
    <w:name w:val="Encabezado Car"/>
    <w:basedOn w:val="Fuentedeprrafopredeter"/>
    <w:link w:val="Encabezado"/>
    <w:uiPriority w:val="99"/>
    <w:rsid w:val="003614C2"/>
    <w:rPr>
      <w:rFonts w:ascii="Gotham Light" w:hAnsi="Gotham Light" w:cs="Times New Roman"/>
      <w:sz w:val="22"/>
      <w:lang w:eastAsia="es-ES_tradnl"/>
    </w:rPr>
  </w:style>
  <w:style w:type="paragraph" w:styleId="Piedepgina">
    <w:name w:val="footer"/>
    <w:basedOn w:val="Normal"/>
    <w:link w:val="PiedepginaCar"/>
    <w:uiPriority w:val="99"/>
    <w:unhideWhenUsed/>
    <w:rsid w:val="003614C2"/>
    <w:pPr>
      <w:tabs>
        <w:tab w:val="center" w:pos="4419"/>
        <w:tab w:val="right" w:pos="8838"/>
      </w:tabs>
    </w:pPr>
  </w:style>
  <w:style w:type="character" w:customStyle="1" w:styleId="PiedepginaCar">
    <w:name w:val="Pie de página Car"/>
    <w:basedOn w:val="Fuentedeprrafopredeter"/>
    <w:link w:val="Piedepgina"/>
    <w:uiPriority w:val="99"/>
    <w:rsid w:val="003614C2"/>
    <w:rPr>
      <w:rFonts w:ascii="Gotham Light" w:hAnsi="Gotham Light" w:cs="Times New Roman"/>
      <w:sz w:val="22"/>
      <w:lang w:eastAsia="es-ES_tradnl"/>
    </w:rPr>
  </w:style>
  <w:style w:type="character" w:customStyle="1" w:styleId="Ttulo1Car">
    <w:name w:val="Título 1 Car"/>
    <w:basedOn w:val="Fuentedeprrafopredeter"/>
    <w:link w:val="Ttulo1"/>
    <w:uiPriority w:val="9"/>
    <w:rsid w:val="00C16CD9"/>
    <w:rPr>
      <w:rFonts w:ascii="HELVETICA NEUE CONDENSED" w:eastAsiaTheme="majorEastAsia" w:hAnsi="HELVETICA NEUE CONDENSED" w:cstheme="majorBidi"/>
      <w:b/>
      <w:color w:val="00285F"/>
      <w:sz w:val="32"/>
      <w:szCs w:val="32"/>
      <w:lang w:eastAsia="es-ES_tradnl"/>
    </w:rPr>
  </w:style>
  <w:style w:type="character" w:customStyle="1" w:styleId="Ttulo2Car">
    <w:name w:val="Título 2 Car"/>
    <w:basedOn w:val="Fuentedeprrafopredeter"/>
    <w:link w:val="Ttulo2"/>
    <w:uiPriority w:val="9"/>
    <w:semiHidden/>
    <w:rsid w:val="000F6FBD"/>
    <w:rPr>
      <w:rFonts w:ascii="HELVETICA NEUE CONDENSED" w:eastAsiaTheme="majorEastAsia" w:hAnsi="HELVETICA NEUE CONDENSED" w:cstheme="majorBidi"/>
      <w:b/>
      <w:color w:val="2F5496" w:themeColor="accent1" w:themeShade="BF"/>
      <w:sz w:val="26"/>
      <w:szCs w:val="26"/>
      <w:lang w:eastAsia="es-ES_tradnl"/>
    </w:rPr>
  </w:style>
  <w:style w:type="paragraph" w:styleId="Bibliografa">
    <w:name w:val="Bibliography"/>
    <w:basedOn w:val="Normal"/>
    <w:next w:val="Normal"/>
    <w:uiPriority w:val="37"/>
    <w:unhideWhenUsed/>
    <w:rsid w:val="00C16CD9"/>
    <w:pPr>
      <w:spacing w:after="160" w:line="259" w:lineRule="auto"/>
      <w:jc w:val="left"/>
    </w:pPr>
    <w:rPr>
      <w:rFonts w:asciiTheme="minorHAnsi" w:eastAsiaTheme="minorHAnsi" w:hAnsiTheme="minorHAnsi" w:cstheme="minorBidi"/>
      <w:szCs w:val="22"/>
      <w:lang w:eastAsia="en-US"/>
    </w:rPr>
  </w:style>
  <w:style w:type="paragraph" w:styleId="Textonotapie">
    <w:name w:val="footnote text"/>
    <w:basedOn w:val="Normal"/>
    <w:link w:val="TextonotapieCar"/>
    <w:uiPriority w:val="99"/>
    <w:semiHidden/>
    <w:unhideWhenUsed/>
    <w:rsid w:val="00C16CD9"/>
    <w:pPr>
      <w:jc w:val="left"/>
    </w:pPr>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uiPriority w:val="99"/>
    <w:semiHidden/>
    <w:rsid w:val="00C16CD9"/>
    <w:rPr>
      <w:rFonts w:eastAsiaTheme="minorHAnsi"/>
      <w:sz w:val="20"/>
      <w:szCs w:val="20"/>
    </w:rPr>
  </w:style>
  <w:style w:type="character" w:styleId="Refdenotaalpie">
    <w:name w:val="footnote reference"/>
    <w:basedOn w:val="Fuentedeprrafopredeter"/>
    <w:uiPriority w:val="99"/>
    <w:semiHidden/>
    <w:unhideWhenUsed/>
    <w:rsid w:val="00C16CD9"/>
    <w:rPr>
      <w:vertAlign w:val="superscript"/>
    </w:rPr>
  </w:style>
  <w:style w:type="paragraph" w:styleId="Sinespaciado">
    <w:name w:val="No Spacing"/>
    <w:link w:val="SinespaciadoCar"/>
    <w:uiPriority w:val="1"/>
    <w:qFormat/>
    <w:rsid w:val="00C16CD9"/>
    <w:rPr>
      <w:rFonts w:eastAsiaTheme="minorEastAsia"/>
      <w:sz w:val="22"/>
      <w:szCs w:val="22"/>
      <w:lang w:eastAsia="es-MX"/>
    </w:rPr>
  </w:style>
  <w:style w:type="character" w:customStyle="1" w:styleId="SinespaciadoCar">
    <w:name w:val="Sin espaciado Car"/>
    <w:basedOn w:val="Fuentedeprrafopredeter"/>
    <w:link w:val="Sinespaciado"/>
    <w:uiPriority w:val="1"/>
    <w:rsid w:val="00C16CD9"/>
    <w:rPr>
      <w:rFonts w:eastAsiaTheme="minorEastAsia"/>
      <w:sz w:val="22"/>
      <w:szCs w:val="22"/>
      <w:lang w:eastAsia="es-MX"/>
    </w:rPr>
  </w:style>
  <w:style w:type="character" w:styleId="Hipervnculo">
    <w:name w:val="Hyperlink"/>
    <w:basedOn w:val="Fuentedeprrafopredeter"/>
    <w:uiPriority w:val="99"/>
    <w:unhideWhenUsed/>
    <w:rsid w:val="00C16CD9"/>
    <w:rPr>
      <w:color w:val="0563C1" w:themeColor="hyperlink"/>
      <w:u w:val="single"/>
    </w:rPr>
  </w:style>
  <w:style w:type="paragraph" w:styleId="TtuloTDC">
    <w:name w:val="TOC Heading"/>
    <w:basedOn w:val="Ttulo1"/>
    <w:next w:val="Normal"/>
    <w:uiPriority w:val="39"/>
    <w:unhideWhenUsed/>
    <w:qFormat/>
    <w:rsid w:val="00C16CD9"/>
    <w:pPr>
      <w:spacing w:line="259" w:lineRule="auto"/>
      <w:outlineLvl w:val="9"/>
    </w:pPr>
    <w:rPr>
      <w:rFonts w:asciiTheme="majorHAnsi" w:hAnsiTheme="majorHAnsi"/>
      <w:b w:val="0"/>
      <w:color w:val="2F5496" w:themeColor="accent1" w:themeShade="BF"/>
      <w:lang w:eastAsia="es-MX"/>
    </w:rPr>
  </w:style>
  <w:style w:type="paragraph" w:styleId="TDC1">
    <w:name w:val="toc 1"/>
    <w:basedOn w:val="Normal"/>
    <w:next w:val="Normal"/>
    <w:autoRedefine/>
    <w:uiPriority w:val="39"/>
    <w:unhideWhenUsed/>
    <w:rsid w:val="00C16CD9"/>
    <w:pPr>
      <w:spacing w:after="100" w:line="259" w:lineRule="auto"/>
      <w:jc w:val="left"/>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Pér12</b:Tag>
    <b:SourceType>JournalArticle</b:SourceType>
    <b:Guid>{838417BE-D34C-4D9D-A763-385E0FC9C12B}</b:Guid>
    <b:Title>El concepto de seguridad social: Una aproximación a sus alcances y lÍmites</b:Title>
    <b:Year>2012</b:Year>
    <b:JournalName>IUSTITIA</b:JournalName>
    <b:Pages>75-100</b:Pages>
    <b:Author>
      <b:Author>
        <b:NameList>
          <b:Person>
            <b:Last>Soto</b:Last>
            <b:First>Pérez</b:First>
            <b:Middle>y</b:Middle>
          </b:Person>
          <b:Person>
            <b:Last>Calderón</b:Last>
          </b:Person>
        </b:NameList>
      </b:Author>
    </b:Author>
    <b:RefOrder>1</b:RefOrder>
  </b:Source>
  <b:Source>
    <b:Tag>Ruí15</b:Tag>
    <b:SourceType>Book</b:SourceType>
    <b:Guid>{E72682EC-876A-47AA-AB1E-B21F74DDD641}</b:Guid>
    <b:Author>
      <b:Author>
        <b:NameList>
          <b:Person>
            <b:Last>Ruíz</b:Last>
            <b:First>Ángel</b:First>
          </b:Person>
        </b:NameList>
      </b:Author>
    </b:Author>
    <b:Title>Nuevo derecho de la seguridad social </b:Title>
    <b:Year>2015</b:Year>
    <b:City>México</b:City>
    <b:Publisher>2015</b:Publisher>
    <b:RefOrder>2</b:RefOrder>
  </b:Source>
  <b:Source>
    <b:Tag>Org13</b:Tag>
    <b:SourceType>DocumentFromInternetSite</b:SourceType>
    <b:Guid>{31BB3C79-3DAA-42A3-B840-A098E758C952}</b:Guid>
    <b:Title>Hechos concreto sobre la seguridad social </b:Title>
    <b:Year>2013</b:Year>
    <b:Author>
      <b:Author>
        <b:Corporate>Organización Internacional del Trabajo </b:Corporate>
      </b:Author>
    </b:Author>
    <b:URL>https://www.ilo.org/wcmsp5/groups/public/---dgreports/---dcomm/documents/publication/wcms_067592.pdf</b:URL>
    <b:RefOrder>3</b:RefOrder>
  </b:Source>
  <b:Source>
    <b:Tag>Pro21</b:Tag>
    <b:SourceType>DocumentFromInternetSite</b:SourceType>
    <b:Guid>{DA9D73FF-6C18-4B01-B249-62E81285F48C}</b:Guid>
    <b:Author>
      <b:Author>
        <b:Corporate>Procuraduría Federal de la Defensa del Trabajo  </b:Corporate>
      </b:Author>
    </b:Author>
    <b:Title>La seguridad social y sus beneficios</b:Title>
    <b:Year>2021</b:Year>
    <b:URL>https://www.gob.mx/profedet/es/articulos/seguridad-social?idiom=es</b:URL>
    <b:RefOrder>4</b:RefOrder>
  </b:Source>
  <b:Source>
    <b:Tag>Com17</b:Tag>
    <b:SourceType>Report</b:SourceType>
    <b:Guid>{DEEC6D21-6A27-49A1-BEBE-5CC62371A601}</b:Guid>
    <b:Title>Derecho humano a la seguridad social</b:Title>
    <b:Year>2017</b:Year>
    <b:Author>
      <b:Author>
        <b:Corporate>Comisión Nacional de los Derechos Humanos</b:Corporate>
      </b:Author>
    </b:Author>
    <b:RefOrder>5</b:RefOrder>
  </b:Source>
  <b:Source>
    <b:Tag>Vil20</b:Tag>
    <b:SourceType>Report</b:SourceType>
    <b:Guid>{62EF5D6D-AE55-4A10-BA23-5B0180CFC0BD}</b:Guid>
    <b:Author>
      <b:Author>
        <b:NameList>
          <b:Person>
            <b:Last>Villareal</b:Last>
          </b:Person>
          <b:Person>
            <b:Last>Macías</b:Last>
          </b:Person>
        </b:NameList>
      </b:Author>
    </b:Author>
    <b:Title>El sistema de pensiones en México </b:Title>
    <b:Year>2020</b:Year>
    <b:Publisher>CEPAL</b:Publisher>
    <b:RefOrder>6</b:RefOrder>
  </b:Source>
  <b:Source>
    <b:Tag>CON</b:Tag>
    <b:SourceType>DocumentFromInternetSite</b:SourceType>
    <b:Guid>{E604568F-FC5E-4620-BF4B-DC0A7A2AC1E4}</b:Guid>
    <b:Title>La situación demográfica de México</b:Title>
    <b:URL>https://www.gob.mx/cms/uploads/attachment/file/629813/LSDM__2020_ISNN_140421.pdf</b:URL>
    <b:Author>
      <b:Author>
        <b:Corporate>CONAPO</b:Corporate>
      </b:Author>
    </b:Author>
    <b:Year>2020</b:Year>
    <b:RefOrder>7</b:RefOrder>
  </b:Source>
  <b:Source>
    <b:Tag>Mur181</b:Tag>
    <b:SourceType>DocumentFromInternetSite</b:SourceType>
    <b:Guid>{A9A3E81D-D249-4928-85AF-8A27AD7D3BAC}</b:Guid>
    <b:Author>
      <b:Author>
        <b:NameList>
          <b:Person>
            <b:Last>Muradás</b:Last>
          </b:Person>
          <b:Person>
            <b:Last>Téllez</b:Last>
          </b:Person>
        </b:NameList>
      </b:Author>
    </b:Author>
    <b:Title>Principales resultados de las Proyecciones de la Población de México y de las Entidades Federativas, 2016-2050</b:Title>
    <b:Year>2018</b:Year>
    <b:URL>https://www.gob.mx/cms/uploads/attachment/file/491891/p14-p35.pdf</b:URL>
    <b:RefOrder>8</b:RefOrder>
  </b:Source>
  <b:Source>
    <b:Tag>CON1</b:Tag>
    <b:SourceType>DocumentFromInternetSite</b:SourceType>
    <b:Guid>{2DED756E-8A04-4E9C-ACBE-0900A7AF7DB1}</b:Guid>
    <b:Author>
      <b:Author>
        <b:Corporate>CONAPO</b:Corporate>
      </b:Author>
    </b:Author>
    <b:Title>Proyecciones de la población de México y de las entidades federativas 2016-2050</b:Title>
    <b:URL>https://www.gob.mx/cms/uploads/attachment/file/487388/15_MEX.pdf</b:URL>
    <b:Year>2016</b:Year>
    <b:RefOrder>9</b:RefOrder>
  </b:Source>
  <b:Source>
    <b:Tag>OCD21</b:Tag>
    <b:SourceType>InternetSite</b:SourceType>
    <b:Guid>{221A9929-F05C-4E4B-AEB6-C101DFB46E8C}</b:Guid>
    <b:Title>Pension spending</b:Title>
    <b:Year>2021</b:Year>
    <b:URL>https://data.oecd.org/socialexp/pension-spending.htm</b:URL>
    <b:Author>
      <b:Author>
        <b:Corporate>OCDE</b:Corporate>
      </b:Author>
    </b:Author>
    <b:RefOrder>10</b:RefOrder>
  </b:Source>
  <b:Source>
    <b:Tag>INE17</b:Tag>
    <b:SourceType>InternetSite</b:SourceType>
    <b:Guid>{5570932E-860B-44BF-B4C1-FA2542090059}</b:Guid>
    <b:Author>
      <b:Author>
        <b:Corporate>INEGI</b:Corporate>
      </b:Author>
    </b:Author>
    <b:Title>Encuesta Nacional de Empleo y Seguridad Social 2017</b:Title>
    <b:Year>2017</b:Year>
    <b:URL>https://www.inegi.org.mx/contenidos/programas/eness/2017/doc/presentacion_eness_2017.pdf</b:URL>
    <b:RefOrder>11</b:RefOrder>
  </b:Source>
  <b:Source>
    <b:Tag>Web</b:Tag>
    <b:SourceType>BookSection</b:SourceType>
    <b:Guid>{7519AA03-0B50-42BE-A942-EE11EBA32E11}</b:Guid>
    <b:Title>Economía y sociedad</b:Title>
    <b:Author>
      <b:Author>
        <b:NameList>
          <b:Person>
            <b:Last>Weber</b:Last>
          </b:Person>
        </b:NameList>
      </b:Author>
    </b:Author>
    <b:City>Alianza Editorial</b:City>
    <b:Publisher>Madrid</b:Publisher>
    <b:Year>1993</b:Year>
    <b:RefOrder>12</b:RefOrder>
  </b:Source>
  <b:Source>
    <b:Tag>Els201</b:Tag>
    <b:SourceType>InternetSite</b:SourceType>
    <b:Guid>{62FCE622-65EA-435C-93DA-311031075420}</b:Guid>
    <b:Author>
      <b:Author>
        <b:Corporate>El sol de Toluca</b:Corporate>
      </b:Author>
    </b:Author>
    <b:Title>Vaticina ISSEMyM un crecimiento en pensiones del 13.48 por ciento</b:Title>
    <b:Year>2020</b:Year>
    <b:URL>https://www.elsoldetoluca.com.mx/local/vaticina-issemym-un-crecimient-en-pensiones-del-13.48-por-ciento-6071342.html</b:URL>
    <b:RefOrder>13</b:RefOrder>
  </b:Source>
  <b:Source>
    <b:Tag>INE202</b:Tag>
    <b:SourceType>InternetSite</b:SourceType>
    <b:Guid>{C5CE15A7-9A74-449B-B2A4-8F253A9362E2}</b:Guid>
    <b:Author>
      <b:Author>
        <b:Corporate>INEGI</b:Corporate>
      </b:Author>
    </b:Author>
    <b:Title>Presentación de resultados del Censo de Población y Vivienda 2020</b:Title>
    <b:Year>2020</b:Year>
    <b:URL>https://www.inegi.org.mx/contenidos/programas/ccpv/2020/doc/cpv2020_pres_res_mex.pdf</b:URL>
    <b:RefOrder>14</b:RefOrder>
  </b:Source>
  <b:Source>
    <b:Tag>CON16</b:Tag>
    <b:SourceType>InternetSite</b:SourceType>
    <b:Guid>{159CB98E-81FE-47E2-96FD-E23BF10D693C}</b:Guid>
    <b:Author>
      <b:Author>
        <b:Corporate>CONAPO</b:Corporate>
      </b:Author>
    </b:Author>
    <b:Title>Proyecciones de la población de México y de las entidades federativas 2016-2050</b:Title>
    <b:Year>2016</b:Year>
    <b:URL>https://www.gob.mx/cms/uploads/attachment/file/487388/15_MEX.pdf</b:URL>
    <b:RefOrder>15</b:RefOrder>
  </b:Source>
  <b:Source>
    <b:Tag>Cró161</b:Tag>
    <b:SourceType>InternetSite</b:SourceType>
    <b:Guid>{5DBFEC98-9DAD-4E76-894B-7A0E4C3C46E4}</b:Guid>
    <b:Author>
      <b:Author>
        <b:Corporate>Crónica</b:Corporate>
      </b:Author>
    </b:Author>
    <b:Title>70 por ciento de jóvenes, sin acceso a seguridad social: diputados: </b:Title>
    <b:Year>2016</b:Year>
    <b:URL>http://www.cronica.com.mx/notas/2016/968901.html</b:URL>
    <b:RefOrder>16</b:RefOrder>
  </b:Source>
  <b:Source>
    <b:Tag>Ron13</b:Tag>
    <b:SourceType>JournalArticle</b:SourceType>
    <b:Guid>{E36A02F0-0F5A-40D2-80D9-C3D27B36FC85}</b:Guid>
    <b:Title>La seguridad social entre la población envejecida del Estado de México: alcences y limitaciones de las políticas públicas</b:Title>
    <b:Year>2013</b:Year>
    <b:Author>
      <b:Author>
        <b:NameList>
          <b:Person>
            <b:Last>Ronzón-Hernández</b:Last>
          </b:Person>
          <b:Person>
            <b:Last>Montoya-Arce</b:Last>
          </b:Person>
        </b:NameList>
      </b:Author>
    </b:Author>
    <b:JournalName>Papeles de población </b:JournalName>
    <b:Pages>61-83</b:Pages>
    <b:RefOrder>17</b:RefOrder>
  </b:Source>
  <b:Source>
    <b:Tag>Ent171</b:Tag>
    <b:SourceType>InternetSite</b:SourceType>
    <b:Guid>{A581245E-5388-4EE5-BFE7-83FFFA8A4CE0}</b:Guid>
    <b:Title>El enemigo silencioso que amenaza a los millennials</b:Title>
    <b:Year>2017</b:Year>
    <b:Author>
      <b:Author>
        <b:Corporate>Entrepreneu</b:Corporate>
      </b:Author>
    </b:Author>
    <b:URL>https://www.entrepreneur.com/article/296348 </b:URL>
    <b:RefOrder>18</b:RefOrder>
  </b:Source>
  <b:Source>
    <b:Tag>Ley201</b:Tag>
    <b:SourceType>InternetSite</b:SourceType>
    <b:Guid>{C6A263F2-7A51-4978-A96C-E6D070551174}</b:Guid>
    <b:Title>Ley del adulto mayor del Estado de México: </b:Title>
    <b:Year>2020</b:Year>
    <b:URL>https://normas.cndh.org.mx/Documentos/Estado%20de%20M%C3%A9xico/Ley_AMay_EdoMex.pdf</b:URL>
    <b:RefOrder>19</b:RefOrder>
  </b:Source>
</b:Sources>
</file>

<file path=customXml/itemProps1.xml><?xml version="1.0" encoding="utf-8"?>
<ds:datastoreItem xmlns:ds="http://schemas.openxmlformats.org/officeDocument/2006/customXml" ds:itemID="{E28BAA28-80AA-3B41-9E8C-403E42E3A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29</Pages>
  <Words>3762</Words>
  <Characters>20695</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Mauricio Troncoso</dc:creator>
  <cp:keywords/>
  <dc:description/>
  <cp:lastModifiedBy>Mauricio Troncoso</cp:lastModifiedBy>
  <cp:revision>5</cp:revision>
  <cp:lastPrinted>2021-07-30T20:03:00Z</cp:lastPrinted>
  <dcterms:created xsi:type="dcterms:W3CDTF">2021-07-30T20:03:00Z</dcterms:created>
  <dcterms:modified xsi:type="dcterms:W3CDTF">2021-10-18T21:24:00Z</dcterms:modified>
</cp:coreProperties>
</file>